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72" w:lineRule="exact"/>
        <w:rPr>
          <w:sz w:val="24"/>
          <w:szCs w:val="24"/>
          <w:color w:val="auto"/>
        </w:rPr>
      </w:pPr>
    </w:p>
    <w:p>
      <w:pPr>
        <w:ind w:left="3920" w:right="2100" w:hanging="3908"/>
        <w:spacing w:after="0" w:line="282" w:lineRule="auto"/>
        <w:tabs>
          <w:tab w:leader="none" w:pos="34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360" w:hanging="348"/>
        <w:spacing w:after="0" w:line="199" w:lineRule="auto"/>
        <w:tabs>
          <w:tab w:leader="none" w:pos="360" w:val="left"/>
        </w:tabs>
        <w:numPr>
          <w:ilvl w:val="0"/>
          <w:numId w:val="2"/>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TRANSITION REPORT PURSUANT TO SECTION 13 OR 15(d) OF THE SECURITIES EXCHANGE ACT OF 1934</w:t>
      </w:r>
    </w:p>
    <w:p>
      <w:pPr>
        <w:spacing w:after="0" w:line="1"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1-37966</w:t>
      </w:r>
    </w:p>
    <w:p>
      <w:pPr>
        <w:jc w:val="center"/>
        <w:spacing w:after="0" w:line="238" w:lineRule="auto"/>
        <w:rPr>
          <w:sz w:val="20"/>
          <w:szCs w:val="20"/>
          <w:color w:val="auto"/>
        </w:rPr>
      </w:pPr>
      <w:r>
        <w:rPr>
          <w:rFonts w:ascii="Arial" w:cs="Arial" w:eastAsia="Arial" w:hAnsi="Arial"/>
          <w:sz w:val="40"/>
          <w:szCs w:val="40"/>
          <w:b w:val="1"/>
          <w:bCs w:val="1"/>
          <w:color w:val="auto"/>
        </w:rPr>
        <w:t>SEACOR Marine Holdings Inc.</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Delaware</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gridSpan w:val="2"/>
          </w:tcPr>
          <w:p>
            <w:pPr>
              <w:jc w:val="right"/>
              <w:ind w:right="1759"/>
              <w:spacing w:after="0"/>
              <w:rPr>
                <w:sz w:val="20"/>
                <w:szCs w:val="20"/>
                <w:color w:val="auto"/>
              </w:rPr>
            </w:pPr>
            <w:r>
              <w:rPr>
                <w:rFonts w:ascii="Arial" w:cs="Arial" w:eastAsia="Arial" w:hAnsi="Arial"/>
                <w:sz w:val="16"/>
                <w:szCs w:val="16"/>
                <w:b w:val="1"/>
                <w:bCs w:val="1"/>
                <w:color w:val="auto"/>
              </w:rPr>
              <w:t>47-2564547</w:t>
            </w:r>
          </w:p>
        </w:tc>
        <w:tc>
          <w:tcPr>
            <w:tcW w:w="0" w:type="dxa"/>
            <w:vAlign w:val="bottom"/>
          </w:tcPr>
          <w:p>
            <w:pPr>
              <w:spacing w:after="0"/>
              <w:rPr>
                <w:sz w:val="1"/>
                <w:szCs w:val="1"/>
                <w:color w:val="auto"/>
              </w:rPr>
            </w:pPr>
          </w:p>
        </w:tc>
      </w:tr>
      <w:tr>
        <w:trPr>
          <w:trHeight w:val="203"/>
        </w:trPr>
        <w:tc>
          <w:tcPr>
            <w:tcW w:w="4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(State or Other Jurisdiction of</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(I.R.S. Employer</w:t>
            </w:r>
          </w:p>
        </w:tc>
        <w:tc>
          <w:tcPr>
            <w:tcW w:w="0" w:type="dxa"/>
            <w:vAlign w:val="bottom"/>
          </w:tcPr>
          <w:p>
            <w:pPr>
              <w:spacing w:after="0"/>
              <w:rPr>
                <w:sz w:val="1"/>
                <w:szCs w:val="1"/>
                <w:color w:val="auto"/>
              </w:rPr>
            </w:pPr>
          </w:p>
        </w:tc>
      </w:tr>
      <w:tr>
        <w:trPr>
          <w:trHeight w:val="210"/>
        </w:trPr>
        <w:tc>
          <w:tcPr>
            <w:tcW w:w="4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Incorporation or Organization)</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Identification No.)</w:t>
            </w:r>
          </w:p>
        </w:tc>
        <w:tc>
          <w:tcPr>
            <w:tcW w:w="0" w:type="dxa"/>
            <w:vAlign w:val="bottom"/>
          </w:tcPr>
          <w:p>
            <w:pPr>
              <w:spacing w:after="0"/>
              <w:rPr>
                <w:sz w:val="1"/>
                <w:szCs w:val="1"/>
                <w:color w:val="auto"/>
              </w:rPr>
            </w:pPr>
          </w:p>
        </w:tc>
      </w:tr>
      <w:tr>
        <w:trPr>
          <w:trHeight w:val="276"/>
        </w:trPr>
        <w:tc>
          <w:tcPr>
            <w:tcW w:w="4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12121 Wickchester Lane, Suite 500, Houston, TX</w:t>
            </w: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540" w:type="dxa"/>
            <w:vAlign w:val="bottom"/>
          </w:tcPr>
          <w:p>
            <w:pPr>
              <w:jc w:val="right"/>
              <w:ind w:right="1959"/>
              <w:spacing w:after="0"/>
              <w:rPr>
                <w:sz w:val="20"/>
                <w:szCs w:val="20"/>
                <w:color w:val="auto"/>
              </w:rPr>
            </w:pPr>
            <w:r>
              <w:rPr>
                <w:rFonts w:ascii="Arial" w:cs="Arial" w:eastAsia="Arial" w:hAnsi="Arial"/>
                <w:sz w:val="16"/>
                <w:szCs w:val="16"/>
                <w:b w:val="1"/>
                <w:bCs w:val="1"/>
                <w:color w:val="auto"/>
              </w:rPr>
              <w:t>77079</w:t>
            </w:r>
          </w:p>
        </w:tc>
        <w:tc>
          <w:tcPr>
            <w:tcW w:w="0" w:type="dxa"/>
            <w:vAlign w:val="bottom"/>
          </w:tcPr>
          <w:p>
            <w:pPr>
              <w:spacing w:after="0"/>
              <w:rPr>
                <w:sz w:val="1"/>
                <w:szCs w:val="1"/>
                <w:color w:val="auto"/>
              </w:rPr>
            </w:pPr>
          </w:p>
        </w:tc>
      </w:tr>
      <w:tr>
        <w:trPr>
          <w:trHeight w:val="210"/>
        </w:trPr>
        <w:tc>
          <w:tcPr>
            <w:tcW w:w="4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(Address of Principal Executive Office)</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(Zip Code)</w:t>
            </w:r>
          </w:p>
        </w:tc>
        <w:tc>
          <w:tcPr>
            <w:tcW w:w="0" w:type="dxa"/>
            <w:vAlign w:val="bottom"/>
          </w:tcPr>
          <w:p>
            <w:pPr>
              <w:spacing w:after="0"/>
              <w:rPr>
                <w:sz w:val="1"/>
                <w:szCs w:val="1"/>
                <w:color w:val="auto"/>
              </w:rPr>
            </w:pPr>
          </w:p>
        </w:tc>
      </w:tr>
      <w:tr>
        <w:trPr>
          <w:trHeight w:val="283"/>
        </w:trPr>
        <w:tc>
          <w:tcPr>
            <w:tcW w:w="8700" w:type="dxa"/>
            <w:vAlign w:val="bottom"/>
            <w:gridSpan w:val="5"/>
          </w:tcPr>
          <w:p>
            <w:pPr>
              <w:jc w:val="center"/>
              <w:ind w:left="2479"/>
              <w:spacing w:after="0"/>
              <w:rPr>
                <w:sz w:val="20"/>
                <w:szCs w:val="20"/>
                <w:color w:val="auto"/>
              </w:rPr>
            </w:pPr>
            <w:r>
              <w:rPr>
                <w:rFonts w:ascii="Arial" w:cs="Arial" w:eastAsia="Arial" w:hAnsi="Arial"/>
                <w:sz w:val="16"/>
                <w:szCs w:val="16"/>
                <w:b w:val="1"/>
                <w:bCs w:val="1"/>
                <w:color w:val="auto"/>
                <w:w w:val="90"/>
              </w:rPr>
              <w:t>Registrant’s telephone number, including area code (346) 980-1700</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Trading Symbol(s)</w:t>
            </w:r>
          </w:p>
        </w:tc>
        <w:tc>
          <w:tcPr>
            <w:tcW w:w="4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Common stock, par value $0.01 per share</w:t>
            </w:r>
          </w:p>
        </w:tc>
        <w:tc>
          <w:tcPr>
            <w:tcW w:w="12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SMHI</w:t>
            </w:r>
          </w:p>
        </w:tc>
        <w:tc>
          <w:tcPr>
            <w:tcW w:w="120" w:type="dxa"/>
            <w:vAlign w:val="bottom"/>
          </w:tcPr>
          <w:p>
            <w:pPr>
              <w:spacing w:after="0"/>
              <w:rPr>
                <w:sz w:val="18"/>
                <w:szCs w:val="18"/>
                <w:color w:val="auto"/>
              </w:rPr>
            </w:pPr>
          </w:p>
        </w:tc>
        <w:tc>
          <w:tcPr>
            <w:tcW w:w="448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c>
          <w:tcPr>
            <w:tcW w:w="0" w:type="dxa"/>
            <w:vAlign w:val="bottom"/>
          </w:tcPr>
          <w:p>
            <w:pPr>
              <w:spacing w:after="0"/>
              <w:rPr>
                <w:sz w:val="1"/>
                <w:szCs w:val="1"/>
                <w:color w:val="auto"/>
              </w:rPr>
            </w:pPr>
          </w:p>
        </w:tc>
      </w:tr>
      <w:tr>
        <w:trPr>
          <w:trHeight w:val="270"/>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Securities registered pursuant to Section 12(g) of the Act:</w:t>
            </w:r>
          </w:p>
        </w:tc>
        <w:tc>
          <w:tcPr>
            <w:tcW w:w="214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9"/>
              </w:rPr>
              <w:t>None</w:t>
            </w:r>
          </w:p>
        </w:tc>
        <w:tc>
          <w:tcPr>
            <w:tcW w:w="19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2"/>
            <w:vMerge w:val="continue"/>
          </w:tcPr>
          <w:p>
            <w:pPr>
              <w:spacing w:after="0"/>
              <w:rPr>
                <w:sz w:val="16"/>
                <w:szCs w:val="16"/>
                <w:color w:val="auto"/>
              </w:rPr>
            </w:pPr>
          </w:p>
        </w:tc>
        <w:tc>
          <w:tcPr>
            <w:tcW w:w="19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(Title of Class)</w:t>
            </w:r>
          </w:p>
        </w:tc>
        <w:tc>
          <w:tcPr>
            <w:tcW w:w="1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8700" w:type="dxa"/>
            <w:vAlign w:val="bottom"/>
            <w:gridSpan w:val="5"/>
          </w:tcPr>
          <w:p>
            <w:pPr>
              <w:ind w:left="380"/>
              <w:spacing w:after="0" w:line="184" w:lineRule="exact"/>
              <w:rPr>
                <w:sz w:val="20"/>
                <w:szCs w:val="20"/>
                <w:color w:val="auto"/>
              </w:rPr>
            </w:pPr>
            <w:r>
              <w:rPr>
                <w:rFonts w:ascii="Arial" w:cs="Arial" w:eastAsia="Arial" w:hAnsi="Arial"/>
                <w:sz w:val="16"/>
                <w:szCs w:val="16"/>
                <w:color w:val="auto"/>
                <w:w w:val="94"/>
              </w:rPr>
              <w:t xml:space="preserve">Indicate by check mark if the registrant is a well-known seasoned issuer, as defined in Rule 405 of the Securities Act. </w:t>
            </w:r>
            <w:r>
              <w:rPr>
                <w:rFonts w:ascii="MS PGothic" w:cs="MS PGothic" w:eastAsia="MS PGothic" w:hAnsi="MS PGothic"/>
                <w:sz w:val="16"/>
                <w:szCs w:val="16"/>
                <w:color w:val="auto"/>
                <w:w w:val="94"/>
              </w:rPr>
              <w:t>☐</w:t>
            </w:r>
            <w:r>
              <w:rPr>
                <w:rFonts w:ascii="Arial" w:cs="Arial" w:eastAsia="Arial" w:hAnsi="Arial"/>
                <w:sz w:val="16"/>
                <w:szCs w:val="16"/>
                <w:color w:val="auto"/>
                <w:w w:val="94"/>
              </w:rPr>
              <w:t xml:space="preserve"> Yes</w:t>
            </w:r>
          </w:p>
        </w:tc>
        <w:tc>
          <w:tcPr>
            <w:tcW w:w="254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0" w:type="dxa"/>
            <w:vAlign w:val="bottom"/>
          </w:tcPr>
          <w:p>
            <w:pPr>
              <w:spacing w:after="0"/>
              <w:rPr>
                <w:sz w:val="1"/>
                <w:szCs w:val="1"/>
                <w:color w:val="auto"/>
              </w:rPr>
            </w:pPr>
          </w:p>
        </w:tc>
      </w:tr>
      <w:tr>
        <w:trPr>
          <w:trHeight w:val="270"/>
        </w:trPr>
        <w:tc>
          <w:tcPr>
            <w:tcW w:w="8700" w:type="dxa"/>
            <w:vAlign w:val="bottom"/>
            <w:gridSpan w:val="5"/>
          </w:tcPr>
          <w:p>
            <w:pPr>
              <w:ind w:left="380"/>
              <w:spacing w:after="0" w:line="184" w:lineRule="exact"/>
              <w:rPr>
                <w:sz w:val="20"/>
                <w:szCs w:val="20"/>
                <w:color w:val="auto"/>
              </w:rPr>
            </w:pPr>
            <w:r>
              <w:rPr>
                <w:rFonts w:ascii="Arial" w:cs="Arial" w:eastAsia="Arial" w:hAnsi="Arial"/>
                <w:sz w:val="16"/>
                <w:szCs w:val="16"/>
                <w:color w:val="auto"/>
                <w:w w:val="93"/>
              </w:rPr>
              <w:t xml:space="preserve">Indicate by check mark if the registrant is not required to file reports pursuant to Section 13 or Section 15(d) of the Act. </w:t>
            </w:r>
            <w:r>
              <w:rPr>
                <w:rFonts w:ascii="MS PGothic" w:cs="MS PGothic" w:eastAsia="MS PGothic" w:hAnsi="MS PGothic"/>
                <w:sz w:val="16"/>
                <w:szCs w:val="16"/>
                <w:color w:val="auto"/>
                <w:w w:val="93"/>
              </w:rPr>
              <w:t>☐</w:t>
            </w:r>
            <w:r>
              <w:rPr>
                <w:rFonts w:ascii="Arial" w:cs="Arial" w:eastAsia="Arial" w:hAnsi="Arial"/>
                <w:sz w:val="16"/>
                <w:szCs w:val="16"/>
                <w:color w:val="auto"/>
                <w:w w:val="93"/>
              </w:rPr>
              <w:t xml:space="preserve"> Yes</w:t>
            </w:r>
          </w:p>
        </w:tc>
        <w:tc>
          <w:tcPr>
            <w:tcW w:w="2540" w:type="dxa"/>
            <w:vAlign w:val="bottom"/>
          </w:tcPr>
          <w:p>
            <w:pPr>
              <w:ind w:left="1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both"/>
        <w:ind w:firstLine="37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47" w:lineRule="exact"/>
        <w:rPr>
          <w:sz w:val="24"/>
          <w:szCs w:val="24"/>
          <w:color w:val="auto"/>
        </w:rPr>
      </w:pPr>
    </w:p>
    <w:p>
      <w:pPr>
        <w:jc w:val="both"/>
        <w:ind w:firstLine="374"/>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47" w:lineRule="exact"/>
        <w:rPr>
          <w:sz w:val="24"/>
          <w:szCs w:val="24"/>
          <w:color w:val="auto"/>
        </w:rPr>
      </w:pPr>
    </w:p>
    <w:p>
      <w:pPr>
        <w:jc w:val="both"/>
        <w:ind w:right="20" w:firstLine="374"/>
        <w:spacing w:after="0" w:line="317"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 (Check one):</w:t>
      </w:r>
    </w:p>
    <w:p>
      <w:pPr>
        <w:ind w:left="20"/>
        <w:spacing w:after="0" w:line="184" w:lineRule="exact"/>
        <w:tabs>
          <w:tab w:leader="none" w:pos="1960" w:val="left"/>
          <w:tab w:leader="none" w:pos="2360" w:val="left"/>
          <w:tab w:leader="none" w:pos="3640" w:val="left"/>
          <w:tab w:leader="none" w:pos="4160" w:val="left"/>
          <w:tab w:leader="none" w:pos="5840" w:val="left"/>
          <w:tab w:leader="none" w:pos="6400" w:val="left"/>
          <w:tab w:leader="none" w:pos="8520" w:val="left"/>
          <w:tab w:leader="none" w:pos="8980" w:val="left"/>
          <w:tab w:leader="none" w:pos="1102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30" w:lineRule="exact"/>
        <w:rPr>
          <w:sz w:val="24"/>
          <w:szCs w:val="24"/>
          <w:color w:val="auto"/>
        </w:rPr>
      </w:pPr>
    </w:p>
    <w:p>
      <w:pPr>
        <w:jc w:val="both"/>
        <w:ind w:firstLine="37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0" w:lineRule="exact"/>
        <w:rPr>
          <w:sz w:val="24"/>
          <w:szCs w:val="24"/>
          <w:color w:val="auto"/>
        </w:rPr>
      </w:pPr>
    </w:p>
    <w:p>
      <w:pPr>
        <w:jc w:val="both"/>
        <w:ind w:firstLine="374"/>
        <w:spacing w:after="0" w:line="21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 (b)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 w:lineRule="exact"/>
        <w:rPr>
          <w:sz w:val="24"/>
          <w:szCs w:val="24"/>
          <w:color w:val="auto"/>
        </w:rPr>
      </w:pPr>
    </w:p>
    <w:p>
      <w:pPr>
        <w:ind w:left="380"/>
        <w:spacing w:after="0" w:line="184" w:lineRule="exact"/>
        <w:tabs>
          <w:tab w:leader="none" w:pos="84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16" w:lineRule="exact"/>
        <w:rPr>
          <w:sz w:val="24"/>
          <w:szCs w:val="24"/>
          <w:color w:val="auto"/>
        </w:rPr>
      </w:pPr>
    </w:p>
    <w:p>
      <w:pPr>
        <w:jc w:val="both"/>
        <w:ind w:firstLine="374"/>
        <w:spacing w:after="0" w:line="279" w:lineRule="auto"/>
        <w:rPr>
          <w:sz w:val="20"/>
          <w:szCs w:val="20"/>
          <w:color w:val="auto"/>
        </w:rPr>
      </w:pPr>
      <w:r>
        <w:rPr>
          <w:rFonts w:ascii="Arial" w:cs="Arial" w:eastAsia="Arial" w:hAnsi="Arial"/>
          <w:sz w:val="16"/>
          <w:szCs w:val="16"/>
          <w:color w:val="auto"/>
        </w:rPr>
        <w:t>The aggregate market value of the voting stock of the registrant held by non-affiliates as of June 30, 2021 was approximately $96.2 million based on the closing price on the New York Stock Exchange on such date. The total number of shares of Common Stock outstanding as of March 4, 2022 was 25,992,237</w:t>
      </w:r>
      <w:r>
        <w:rPr>
          <w:rFonts w:ascii="Arial" w:cs="Arial" w:eastAsia="Arial" w:hAnsi="Arial"/>
          <w:sz w:val="21"/>
          <w:szCs w:val="21"/>
          <w:color w:val="auto"/>
        </w:rPr>
        <w: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4" w:lineRule="exact"/>
        <w:rPr>
          <w:sz w:val="24"/>
          <w:szCs w:val="24"/>
          <w:color w:val="auto"/>
        </w:rPr>
      </w:pPr>
    </w:p>
    <w:p>
      <w:pPr>
        <w:jc w:val="both"/>
        <w:ind w:firstLine="374"/>
        <w:spacing w:after="0" w:line="278" w:lineRule="auto"/>
        <w:rPr>
          <w:sz w:val="20"/>
          <w:szCs w:val="20"/>
          <w:color w:val="auto"/>
        </w:rPr>
      </w:pPr>
      <w:r>
        <w:rPr>
          <w:rFonts w:ascii="Arial" w:cs="Arial" w:eastAsia="Arial" w:hAnsi="Arial"/>
          <w:sz w:val="16"/>
          <w:szCs w:val="16"/>
          <w:color w:val="auto"/>
        </w:rPr>
        <w:t>Portions of the Registrant’s definitive proxy statement for its 2022 Annual Meeting of Stockholders to be filed with the Securities and Exchange Commission (the "SEC") pursuant to Regulation 14A within 120 days after the end of the Registrant’s last fiscal year is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196215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00" w:type="dxa"/>
            <w:vAlign w:val="bottom"/>
            <w:gridSpan w:val="11"/>
          </w:tcPr>
          <w:p>
            <w:pPr>
              <w:jc w:val="center"/>
              <w:ind w:right="2880"/>
              <w:spacing w:after="0"/>
              <w:rPr>
                <w:sz w:val="20"/>
                <w:szCs w:val="20"/>
                <w:color w:val="auto"/>
              </w:rPr>
            </w:pPr>
            <w:r>
              <w:rPr>
                <w:rFonts w:ascii="Arial" w:cs="Arial" w:eastAsia="Arial" w:hAnsi="Arial"/>
                <w:sz w:val="18"/>
                <w:szCs w:val="18"/>
                <w:b w:val="1"/>
                <w:bCs w:val="1"/>
                <w:color w:val="auto"/>
              </w:rPr>
              <w:t>SEACOR MARINE HOLDINGS INC.</w:t>
            </w:r>
          </w:p>
        </w:tc>
        <w:tc>
          <w:tcPr>
            <w:tcW w:w="122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20" w:type="dxa"/>
            <w:vAlign w:val="bottom"/>
            <w:gridSpan w:val="7"/>
          </w:tcPr>
          <w:p>
            <w:pPr>
              <w:jc w:val="center"/>
              <w:ind w:right="3760"/>
              <w:spacing w:after="0"/>
              <w:rPr>
                <w:sz w:val="20"/>
                <w:szCs w:val="20"/>
                <w:color w:val="auto"/>
              </w:rPr>
            </w:pPr>
            <w:r>
              <w:rPr>
                <w:rFonts w:ascii="Arial" w:cs="Arial" w:eastAsia="Arial" w:hAnsi="Arial"/>
                <w:sz w:val="18"/>
                <w:szCs w:val="18"/>
                <w:b w:val="1"/>
                <w:bCs w:val="1"/>
                <w:color w:val="auto"/>
              </w:rPr>
              <w:t>FORM 10-K</w:t>
            </w:r>
          </w:p>
        </w:tc>
        <w:tc>
          <w:tcPr>
            <w:tcW w:w="1220" w:type="dxa"/>
            <w:vAlign w:val="bottom"/>
          </w:tcPr>
          <w:p>
            <w:pPr>
              <w:spacing w:after="0"/>
              <w:rPr>
                <w:sz w:val="18"/>
                <w:szCs w:val="18"/>
                <w:color w:val="auto"/>
              </w:rPr>
            </w:pPr>
          </w:p>
        </w:tc>
      </w:tr>
      <w:tr>
        <w:trPr>
          <w:trHeight w:val="234"/>
        </w:trPr>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60" w:type="dxa"/>
            <w:vAlign w:val="bottom"/>
            <w:gridSpan w:val="8"/>
          </w:tcPr>
          <w:p>
            <w:pPr>
              <w:jc w:val="center"/>
              <w:ind w:right="3140"/>
              <w:spacing w:after="0"/>
              <w:rPr>
                <w:sz w:val="20"/>
                <w:szCs w:val="20"/>
                <w:color w:val="auto"/>
              </w:rPr>
            </w:pPr>
            <w:r>
              <w:rPr>
                <w:rFonts w:ascii="Arial" w:cs="Arial" w:eastAsia="Arial" w:hAnsi="Arial"/>
                <w:sz w:val="18"/>
                <w:szCs w:val="18"/>
                <w:b w:val="1"/>
                <w:bCs w:val="1"/>
                <w:color w:val="auto"/>
                <w:w w:val="98"/>
              </w:rPr>
              <w:t>TABLE OF CONTENTS</w:t>
            </w:r>
          </w:p>
        </w:tc>
        <w:tc>
          <w:tcPr>
            <w:tcW w:w="122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60" w:type="dxa"/>
            <w:vAlign w:val="bottom"/>
            <w:gridSpan w:val="6"/>
          </w:tcPr>
          <w:p>
            <w:pPr>
              <w:jc w:val="center"/>
              <w:ind w:right="4060"/>
              <w:spacing w:after="0"/>
              <w:rPr>
                <w:sz w:val="20"/>
                <w:szCs w:val="20"/>
                <w:color w:val="auto"/>
              </w:rPr>
            </w:pPr>
            <w:r>
              <w:rPr>
                <w:rFonts w:ascii="Arial" w:cs="Arial" w:eastAsia="Arial" w:hAnsi="Arial"/>
                <w:sz w:val="18"/>
                <w:szCs w:val="18"/>
                <w:b w:val="1"/>
                <w:bCs w:val="1"/>
                <w:color w:val="auto"/>
                <w:w w:val="98"/>
              </w:rPr>
              <w:t>PART I</w:t>
            </w:r>
          </w:p>
        </w:tc>
        <w:tc>
          <w:tcPr>
            <w:tcW w:w="1220" w:type="dxa"/>
            <w:vAlign w:val="bottom"/>
          </w:tcPr>
          <w:p>
            <w:pPr>
              <w:spacing w:after="0"/>
              <w:rPr>
                <w:sz w:val="24"/>
                <w:szCs w:val="24"/>
                <w:color w:val="auto"/>
              </w:rPr>
            </w:pPr>
          </w:p>
        </w:tc>
      </w:tr>
      <w:tr>
        <w:trPr>
          <w:trHeight w:val="256"/>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480" w:type="dxa"/>
            <w:vAlign w:val="bottom"/>
            <w:gridSpan w:val="34"/>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900" w:type="dxa"/>
            <w:vAlign w:val="bottom"/>
          </w:tcPr>
          <w:p>
            <w:pPr>
              <w:spacing w:after="0"/>
              <w:rPr>
                <w:sz w:val="24"/>
                <w:szCs w:val="24"/>
                <w:color w:val="auto"/>
              </w:rPr>
            </w:pPr>
          </w:p>
        </w:tc>
        <w:tc>
          <w:tcPr>
            <w:tcW w:w="9120" w:type="dxa"/>
            <w:vAlign w:val="bottom"/>
            <w:gridSpan w:val="3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General</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9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7"/>
        </w:trPr>
        <w:tc>
          <w:tcPr>
            <w:tcW w:w="900" w:type="dxa"/>
            <w:vAlign w:val="bottom"/>
          </w:tcPr>
          <w:p>
            <w:pPr>
              <w:spacing w:after="0"/>
              <w:rPr>
                <w:sz w:val="24"/>
                <w:szCs w:val="24"/>
                <w:color w:val="auto"/>
              </w:rPr>
            </w:pP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480" w:type="dxa"/>
            <w:vAlign w:val="bottom"/>
            <w:gridSpan w:val="34"/>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900" w:type="dxa"/>
            <w:vAlign w:val="bottom"/>
          </w:tcPr>
          <w:p>
            <w:pPr>
              <w:spacing w:after="0"/>
              <w:rPr>
                <w:sz w:val="24"/>
                <w:szCs w:val="24"/>
                <w:color w:val="auto"/>
              </w:rPr>
            </w:pPr>
          </w:p>
        </w:tc>
        <w:tc>
          <w:tcPr>
            <w:tcW w:w="17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Government Regulation</w:t>
              </w:r>
            </w:hyperlink>
          </w:p>
        </w:tc>
        <w:tc>
          <w:tcPr>
            <w:tcW w:w="7380" w:type="dxa"/>
            <w:vAlign w:val="bottom"/>
            <w:gridSpan w:val="25"/>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7"/>
        </w:trPr>
        <w:tc>
          <w:tcPr>
            <w:tcW w:w="900" w:type="dxa"/>
            <w:vAlign w:val="bottom"/>
          </w:tcPr>
          <w:p>
            <w:pPr>
              <w:spacing w:after="0"/>
              <w:rPr>
                <w:sz w:val="24"/>
                <w:szCs w:val="24"/>
                <w:color w:val="auto"/>
              </w:rPr>
            </w:pPr>
          </w:p>
        </w:tc>
        <w:tc>
          <w:tcPr>
            <w:tcW w:w="9120" w:type="dxa"/>
            <w:vAlign w:val="bottom"/>
            <w:gridSpan w:val="36"/>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Industry Hazards and Insurance</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90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7"/>
        </w:trPr>
        <w:tc>
          <w:tcPr>
            <w:tcW w:w="900" w:type="dxa"/>
            <w:vAlign w:val="bottom"/>
          </w:tcPr>
          <w:p>
            <w:pPr>
              <w:spacing w:after="0"/>
              <w:rPr>
                <w:sz w:val="24"/>
                <w:szCs w:val="24"/>
                <w:color w:val="auto"/>
              </w:rPr>
            </w:pPr>
          </w:p>
        </w:tc>
        <w:tc>
          <w:tcPr>
            <w:tcW w:w="9120" w:type="dxa"/>
            <w:vAlign w:val="bottom"/>
            <w:gridSpan w:val="36"/>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Employees and Human Capital Management</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7"/>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3220" w:type="dxa"/>
            <w:vAlign w:val="bottom"/>
            <w:tcBorders>
              <w:top w:val="single" w:sz="8" w:color="0000EE"/>
            </w:tcBorders>
            <w:gridSpan w:val="25"/>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5900" w:type="dxa"/>
            <w:vAlign w:val="bottom"/>
            <w:gridSpan w:val="11"/>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90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7"/>
        </w:trPr>
        <w:tc>
          <w:tcPr>
            <w:tcW w:w="900" w:type="dxa"/>
            <w:vAlign w:val="bottom"/>
          </w:tcPr>
          <w:p>
            <w:pPr>
              <w:spacing w:after="0"/>
              <w:rPr>
                <w:sz w:val="20"/>
                <w:szCs w:val="20"/>
                <w:color w:val="auto"/>
              </w:rPr>
            </w:pPr>
            <w:r>
              <w:rPr>
                <w:rFonts w:ascii="Arial" w:cs="Arial" w:eastAsia="Arial" w:hAnsi="Arial"/>
                <w:sz w:val="18"/>
                <w:szCs w:val="18"/>
                <w:color w:val="auto"/>
              </w:rPr>
              <w:t>Item 1B.</w:t>
            </w:r>
          </w:p>
        </w:tc>
        <w:tc>
          <w:tcPr>
            <w:tcW w:w="9120" w:type="dxa"/>
            <w:vAlign w:val="bottom"/>
            <w:gridSpan w:val="3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Unresolved Staff Comments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7"/>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Properties</w:t>
              </w:r>
            </w:hyperlink>
          </w:p>
        </w:tc>
        <w:tc>
          <w:tcPr>
            <w:tcW w:w="7080" w:type="dxa"/>
            <w:vAlign w:val="bottom"/>
            <w:gridSpan w:val="20"/>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90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7"/>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Legal Proceedings</w:t>
              </w:r>
            </w:hyperlink>
          </w:p>
        </w:tc>
        <w:tc>
          <w:tcPr>
            <w:tcW w:w="7780" w:type="dxa"/>
            <w:vAlign w:val="bottom"/>
            <w:gridSpan w:val="29"/>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7"/>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Mine Safety Disclosures</w:t>
              </w:r>
            </w:hyperlink>
          </w:p>
        </w:tc>
        <w:tc>
          <w:tcPr>
            <w:tcW w:w="7340" w:type="dxa"/>
            <w:vAlign w:val="bottom"/>
            <w:gridSpan w:val="23"/>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7"/>
        </w:trPr>
        <w:tc>
          <w:tcPr>
            <w:tcW w:w="900" w:type="dxa"/>
            <w:vAlign w:val="bottom"/>
          </w:tcPr>
          <w:p>
            <w:pPr>
              <w:spacing w:after="0"/>
              <w:rPr>
                <w:sz w:val="24"/>
                <w:szCs w:val="24"/>
                <w:color w:val="auto"/>
              </w:rPr>
            </w:pPr>
          </w:p>
        </w:tc>
        <w:tc>
          <w:tcPr>
            <w:tcW w:w="9120" w:type="dxa"/>
            <w:vAlign w:val="bottom"/>
            <w:gridSpan w:val="3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Executive Officers of the Registrant</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90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60" w:type="dxa"/>
            <w:vAlign w:val="bottom"/>
            <w:gridSpan w:val="6"/>
          </w:tcPr>
          <w:p>
            <w:pPr>
              <w:jc w:val="center"/>
              <w:ind w:right="4060"/>
              <w:spacing w:after="0"/>
              <w:rPr>
                <w:sz w:val="20"/>
                <w:szCs w:val="20"/>
                <w:color w:val="auto"/>
              </w:rPr>
            </w:pPr>
            <w:r>
              <w:rPr>
                <w:rFonts w:ascii="Arial" w:cs="Arial" w:eastAsia="Arial" w:hAnsi="Arial"/>
                <w:sz w:val="18"/>
                <w:szCs w:val="18"/>
                <w:b w:val="1"/>
                <w:bCs w:val="1"/>
                <w:color w:val="auto"/>
              </w:rPr>
              <w:t>PART II</w:t>
            </w:r>
          </w:p>
        </w:tc>
        <w:tc>
          <w:tcPr>
            <w:tcW w:w="1220" w:type="dxa"/>
            <w:vAlign w:val="bottom"/>
          </w:tcPr>
          <w:p>
            <w:pPr>
              <w:spacing w:after="0"/>
              <w:rPr>
                <w:sz w:val="24"/>
                <w:szCs w:val="24"/>
                <w:color w:val="auto"/>
              </w:rPr>
            </w:pPr>
          </w:p>
        </w:tc>
      </w:tr>
      <w:tr>
        <w:trPr>
          <w:trHeight w:val="256"/>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35"/>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Market for Registrant’s Common Equity, Related Stockholder Matters and Issuer Purchases of Equity Securities</w:t>
              </w:r>
            </w:hyperlink>
          </w:p>
        </w:tc>
        <w:tc>
          <w:tcPr>
            <w:tcW w:w="10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7"/>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120" w:type="dxa"/>
            <w:vAlign w:val="bottom"/>
            <w:gridSpan w:val="3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Selected Financial Data</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90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7"/>
        </w:trPr>
        <w:tc>
          <w:tcPr>
            <w:tcW w:w="90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32"/>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Management’s Discussion and Analysis of Financial Condition and Results of Operations</w:t>
              </w:r>
            </w:hyperlink>
          </w:p>
        </w:tc>
        <w:tc>
          <w:tcPr>
            <w:tcW w:w="2660" w:type="dxa"/>
            <w:vAlign w:val="bottom"/>
            <w:gridSpan w:val="4"/>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7"/>
        </w:trPr>
        <w:tc>
          <w:tcPr>
            <w:tcW w:w="900" w:type="dxa"/>
            <w:vAlign w:val="bottom"/>
          </w:tcPr>
          <w:p>
            <w:pPr>
              <w:spacing w:after="0"/>
              <w:rPr>
                <w:sz w:val="24"/>
                <w:szCs w:val="24"/>
                <w:color w:val="auto"/>
              </w:rPr>
            </w:pPr>
          </w:p>
        </w:tc>
        <w:tc>
          <w:tcPr>
            <w:tcW w:w="9120" w:type="dxa"/>
            <w:vAlign w:val="bottom"/>
            <w:gridSpan w:val="3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Overview</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90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7"/>
        </w:trPr>
        <w:tc>
          <w:tcPr>
            <w:tcW w:w="900" w:type="dxa"/>
            <w:vAlign w:val="bottom"/>
          </w:tcPr>
          <w:p>
            <w:pPr>
              <w:spacing w:after="0"/>
              <w:rPr>
                <w:sz w:val="24"/>
                <w:szCs w:val="24"/>
                <w:color w:val="auto"/>
              </w:rPr>
            </w:pPr>
          </w:p>
        </w:tc>
        <w:tc>
          <w:tcPr>
            <w:tcW w:w="9120" w:type="dxa"/>
            <w:vAlign w:val="bottom"/>
            <w:gridSpan w:val="3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Recent Developments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900" w:type="dxa"/>
            <w:vAlign w:val="bottom"/>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7"/>
        </w:trPr>
        <w:tc>
          <w:tcPr>
            <w:tcW w:w="900" w:type="dxa"/>
            <w:vAlign w:val="bottom"/>
          </w:tcPr>
          <w:p>
            <w:pPr>
              <w:spacing w:after="0"/>
              <w:rPr>
                <w:sz w:val="24"/>
                <w:szCs w:val="24"/>
                <w:color w:val="auto"/>
              </w:rPr>
            </w:pPr>
          </w:p>
        </w:tc>
        <w:tc>
          <w:tcPr>
            <w:tcW w:w="3420" w:type="dxa"/>
            <w:vAlign w:val="bottom"/>
            <w:tcBorders>
              <w:bottom w:val="single" w:sz="8" w:color="0000EE"/>
            </w:tcBorders>
            <w:gridSpan w:val="27"/>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Trends Affecting the Offshore Marine Business</w:t>
              </w:r>
            </w:hyperlink>
          </w:p>
        </w:tc>
        <w:tc>
          <w:tcPr>
            <w:tcW w:w="5700" w:type="dxa"/>
            <w:vAlign w:val="bottom"/>
            <w:gridSpan w:val="9"/>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7"/>
        </w:trPr>
        <w:tc>
          <w:tcPr>
            <w:tcW w:w="900" w:type="dxa"/>
            <w:vAlign w:val="bottom"/>
          </w:tcPr>
          <w:p>
            <w:pPr>
              <w:spacing w:after="0"/>
              <w:rPr>
                <w:sz w:val="24"/>
                <w:szCs w:val="24"/>
                <w:color w:val="auto"/>
              </w:rPr>
            </w:pPr>
          </w:p>
        </w:tc>
        <w:tc>
          <w:tcPr>
            <w:tcW w:w="3460" w:type="dxa"/>
            <w:vAlign w:val="bottom"/>
            <w:tcBorders>
              <w:bottom w:val="single" w:sz="8" w:color="0000EE"/>
            </w:tcBorders>
            <w:gridSpan w:val="28"/>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Certain Components of Revenues and Expenses</w:t>
              </w:r>
            </w:hyperlink>
          </w:p>
        </w:tc>
        <w:tc>
          <w:tcPr>
            <w:tcW w:w="5660" w:type="dxa"/>
            <w:vAlign w:val="bottom"/>
            <w:gridSpan w:val="8"/>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7"/>
        </w:trPr>
        <w:tc>
          <w:tcPr>
            <w:tcW w:w="900" w:type="dxa"/>
            <w:vAlign w:val="bottom"/>
          </w:tcPr>
          <w:p>
            <w:pPr>
              <w:spacing w:after="0"/>
              <w:rPr>
                <w:sz w:val="24"/>
                <w:szCs w:val="24"/>
                <w:color w:val="auto"/>
              </w:rPr>
            </w:pPr>
          </w:p>
        </w:tc>
        <w:tc>
          <w:tcPr>
            <w:tcW w:w="25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Results of Operations</w:t>
              </w:r>
            </w:hyperlink>
          </w:p>
        </w:tc>
        <w:tc>
          <w:tcPr>
            <w:tcW w:w="6560" w:type="dxa"/>
            <w:vAlign w:val="bottom"/>
            <w:gridSpan w:val="17"/>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7"/>
        </w:trPr>
        <w:tc>
          <w:tcPr>
            <w:tcW w:w="900" w:type="dxa"/>
            <w:vAlign w:val="bottom"/>
          </w:tcPr>
          <w:p>
            <w:pPr>
              <w:spacing w:after="0"/>
              <w:rPr>
                <w:sz w:val="24"/>
                <w:szCs w:val="24"/>
                <w:color w:val="auto"/>
              </w:rPr>
            </w:pPr>
          </w:p>
        </w:tc>
        <w:tc>
          <w:tcPr>
            <w:tcW w:w="9120" w:type="dxa"/>
            <w:vAlign w:val="bottom"/>
            <w:gridSpan w:val="3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Liquidity and Capital Resources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900" w:type="dxa"/>
            <w:vAlign w:val="bottom"/>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7"/>
        </w:trPr>
        <w:tc>
          <w:tcPr>
            <w:tcW w:w="900" w:type="dxa"/>
            <w:vAlign w:val="bottom"/>
          </w:tcPr>
          <w:p>
            <w:pPr>
              <w:spacing w:after="0"/>
              <w:rPr>
                <w:sz w:val="24"/>
                <w:szCs w:val="24"/>
                <w:color w:val="auto"/>
              </w:rPr>
            </w:pPr>
          </w:p>
        </w:tc>
        <w:tc>
          <w:tcPr>
            <w:tcW w:w="282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Debt Securities and Credit Agreements</w:t>
              </w:r>
            </w:hyperlink>
          </w:p>
        </w:tc>
        <w:tc>
          <w:tcPr>
            <w:tcW w:w="6300" w:type="dxa"/>
            <w:vAlign w:val="bottom"/>
            <w:gridSpan w:val="15"/>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7"/>
        </w:trPr>
        <w:tc>
          <w:tcPr>
            <w:tcW w:w="900" w:type="dxa"/>
            <w:vAlign w:val="bottom"/>
          </w:tcPr>
          <w:p>
            <w:pPr>
              <w:spacing w:after="0"/>
              <w:rPr>
                <w:sz w:val="24"/>
                <w:szCs w:val="24"/>
                <w:color w:val="auto"/>
              </w:rPr>
            </w:pPr>
          </w:p>
        </w:tc>
        <w:tc>
          <w:tcPr>
            <w:tcW w:w="9120" w:type="dxa"/>
            <w:vAlign w:val="bottom"/>
            <w:gridSpan w:val="3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Effects of Inflation</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7"/>
        </w:trPr>
        <w:tc>
          <w:tcPr>
            <w:tcW w:w="900" w:type="dxa"/>
            <w:vAlign w:val="bottom"/>
          </w:tcPr>
          <w:p>
            <w:pPr>
              <w:spacing w:after="0"/>
              <w:rPr>
                <w:sz w:val="24"/>
                <w:szCs w:val="24"/>
                <w:color w:val="auto"/>
              </w:rPr>
            </w:pPr>
          </w:p>
        </w:tc>
        <w:tc>
          <w:tcPr>
            <w:tcW w:w="1360" w:type="dxa"/>
            <w:vAlign w:val="bottom"/>
            <w:tcBorders>
              <w:top w:val="single" w:sz="8" w:color="0000EE"/>
            </w:tcBorders>
            <w:gridSpan w:val="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Contingencies</w:t>
              </w:r>
            </w:hyperlink>
          </w:p>
        </w:tc>
        <w:tc>
          <w:tcPr>
            <w:tcW w:w="7760" w:type="dxa"/>
            <w:vAlign w:val="bottom"/>
            <w:gridSpan w:val="28"/>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900" w:type="dxa"/>
            <w:vAlign w:val="bottom"/>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7"/>
        </w:trPr>
        <w:tc>
          <w:tcPr>
            <w:tcW w:w="900" w:type="dxa"/>
            <w:vAlign w:val="bottom"/>
          </w:tcPr>
          <w:p>
            <w:pPr>
              <w:spacing w:after="0"/>
              <w:rPr>
                <w:sz w:val="24"/>
                <w:szCs w:val="24"/>
                <w:color w:val="auto"/>
              </w:rPr>
            </w:pPr>
          </w:p>
        </w:tc>
        <w:tc>
          <w:tcPr>
            <w:tcW w:w="19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65">
              <w:r>
                <w:rPr>
                  <w:rFonts w:ascii="Arial" w:cs="Arial" w:eastAsia="Arial" w:hAnsi="Arial"/>
                  <w:sz w:val="18"/>
                  <w:szCs w:val="18"/>
                  <w:color w:val="0000EE"/>
                  <w:w w:val="88"/>
                </w:rPr>
                <w:t>Related Party Transactions</w:t>
              </w:r>
            </w:hyperlink>
          </w:p>
        </w:tc>
        <w:tc>
          <w:tcPr>
            <w:tcW w:w="7180" w:type="dxa"/>
            <w:vAlign w:val="bottom"/>
            <w:gridSpan w:val="21"/>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7"/>
        </w:trPr>
        <w:tc>
          <w:tcPr>
            <w:tcW w:w="900" w:type="dxa"/>
            <w:vAlign w:val="bottom"/>
          </w:tcPr>
          <w:p>
            <w:pPr>
              <w:spacing w:after="0"/>
              <w:rPr>
                <w:sz w:val="24"/>
                <w:szCs w:val="24"/>
                <w:color w:val="auto"/>
              </w:rPr>
            </w:pPr>
          </w:p>
        </w:tc>
        <w:tc>
          <w:tcPr>
            <w:tcW w:w="9120" w:type="dxa"/>
            <w:vAlign w:val="bottom"/>
            <w:gridSpan w:val="3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Critical Accounting Policies and Estimates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9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6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7"/>
        </w:trPr>
        <w:tc>
          <w:tcPr>
            <w:tcW w:w="900" w:type="dxa"/>
            <w:vAlign w:val="bottom"/>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30"/>
          </w:tcPr>
          <w:p>
            <w:pPr>
              <w:spacing w:after="0"/>
              <w:rPr>
                <w:rFonts w:ascii="Arial" w:cs="Arial" w:eastAsia="Arial" w:hAnsi="Arial"/>
                <w:sz w:val="18"/>
                <w:szCs w:val="18"/>
                <w:color w:val="0000EE"/>
                <w:w w:val="92"/>
              </w:rPr>
            </w:pPr>
            <w:hyperlink w:anchor="page69">
              <w:r>
                <w:rPr>
                  <w:rFonts w:ascii="Arial" w:cs="Arial" w:eastAsia="Arial" w:hAnsi="Arial"/>
                  <w:sz w:val="18"/>
                  <w:szCs w:val="18"/>
                  <w:color w:val="0000EE"/>
                  <w:w w:val="92"/>
                </w:rPr>
                <w:t>Quantitative and Qualitative Disclosures About Market Risk</w:t>
              </w:r>
            </w:hyperlink>
          </w:p>
        </w:tc>
        <w:tc>
          <w:tcPr>
            <w:tcW w:w="4760" w:type="dxa"/>
            <w:vAlign w:val="bottom"/>
            <w:gridSpan w:val="6"/>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7"/>
        </w:trPr>
        <w:tc>
          <w:tcPr>
            <w:tcW w:w="900" w:type="dxa"/>
            <w:vAlign w:val="bottom"/>
          </w:tcPr>
          <w:p>
            <w:pPr>
              <w:spacing w:after="0"/>
              <w:rPr>
                <w:sz w:val="20"/>
                <w:szCs w:val="20"/>
                <w:color w:val="auto"/>
              </w:rPr>
            </w:pPr>
            <w:r>
              <w:rPr>
                <w:rFonts w:ascii="Arial" w:cs="Arial" w:eastAsia="Arial" w:hAnsi="Arial"/>
                <w:sz w:val="18"/>
                <w:szCs w:val="18"/>
                <w:color w:val="auto"/>
              </w:rPr>
              <w:t>Item 8.</w:t>
            </w:r>
          </w:p>
        </w:tc>
        <w:tc>
          <w:tcPr>
            <w:tcW w:w="9120" w:type="dxa"/>
            <w:vAlign w:val="bottom"/>
            <w:gridSpan w:val="3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Financial Statements and Supplementary Data</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9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6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7"/>
        </w:trPr>
        <w:tc>
          <w:tcPr>
            <w:tcW w:w="90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33"/>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Changes in and Disagreements with Accountants on Accounting and Financial Disclosure</w:t>
              </w:r>
            </w:hyperlink>
          </w:p>
        </w:tc>
        <w:tc>
          <w:tcPr>
            <w:tcW w:w="2640" w:type="dxa"/>
            <w:vAlign w:val="bottom"/>
            <w:gridSpan w:val="3"/>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7"/>
        </w:trPr>
        <w:tc>
          <w:tcPr>
            <w:tcW w:w="900" w:type="dxa"/>
            <w:vAlign w:val="bottom"/>
          </w:tcPr>
          <w:p>
            <w:pPr>
              <w:spacing w:after="0"/>
              <w:rPr>
                <w:sz w:val="20"/>
                <w:szCs w:val="20"/>
                <w:color w:val="auto"/>
              </w:rPr>
            </w:pPr>
            <w:r>
              <w:rPr>
                <w:rFonts w:ascii="Arial" w:cs="Arial" w:eastAsia="Arial" w:hAnsi="Arial"/>
                <w:sz w:val="18"/>
                <w:szCs w:val="18"/>
                <w:color w:val="auto"/>
              </w:rPr>
              <w:t>Item 9A.</w:t>
            </w:r>
          </w:p>
        </w:tc>
        <w:tc>
          <w:tcPr>
            <w:tcW w:w="9120" w:type="dxa"/>
            <w:vAlign w:val="bottom"/>
            <w:gridSpan w:val="3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Controls and Procedures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7"/>
        </w:trPr>
        <w:tc>
          <w:tcPr>
            <w:tcW w:w="90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1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7360" w:type="dxa"/>
            <w:vAlign w:val="bottom"/>
            <w:gridSpan w:val="24"/>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8"/>
        </w:trPr>
        <w:tc>
          <w:tcPr>
            <w:tcW w:w="90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20" w:type="dxa"/>
            <w:vAlign w:val="bottom"/>
            <w:gridSpan w:val="7"/>
          </w:tcPr>
          <w:p>
            <w:pPr>
              <w:jc w:val="center"/>
              <w:ind w:right="3780"/>
              <w:spacing w:after="0"/>
              <w:rPr>
                <w:sz w:val="20"/>
                <w:szCs w:val="20"/>
                <w:color w:val="auto"/>
              </w:rPr>
            </w:pPr>
            <w:r>
              <w:rPr>
                <w:rFonts w:ascii="Arial" w:cs="Arial" w:eastAsia="Arial" w:hAnsi="Arial"/>
                <w:sz w:val="18"/>
                <w:szCs w:val="18"/>
                <w:b w:val="1"/>
                <w:bCs w:val="1"/>
                <w:color w:val="auto"/>
              </w:rPr>
              <w:t>PART III</w:t>
            </w:r>
          </w:p>
        </w:tc>
        <w:tc>
          <w:tcPr>
            <w:tcW w:w="1220" w:type="dxa"/>
            <w:vAlign w:val="bottom"/>
          </w:tcPr>
          <w:p>
            <w:pPr>
              <w:spacing w:after="0"/>
              <w:rPr>
                <w:sz w:val="24"/>
                <w:szCs w:val="24"/>
                <w:color w:val="auto"/>
              </w:rPr>
            </w:pPr>
          </w:p>
        </w:tc>
      </w:tr>
      <w:tr>
        <w:trPr>
          <w:trHeight w:val="256"/>
        </w:trPr>
        <w:tc>
          <w:tcPr>
            <w:tcW w:w="90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29"/>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Directors, Executive Officers and Corporate Governance</w:t>
              </w:r>
            </w:hyperlink>
          </w:p>
        </w:tc>
        <w:tc>
          <w:tcPr>
            <w:tcW w:w="5020" w:type="dxa"/>
            <w:vAlign w:val="bottom"/>
            <w:gridSpan w:val="7"/>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7"/>
        </w:trPr>
        <w:tc>
          <w:tcPr>
            <w:tcW w:w="900" w:type="dxa"/>
            <w:vAlign w:val="bottom"/>
          </w:tcPr>
          <w:p>
            <w:pPr>
              <w:spacing w:after="0"/>
              <w:rPr>
                <w:sz w:val="20"/>
                <w:szCs w:val="20"/>
                <w:color w:val="auto"/>
              </w:rPr>
            </w:pPr>
            <w:r>
              <w:rPr>
                <w:rFonts w:ascii="Arial" w:cs="Arial" w:eastAsia="Arial" w:hAnsi="Arial"/>
                <w:sz w:val="18"/>
                <w:szCs w:val="18"/>
                <w:color w:val="auto"/>
              </w:rPr>
              <w:t>Item 11.</w:t>
            </w:r>
          </w:p>
        </w:tc>
        <w:tc>
          <w:tcPr>
            <w:tcW w:w="9120" w:type="dxa"/>
            <w:vAlign w:val="bottom"/>
            <w:gridSpan w:val="36"/>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Executive Compensation</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900" w:type="dxa"/>
            <w:vAlign w:val="bottom"/>
          </w:tcPr>
          <w:p>
            <w:pPr>
              <w:spacing w:after="0" w:line="20" w:lineRule="exact"/>
              <w:rPr>
                <w:sz w:val="1"/>
                <w:szCs w:val="1"/>
                <w:color w:val="auto"/>
              </w:rPr>
            </w:pPr>
          </w:p>
        </w:tc>
        <w:tc>
          <w:tcPr>
            <w:tcW w:w="1800" w:type="dxa"/>
            <w:vAlign w:val="bottom"/>
            <w:gridSpan w:val="14"/>
            <w:shd w:val="clear" w:color="auto" w:fill="0000EE"/>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8"/>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7"/>
        </w:trPr>
        <w:tc>
          <w:tcPr>
            <w:tcW w:w="900" w:type="dxa"/>
            <w:vAlign w:val="bottom"/>
          </w:tcPr>
          <w:p>
            <w:pPr>
              <w:spacing w:after="0"/>
              <w:rPr>
                <w:sz w:val="20"/>
                <w:szCs w:val="20"/>
                <w:color w:val="auto"/>
              </w:rPr>
            </w:pPr>
            <w:r>
              <w:rPr>
                <w:rFonts w:ascii="Arial" w:cs="Arial" w:eastAsia="Arial" w:hAnsi="Arial"/>
                <w:sz w:val="18"/>
                <w:szCs w:val="18"/>
                <w:color w:val="auto"/>
              </w:rPr>
              <w:t>Item 12.</w:t>
            </w:r>
          </w:p>
        </w:tc>
        <w:tc>
          <w:tcPr>
            <w:tcW w:w="9120" w:type="dxa"/>
            <w:vAlign w:val="bottom"/>
            <w:gridSpan w:val="36"/>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Security Ownership of Certain Beneficial Owners and Management and Related Stockholder Matters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7"/>
        </w:trPr>
        <w:tc>
          <w:tcPr>
            <w:tcW w:w="90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3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Certain Relationships and Related Transactions, and Director Independence</w:t>
              </w:r>
            </w:hyperlink>
          </w:p>
        </w:tc>
        <w:tc>
          <w:tcPr>
            <w:tcW w:w="1840" w:type="dxa"/>
            <w:vAlign w:val="bottom"/>
            <w:gridSpan w:val="2"/>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7"/>
        </w:trPr>
        <w:tc>
          <w:tcPr>
            <w:tcW w:w="90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31"/>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Principal Accounting Fees and Services</w:t>
              </w:r>
            </w:hyperlink>
          </w:p>
        </w:tc>
        <w:tc>
          <w:tcPr>
            <w:tcW w:w="3680" w:type="dxa"/>
            <w:vAlign w:val="bottom"/>
            <w:gridSpan w:val="5"/>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8"/>
        </w:trPr>
        <w:tc>
          <w:tcPr>
            <w:tcW w:w="90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60" w:type="dxa"/>
            <w:vAlign w:val="bottom"/>
            <w:gridSpan w:val="6"/>
          </w:tcPr>
          <w:p>
            <w:pPr>
              <w:jc w:val="center"/>
              <w:ind w:right="4040"/>
              <w:spacing w:after="0"/>
              <w:rPr>
                <w:sz w:val="20"/>
                <w:szCs w:val="20"/>
                <w:color w:val="auto"/>
              </w:rPr>
            </w:pPr>
            <w:r>
              <w:rPr>
                <w:rFonts w:ascii="Arial" w:cs="Arial" w:eastAsia="Arial" w:hAnsi="Arial"/>
                <w:sz w:val="18"/>
                <w:szCs w:val="18"/>
                <w:b w:val="1"/>
                <w:bCs w:val="1"/>
                <w:color w:val="auto"/>
              </w:rPr>
              <w:t>PART IV</w:t>
            </w:r>
          </w:p>
        </w:tc>
        <w:tc>
          <w:tcPr>
            <w:tcW w:w="1220" w:type="dxa"/>
            <w:vAlign w:val="bottom"/>
          </w:tcPr>
          <w:p>
            <w:pPr>
              <w:spacing w:after="0"/>
              <w:rPr>
                <w:sz w:val="24"/>
                <w:szCs w:val="24"/>
                <w:color w:val="auto"/>
              </w:rPr>
            </w:pP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Exhibits, Financial Statement Schedules</w:t>
              </w:r>
            </w:hyperlink>
          </w:p>
        </w:tc>
        <w:tc>
          <w:tcPr>
            <w:tcW w:w="6220" w:type="dxa"/>
            <w:vAlign w:val="bottom"/>
            <w:gridSpan w:val="13"/>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6"/>
          <w:szCs w:val="16"/>
          <w:i w:val="1"/>
          <w:iCs w:val="1"/>
          <w:color w:val="auto"/>
        </w:rPr>
        <w:t>Certain statements discussed in Item 1. (Business), Item 1A. (Risk Factors), Item 3. (Legal Proceedings), Item 7. (Management’s Discussion and Analysis of Financial Condition and Results of Operations), Item 7A. (Quantitative and Qualitative Disclosures About Market Risk) and elsewhere in this Annual Report on Form 10-K as well as in other materials and oral statements that the Company releases from time to time to the public constitute "forward-looking statements" within the meaning of the Private Securities Litigation Reform Act of 1995. Such forward-looking statements concern management’s expectations, strategic objectives, business prospects, anticipated economic performance and financial condition and other similar matters and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Certain of these risks, uncertainties and other important factors are discussed in Item 1A. (Risk Factors) and Item 7. (Management’s Discussion and Analysis of Financial Condition and Results of Operations). However, it should be understood that it is not possible to identify or predict all such risks, uncertainties and factors, and others may arise from time to time. All of these forward-looking statements constitute the Company’s cautionary statements under the Private Securities Litigation Reform Act of 1995. The words “anticipate,” “estimate,” “expect,” “project,” “intend,” “believe,” “plan,” “target,” “forecast” and similar expressions are intended to identify forward-looking statements. Forward-looking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Annual Reports on Form 10-K, Quarterly Reports on Form 10-Q and Current Reports on Form 8-K filed with the Securities and Exchange Commission.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 xml:space="preserve">Unless the context indicates otherwise, the terms “we,” “our,” “ours,” “us,” “its” and the “Company” refer to SEACOR Marine Holdings Inc. and its consolidated subsidiaries. “SEACOR Marine” refers to SEACOR Marine Holdings Inc., incorporated in 2014 in Delaware, without its subsidiaries. “Common Stock” refers to the common stock, </w:t>
      </w:r>
      <w:r>
        <w:rPr>
          <w:rFonts w:ascii="Arial" w:cs="Arial" w:eastAsia="Arial" w:hAnsi="Arial"/>
          <w:sz w:val="18"/>
          <w:szCs w:val="18"/>
          <w:i w:val="1"/>
          <w:iCs w:val="1"/>
          <w:color w:val="auto"/>
        </w:rPr>
        <w:t>par value</w:t>
      </w:r>
      <w:r>
        <w:rPr>
          <w:rFonts w:ascii="Arial" w:cs="Arial" w:eastAsia="Arial" w:hAnsi="Arial"/>
          <w:sz w:val="18"/>
          <w:szCs w:val="18"/>
          <w:color w:val="auto"/>
        </w:rPr>
        <w:t xml:space="preserve"> $0.01 per share, of SEACOR Marine. The Company’s fiscal year ends on December 31 of each year.</w:t>
      </w:r>
    </w:p>
    <w:p>
      <w:pPr>
        <w:spacing w:after="0" w:line="16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 xml:space="preserve">SEACOR Marine’s principal executive office is located at 12121 Wickchester Lane, Suite 500, Houston, Texas 77079, and its telephone number is (346) 980-1700. SEACOR Marine’s website address is </w:t>
      </w:r>
      <w:r>
        <w:rPr>
          <w:rFonts w:ascii="Arial" w:cs="Arial" w:eastAsia="Arial" w:hAnsi="Arial"/>
          <w:sz w:val="18"/>
          <w:szCs w:val="18"/>
          <w:i w:val="1"/>
          <w:iCs w:val="1"/>
          <w:color w:val="auto"/>
        </w:rPr>
        <w:t>www.seacormarine.com</w:t>
      </w:r>
      <w:r>
        <w:rPr>
          <w:rFonts w:ascii="Arial" w:cs="Arial" w:eastAsia="Arial" w:hAnsi="Arial"/>
          <w:sz w:val="18"/>
          <w:szCs w:val="18"/>
          <w:color w:val="auto"/>
        </w:rPr>
        <w:t>. Any reference to SEACOR Marine’s website is not intended to incorporate the information on the website into this Annual Report on Form 10-K.</w:t>
      </w:r>
    </w:p>
    <w:p>
      <w:pPr>
        <w:spacing w:after="0" w:line="14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Company’s corporate governance documents, including SEACOR Marine’s Board of Directors’ Audit Committee, Compensation Committee and Nominating and Corporate Governance Committee charters as well as the Company’s Corporate Governance Guidelines and Code of Ethics are available, free of charge, on SEACOR Marine’s website or in print for stockholders.</w:t>
      </w:r>
    </w:p>
    <w:p>
      <w:pPr>
        <w:spacing w:after="0" w:line="14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 xml:space="preserve">All of the Company’s periodic reports filed with the SEC pursuant to Section 13(a), 14 or 15(d) of the Securities Exchange Act of 1934, as amended (“Exchange Act”), are available, free of charge, on SEACOR Marine’s website, including its Annual Reports on Form 10-K, Quarterly Reports on Form 10-Q, Current Reports on Form 8-K, Proxy Statements and any amendments to those reports. These reports and amendments are available on SEACOR Marine’s website as soon as reasonably practicable after the Company electronically files the reports or amendments with the SEC. The SEC maintains a website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that contains these reports, proxy and information statements and other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189"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The Company provides global marine and support transportation services to offshore energy facilities worldwide. The Company and its joint ventures operate and manage a diverse fleet of offshore support vessels that (i) deliver cargo and personnel to offshore installations including wind farms,</w:t>
      </w:r>
    </w:p>
    <w:p>
      <w:pPr>
        <w:jc w:val="both"/>
        <w:ind w:firstLine="8"/>
        <w:spacing w:after="0" w:line="253" w:lineRule="auto"/>
        <w:tabs>
          <w:tab w:leader="none" w:pos="284" w:val="left"/>
        </w:tabs>
        <w:numPr>
          <w:ilvl w:val="0"/>
          <w:numId w:val="3"/>
        </w:numPr>
        <w:rPr>
          <w:rFonts w:ascii="Arial" w:cs="Arial" w:eastAsia="Arial" w:hAnsi="Arial"/>
          <w:sz w:val="18"/>
          <w:szCs w:val="18"/>
          <w:color w:val="auto"/>
        </w:rPr>
      </w:pPr>
      <w:r>
        <w:rPr>
          <w:rFonts w:ascii="Arial" w:cs="Arial" w:eastAsia="Arial" w:hAnsi="Arial"/>
          <w:sz w:val="18"/>
          <w:szCs w:val="18"/>
          <w:color w:val="auto"/>
        </w:rPr>
        <w:t>handle anchors and mooring equipment required to tether rigs to the seabed, (iii) tow rigs and assist in placing them on location and moving them between regions, (iv) provide construction, well work-over, maintenance and decommissioning support and (v) carry and launch equipment used underwater in drilling and well installation, maintenance, inspection and repair. Additionally, the Company’s vessels provide accommodations for technicians and specialists, safety support and emergency response services.</w:t>
      </w:r>
    </w:p>
    <w:p>
      <w:pPr>
        <w:spacing w:after="0" w:line="152"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On January 12, 2021, the Company completed the announced sale of Windcat Workboats Holdings Ltd (“Windcat Workboats”), the Company’s indirect wholly owned subsidiary, and the crew transfer vessel (“CTV”) business of Windcat Workboats (the “Windcat Workboats CTV Business”), which was previously classified as assets held for sale as of the end of the fourth quarter 2020. Unless the context indicates otherwise, the results for all periods presented exclude the CTV operations of the Windcat Workboats CTV Business which are classified as Discontinued Operations.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both"/>
        <w:ind w:firstLine="749"/>
        <w:spacing w:after="0" w:line="277" w:lineRule="auto"/>
        <w:rPr>
          <w:sz w:val="20"/>
          <w:szCs w:val="20"/>
          <w:color w:val="auto"/>
        </w:rPr>
      </w:pPr>
      <w:r>
        <w:rPr>
          <w:rFonts w:ascii="Arial" w:cs="Arial" w:eastAsia="Arial" w:hAnsi="Arial"/>
          <w:sz w:val="18"/>
          <w:szCs w:val="18"/>
          <w:color w:val="auto"/>
        </w:rPr>
        <w:t>For a discussion of risk and economic factors that may impact the Company’s financial position and its results of operations, see “Item 1A. Risk Factors” and “Item 7. Management’s Discussion and Analysis of Financial Condition and Results of Operations.”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Equipment and Services</w:t>
      </w:r>
    </w:p>
    <w:p>
      <w:pPr>
        <w:spacing w:after="0" w:line="18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following tables identify the types of vessels that comprise the Company’s fleet as of December 31 for the indicated years. “Owned” are majority owned and controlled by the Company. “Joint-Ventured” are owned or operated by entities in which the Company does not have a controlling interest. “Leased-in” may either be vessels contracted from leasing companies to which the Company may have sold such vessels or vessels chartered-in from other third-party owners. “Managed” are owned by entities not affiliated with the Company but operated by the Company for a fee. A description of vessel classes follows this table.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1"/>
              </w:rPr>
              <w:t>Owned Fleet</w:t>
            </w: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89"/>
              </w:rPr>
              <w:t>Joint-</w:t>
            </w:r>
          </w:p>
        </w:tc>
        <w:tc>
          <w:tcPr>
            <w:tcW w:w="1020" w:type="dxa"/>
            <w:vAlign w:val="bottom"/>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90"/>
              </w:rPr>
              <w:t>Leased -</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0"/>
              <w:spacing w:after="0" w:line="205" w:lineRule="exact"/>
              <w:rPr>
                <w:sz w:val="20"/>
                <w:szCs w:val="20"/>
                <w:color w:val="auto"/>
              </w:rPr>
            </w:pPr>
            <w:r>
              <w:rPr>
                <w:rFonts w:ascii="Arial" w:cs="Arial" w:eastAsia="Arial" w:hAnsi="Arial"/>
                <w:sz w:val="18"/>
                <w:szCs w:val="18"/>
                <w:b w:val="1"/>
                <w:bCs w:val="1"/>
                <w:color w:val="auto"/>
                <w:w w:val="95"/>
              </w:rPr>
              <w:t>Average</w:t>
            </w:r>
          </w:p>
        </w:tc>
        <w:tc>
          <w:tcPr>
            <w:tcW w:w="220" w:type="dxa"/>
            <w:vAlign w:val="bottom"/>
          </w:tcPr>
          <w:p>
            <w:pPr>
              <w:spacing w:after="0"/>
              <w:rPr>
                <w:sz w:val="17"/>
                <w:szCs w:val="17"/>
                <w:color w:val="auto"/>
              </w:rPr>
            </w:pPr>
          </w:p>
        </w:tc>
        <w:tc>
          <w:tcPr>
            <w:tcW w:w="1020" w:type="dxa"/>
            <w:vAlign w:val="bottom"/>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92"/>
              </w:rPr>
              <w:t>U.S.-</w:t>
            </w:r>
          </w:p>
        </w:tc>
        <w:tc>
          <w:tcPr>
            <w:tcW w:w="8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8"/>
              </w:rPr>
              <w:t>Foreign-</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Owned</w:t>
            </w: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Ventured</w:t>
            </w: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w:t>
            </w: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rPr>
              <w:t>Managed</w:t>
            </w: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Age</w:t>
            </w:r>
          </w:p>
        </w:tc>
        <w:tc>
          <w:tcPr>
            <w:tcW w:w="22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Flag</w:t>
            </w:r>
          </w:p>
        </w:tc>
        <w:tc>
          <w:tcPr>
            <w:tcW w:w="8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Flag</w:t>
            </w:r>
          </w:p>
        </w:tc>
        <w:tc>
          <w:tcPr>
            <w:tcW w:w="0" w:type="dxa"/>
            <w:vAlign w:val="bottom"/>
          </w:tcPr>
          <w:p>
            <w:pPr>
              <w:spacing w:after="0"/>
              <w:rPr>
                <w:sz w:val="1"/>
                <w:szCs w:val="1"/>
                <w:color w:val="auto"/>
              </w:rPr>
            </w:pPr>
          </w:p>
        </w:tc>
      </w:tr>
      <w:tr>
        <w:trPr>
          <w:trHeight w:val="237"/>
        </w:trPr>
        <w:tc>
          <w:tcPr>
            <w:tcW w:w="2920" w:type="dxa"/>
            <w:vAlign w:val="bottom"/>
            <w:tcBorders>
              <w:bottom w:val="single" w:sz="8" w:color="auto"/>
            </w:tcBorders>
          </w:tcPr>
          <w:p>
            <w:pPr>
              <w:jc w:val="center"/>
              <w:ind w:right="1070"/>
              <w:spacing w:after="0" w:line="236" w:lineRule="exact"/>
              <w:rPr>
                <w:sz w:val="20"/>
                <w:szCs w:val="20"/>
                <w:color w:val="auto"/>
              </w:rPr>
            </w:pPr>
            <w:r>
              <w:rPr>
                <w:rFonts w:ascii="Arial" w:cs="Arial" w:eastAsia="Arial" w:hAnsi="Arial"/>
                <w:sz w:val="18"/>
                <w:szCs w:val="18"/>
                <w:b w:val="1"/>
                <w:bCs w:val="1"/>
                <w:color w:val="auto"/>
              </w:rPr>
              <w:t xml:space="preserve">2021 </w:t>
            </w:r>
            <w:r>
              <w:rPr>
                <w:rFonts w:ascii="Arial" w:cs="Arial" w:eastAsia="Arial" w:hAnsi="Arial"/>
                <w:sz w:val="26"/>
                <w:szCs w:val="26"/>
                <w:b w:val="1"/>
                <w:bCs w:val="1"/>
                <w:color w:val="auto"/>
                <w:vertAlign w:val="superscript"/>
              </w:rPr>
              <w:t>(1)</w:t>
            </w:r>
          </w:p>
        </w:tc>
        <w:tc>
          <w:tcPr>
            <w:tcW w:w="240" w:type="dxa"/>
            <w:vAlign w:val="bottom"/>
            <w:tcBorders>
              <w:bottom w:val="single" w:sz="8" w:color="CFF0FC"/>
            </w:tcBorders>
          </w:tcPr>
          <w:p>
            <w:pPr>
              <w:spacing w:after="0"/>
              <w:rPr>
                <w:sz w:val="20"/>
                <w:szCs w:val="20"/>
                <w:color w:val="auto"/>
              </w:rPr>
            </w:pPr>
          </w:p>
        </w:tc>
        <w:tc>
          <w:tcPr>
            <w:tcW w:w="840" w:type="dxa"/>
            <w:vAlign w:val="bottom"/>
            <w:tcBorders>
              <w:top w:val="single" w:sz="8" w:color="auto"/>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20" w:type="dxa"/>
            <w:vAlign w:val="bottom"/>
            <w:tcBorders>
              <w:top w:val="single" w:sz="8" w:color="auto"/>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800" w:type="dxa"/>
            <w:vAlign w:val="bottom"/>
            <w:tcBorders>
              <w:top w:val="single" w:sz="8" w:color="auto"/>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800" w:type="dxa"/>
            <w:vAlign w:val="bottom"/>
            <w:tcBorders>
              <w:top w:val="single" w:sz="8" w:color="auto"/>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820" w:type="dxa"/>
            <w:vAlign w:val="bottom"/>
            <w:tcBorders>
              <w:top w:val="single" w:sz="8" w:color="auto"/>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800" w:type="dxa"/>
            <w:vAlign w:val="bottom"/>
            <w:tcBorders>
              <w:top w:val="single" w:sz="8" w:color="auto"/>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800" w:type="dxa"/>
            <w:vAlign w:val="bottom"/>
            <w:tcBorders>
              <w:top w:val="single" w:sz="8" w:color="auto"/>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820" w:type="dxa"/>
            <w:vAlign w:val="bottom"/>
            <w:tcBorders>
              <w:top w:val="single" w:sz="8" w:color="auto"/>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Supply</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FSV</w:t>
            </w: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Liftboats </w:t>
            </w:r>
            <w:r>
              <w:rPr>
                <w:rFonts w:ascii="Arial" w:cs="Arial" w:eastAsia="Arial" w:hAnsi="Arial"/>
                <w:sz w:val="15"/>
                <w:szCs w:val="15"/>
                <w:color w:val="auto"/>
              </w:rPr>
              <w:t>(2)</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AHTS</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Specialty </w:t>
            </w:r>
            <w:r>
              <w:rPr>
                <w:rFonts w:ascii="Arial" w:cs="Arial" w:eastAsia="Arial" w:hAnsi="Arial"/>
                <w:sz w:val="15"/>
                <w:szCs w:val="15"/>
                <w:color w:val="auto"/>
              </w:rPr>
              <w:t>(3)</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92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FF0FC"/>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FF0FC"/>
          </w:tcPr>
          <w:p>
            <w:pPr>
              <w:ind w:left="1340"/>
              <w:spacing w:after="0"/>
              <w:rPr>
                <w:sz w:val="20"/>
                <w:szCs w:val="20"/>
                <w:color w:val="auto"/>
              </w:rPr>
            </w:pPr>
            <w:r>
              <w:rPr>
                <w:rFonts w:ascii="Arial" w:cs="Arial" w:eastAsia="Arial" w:hAnsi="Arial"/>
                <w:sz w:val="18"/>
                <w:szCs w:val="18"/>
                <w:b w:val="1"/>
                <w:bCs w:val="1"/>
                <w:color w:val="auto"/>
              </w:rPr>
              <w:t>2020</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Supply</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FSV</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Liftboats</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AHTS</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Specialty</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CTV - Discontinued Operations</w:t>
            </w:r>
            <w:r>
              <w:rPr>
                <w:rFonts w:ascii="Arial" w:cs="Arial" w:eastAsia="Arial" w:hAnsi="Arial"/>
                <w:sz w:val="15"/>
                <w:szCs w:val="15"/>
                <w:color w:val="auto"/>
              </w:rPr>
              <w:t>(3)</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CTV - Continuing Operations</w:t>
            </w:r>
            <w:r>
              <w:rPr>
                <w:rFonts w:ascii="Arial" w:cs="Arial" w:eastAsia="Arial" w:hAnsi="Arial"/>
                <w:sz w:val="15"/>
                <w:szCs w:val="15"/>
                <w:color w:val="auto"/>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0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jc w:val="right"/>
              <w:ind w:right="11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Supply</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FSV</w:t>
            </w: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Liftboats</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CTV - Discontinued Operations</w:t>
            </w: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CTV - Continuing Operations</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AHTS</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Specialty</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760" w:hanging="752"/>
        <w:spacing w:after="0" w:line="225" w:lineRule="auto"/>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December 31, 2021, 54 of the Company’s owned and leased-in vessels were outfitted with dynamic positioning (“DP”) systems. DP systems enable vessels to maintain a fixed position in close proximity to a rig or platform. The most technologically advanced DP systems have enhanced redundancy in the vessel’s power, electrical, computer and reference systems enabling vessels to maintain accurate position-keeping even in the event of failure of one of those systems (“DP-2”) and, in some cases, in the event of fire and flood (“DP-3”).</w:t>
      </w:r>
    </w:p>
    <w:p>
      <w:pPr>
        <w:spacing w:after="0" w:line="2" w:lineRule="exact"/>
        <w:rPr>
          <w:rFonts w:ascii="Arial" w:cs="Arial" w:eastAsia="Arial" w:hAnsi="Arial"/>
          <w:sz w:val="14"/>
          <w:szCs w:val="14"/>
          <w:color w:val="auto"/>
        </w:rPr>
      </w:pPr>
    </w:p>
    <w:p>
      <w:pPr>
        <w:ind w:left="760" w:hanging="752"/>
        <w:spacing w:after="0" w:line="221" w:lineRule="auto"/>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the second quarter of 2021, the Company removed from service four liftboats. Removed from service vessels are not counted in active fleet count.</w:t>
      </w:r>
    </w:p>
    <w:p>
      <w:pPr>
        <w:ind w:left="760" w:hanging="752"/>
        <w:spacing w:after="0" w:line="237" w:lineRule="auto"/>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One owned vessel classified as a CTV Continuing Operations as of December 31, 2020 was reclassified as a specialty vessel as of January 12, 2021. The vessels categorized as CTV-Discontinued Operations in 2020 primarily consisted of the Windcat Workboats CTVs sold in January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-676910</wp:posOffset>
            </wp:positionV>
            <wp:extent cx="9512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40"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i w:val="1"/>
          <w:iCs w:val="1"/>
          <w:color w:val="auto"/>
        </w:rPr>
        <w:t xml:space="preserve">Supply </w:t>
      </w:r>
      <w:r>
        <w:rPr>
          <w:rFonts w:ascii="Arial" w:cs="Arial" w:eastAsia="Arial" w:hAnsi="Arial"/>
          <w:sz w:val="17"/>
          <w:szCs w:val="17"/>
          <w:color w:val="auto"/>
        </w:rPr>
        <w:t>vessels (also known as platform supply vessels (“PSVs”)) generally range from 190 to more than 300 feet in length and are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used to deliver general cargo, drilling fluids, bulk products, methanol, diesel fuel and water to rigs and platforms where drilling and work-over activity is underway. These vessels are capable of being modified for a wide variety of other uses and missions, including, but not limited to, construction support typically when fitted with a crane, standby, security, firefighting, and accommodation. Relevant differentiating features of supply vessels are total carrying capacity (expressed as deadweight: “dwt”), available area of clear deck space, below-deck capacity for storage of mud and bulk products used in the drilling process, tank storage for water and fuel oil, fuel efficiency and accommodation capacity. Additional factors in the commercial marketability of supply vessels are operating draft because certain markets are limited in the size of vessel that can work safely, local flag preference, cabotage requirements and regulations. To improve station keeping ability, many modern supply vessels have DP systems capabilities. As of December 31, 2021, all 20 of the owned supply vessels and 11 of the 15 joint-ventured supply vessels were equipped with DP-2. The remaining joint-ventured supply vessels were equipped with DP-1. To improve fuel efficiency, reduce carbon and other emissions, and provide greater redundancy, supply vessels are sometimes equipped with hybrid power systems. As of December 31, 2021, six of the 20 owned supply vessels, and three of the 15 joint-ventured supply vessels were equipped with hybrid power systems.</w:t>
      </w:r>
    </w:p>
    <w:p>
      <w:pPr>
        <w:sectPr>
          <w:pgSz w:w="11900" w:h="16838" w:orient="portrait"/>
          <w:cols w:equalWidth="0" w:num="1">
            <w:col w:w="11240"/>
          </w:cols>
          <w:pgMar w:left="320" w:top="301" w:right="339"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4" w:name="page5"/>
    <w:bookmarkEnd w:id="4"/>
    <w:p>
      <w:pPr>
        <w:jc w:val="both"/>
        <w:ind w:firstLine="749"/>
        <w:spacing w:after="0" w:line="268" w:lineRule="auto"/>
        <w:rPr>
          <w:sz w:val="20"/>
          <w:szCs w:val="20"/>
          <w:color w:val="auto"/>
        </w:rPr>
      </w:pPr>
      <w:r>
        <w:rPr>
          <w:rFonts w:ascii="Arial" w:cs="Arial" w:eastAsia="Arial" w:hAnsi="Arial"/>
          <w:sz w:val="17"/>
          <w:szCs w:val="17"/>
          <w:i w:val="1"/>
          <w:iCs w:val="1"/>
          <w:color w:val="auto"/>
        </w:rPr>
        <w:t xml:space="preserve">Fast support </w:t>
      </w:r>
      <w:r>
        <w:rPr>
          <w:rFonts w:ascii="Arial" w:cs="Arial" w:eastAsia="Arial" w:hAnsi="Arial"/>
          <w:sz w:val="17"/>
          <w:szCs w:val="17"/>
          <w:color w:val="auto"/>
        </w:rPr>
        <w:t>vessels (“FSVs”) are aluminum hull vessels used primarily to move cargo and personnel to and from offshore drilling rigs,</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platforms and other installations at greater speeds than traditional steel hull support vessels. FSVs can be catamaran or mono-hull vessels ranging from 145 to 205 feet in length and capable of speeds between 20 to 45 knots with capacities to carry special cargo, support both drilling operations and production services and transport passengers. The Company’s FSV fleet includes vessels that have a passenger capacity of 36 to 150 and, on certain newer FSVs, include reclining seating, ambient lighting and other features to enhance comfort and marketability for passenger transport. FSVs built within the last ten years are sometimes equipped with DP-2 systems, firefighting equipment, hospitals, walk to work and ride control systems for greater comfort and performance. As of December 31, 2021, 22 of the 24 owned and leased-in FSVs were equipped with DP-2 and two were equipped with DP-3. As of December 31, 2021, four of the five joint-ventured FSVs were not equipped with DP and the remaining joint-ventured vessel was equipped with a DP-2 system. We have been a pioneer in improving the fuel efficiency of FSV’s. For instance, our FSV fleet is comprised of vessels with semi-displacement hulls and many of our vessels include Ride Control Technology that optimizes vessel trim and dampens acceleration to reduce fuel consumption. We have also been exploring additional means to cut down on fuel consumption of FSVs. We continue to optimize our hulls by partnering with Incat Crowther to design more efficient hulls through computer modeling and tank testing, and through the installation of whole hull ultrasonic antifouling systems. This new technology is currently on four of our FSVs.</w:t>
      </w:r>
    </w:p>
    <w:p>
      <w:pPr>
        <w:spacing w:after="0" w:line="15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i w:val="1"/>
          <w:iCs w:val="1"/>
          <w:color w:val="auto"/>
        </w:rPr>
        <w:t xml:space="preserve">Liftboats </w:t>
      </w:r>
      <w:r>
        <w:rPr>
          <w:rFonts w:ascii="Arial" w:cs="Arial" w:eastAsia="Arial" w:hAnsi="Arial"/>
          <w:sz w:val="18"/>
          <w:szCs w:val="18"/>
          <w:color w:val="auto"/>
        </w:rPr>
        <w:t>provide a self-propelled, stable platform to perform wind farm installation and maintenance, production platform 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inspection, maintenance and removal, well intervention and work-over, well production enhancement, well plug and abandonment, pipeline installation and maintenance and diving operations. The length of jacking legs (235 feet to 335 feet for the Company’s liftboats) determines the water depth in which these vessels can work. Other differentiating features are crane lifting capacity and reach, clear deck area, helipad and electrical generating power and accommodation capacity. Liftboats are used in all of our operating areas. As of December 31, 2021, three of the nine owned liftboats were equipped with DP-2, one with DP-1 and the remaining liftboats were not equipped with DP. Liftboats can support projects while elevated out of the water, shutting down all main engines and relying on one generator during the project, realizing a significant reduction in fuel consumption over vessels that would have to run all engines.</w:t>
      </w:r>
    </w:p>
    <w:p>
      <w:pPr>
        <w:spacing w:after="0" w:line="151"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i w:val="1"/>
          <w:iCs w:val="1"/>
          <w:color w:val="auto"/>
        </w:rPr>
        <w:t xml:space="preserve">Anchor handling towing supply </w:t>
      </w:r>
      <w:r>
        <w:rPr>
          <w:rFonts w:ascii="Arial" w:cs="Arial" w:eastAsia="Arial" w:hAnsi="Arial"/>
          <w:sz w:val="16"/>
          <w:szCs w:val="16"/>
          <w:color w:val="auto"/>
        </w:rPr>
        <w:t>(“AHTS”) vessels are used primarily to support offshore drilling activities by towing, positioning and mooring</w:t>
      </w:r>
      <w:r>
        <w:rPr>
          <w:rFonts w:ascii="Arial" w:cs="Arial" w:eastAsia="Arial" w:hAnsi="Arial"/>
          <w:sz w:val="16"/>
          <w:szCs w:val="16"/>
          <w:i w:val="1"/>
          <w:iCs w:val="1"/>
          <w:color w:val="auto"/>
        </w:rPr>
        <w:t xml:space="preserve"> </w:t>
      </w:r>
      <w:r>
        <w:rPr>
          <w:rFonts w:ascii="Arial" w:cs="Arial" w:eastAsia="Arial" w:hAnsi="Arial"/>
          <w:sz w:val="16"/>
          <w:szCs w:val="16"/>
          <w:color w:val="auto"/>
        </w:rPr>
        <w:t>drilling rigs and other marine equipment. AHTS vessels are also used to carry and launch equipment such as remote operated vehicles (“ROVs”) used underwater in drilling and well installation, maintenance, and repair and transport supplies and equipment from shore bases to offshore drilling rigs, platforms and other installations, including floating wind farm installations. The defining characteristics of AHTS vessels are: (i) horsepower (“bhp”); (ii) bollard pull, which is the pulling capacity of the AHTS vessel and is important for towing and positioning rigs; (iii) winch size in terms of “line pull” and brake holding capacity; and (iv) wire storage capacity. The Company’s fleet of AHTS vessels has varying capabilities and supports offshore mooring activities in water depths ranging from 300 to 8,000 feet. Most modern AHTS vessels are equipped with DP systems and can also carry drilling fluids and bulk products below-deck. As of December 31, 2021, all six of the Company’s owned and leased-in AHTS vessels were equipped with DP-2.</w:t>
      </w:r>
    </w:p>
    <w:p>
      <w:pPr>
        <w:spacing w:after="0" w:line="12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i w:val="1"/>
          <w:iCs w:val="1"/>
          <w:color w:val="auto"/>
        </w:rPr>
        <w:t xml:space="preserve">Specialty </w:t>
      </w:r>
      <w:r>
        <w:rPr>
          <w:rFonts w:ascii="Arial" w:cs="Arial" w:eastAsia="Arial" w:hAnsi="Arial"/>
          <w:sz w:val="18"/>
          <w:szCs w:val="18"/>
          <w:color w:val="auto"/>
        </w:rPr>
        <w:t>vessels include anchor handling tugs, accommodation, line handling and other vessels. These vessels generally have specialized</w:t>
      </w:r>
      <w:r>
        <w:rPr>
          <w:rFonts w:ascii="Arial" w:cs="Arial" w:eastAsia="Arial" w:hAnsi="Arial"/>
          <w:sz w:val="18"/>
          <w:szCs w:val="18"/>
          <w:i w:val="1"/>
          <w:iCs w:val="1"/>
          <w:color w:val="auto"/>
        </w:rPr>
        <w:t xml:space="preserve"> </w:t>
      </w:r>
      <w:r>
        <w:rPr>
          <w:rFonts w:ascii="Arial" w:cs="Arial" w:eastAsia="Arial" w:hAnsi="Arial"/>
          <w:sz w:val="18"/>
          <w:szCs w:val="18"/>
          <w:color w:val="auto"/>
        </w:rPr>
        <w:t>features adapting them to specific applications including offshore maintenance and construction services, freight hauling services and accommodation services. As of December 31, 2021, the one owned specialty vessel was not equipped with DP.</w:t>
      </w:r>
    </w:p>
    <w:p>
      <w:pPr>
        <w:spacing w:after="0" w:line="15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In addition to its existing fleet, as of December 31, 2021, the Company has a construction project in progress for one U.S.-flag, DP-2 FSV with an uncertain delivery date as the Company, at its option, may defer its construction for an indefinite period of time.</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Markets</w:t>
      </w:r>
    </w:p>
    <w:p>
      <w:pPr>
        <w:spacing w:after="0" w:line="18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Company operates its fleet in four principal geographic regions: the United States (“U.S.”), primarily in the Gulf of Mexico; Africa and Europe, primarily in West Africa and the North Sea; the Middle East and Asia; and Latin America, primarily in Mexico and Guyana. The Company’s vessels are highly mobile and regularly and routinely move between countries within a geographic region. In addition, the Company’s vessels are redeployed among its geographic regions, subject to flag restrictions, as changes in market conditions dictate.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 w:name="page6"/>
    <w:bookmarkEnd w:id="5"/>
    <w:p>
      <w:pPr>
        <w:jc w:val="both"/>
        <w:ind w:firstLine="749"/>
        <w:spacing w:after="0" w:line="291" w:lineRule="auto"/>
        <w:rPr>
          <w:sz w:val="20"/>
          <w:szCs w:val="20"/>
          <w:color w:val="auto"/>
        </w:rPr>
      </w:pPr>
      <w:r>
        <w:rPr>
          <w:rFonts w:ascii="Arial" w:cs="Arial" w:eastAsia="Arial" w:hAnsi="Arial"/>
          <w:sz w:val="16"/>
          <w:szCs w:val="16"/>
          <w:color w:val="auto"/>
        </w:rPr>
        <w:t>The table below sets forth vessel types by geographic market as of December 31 for the indicated years. The Company sometimes participates in joint venture arrangements in certain geographical locations in order to enhance marketing capabilities and facilitate operations in certain foreign markets allowing for the expansion of its fleet and operations while diversifying risks and reducing capital outlays associated with such expansion.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180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16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United States, primarily U.S. Gulf of Mexico:</w:t>
            </w:r>
          </w:p>
        </w:tc>
        <w:tc>
          <w:tcPr>
            <w:tcW w:w="1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Supply</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FSV</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Liftboats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AHTS</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Specialty</w:t>
            </w:r>
          </w:p>
        </w:tc>
        <w:tc>
          <w:tcPr>
            <w:tcW w:w="180" w:type="dxa"/>
            <w:vAlign w:val="bottom"/>
          </w:tcPr>
          <w:p>
            <w:pPr>
              <w:spacing w:after="0"/>
              <w:rPr>
                <w:sz w:val="19"/>
                <w:szCs w:val="19"/>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3"/>
        </w:trPr>
        <w:tc>
          <w:tcPr>
            <w:tcW w:w="55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b w:val="1"/>
                <w:bCs w:val="1"/>
                <w:color w:val="auto"/>
              </w:rPr>
              <w:t>Africa and Europe, continuing operations:</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Supply</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FSV</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AHTS</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Liftboat</w:t>
            </w:r>
          </w:p>
        </w:tc>
        <w:tc>
          <w:tcPr>
            <w:tcW w:w="1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CTV Discontinued Operations</w:t>
            </w:r>
          </w:p>
        </w:tc>
        <w:tc>
          <w:tcPr>
            <w:tcW w:w="180" w:type="dxa"/>
            <w:vAlign w:val="bottom"/>
          </w:tcPr>
          <w:p>
            <w:pPr>
              <w:spacing w:after="0"/>
              <w:rPr>
                <w:sz w:val="19"/>
                <w:szCs w:val="19"/>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r>
      <w:tr>
        <w:trPr>
          <w:trHeight w:val="223"/>
        </w:trPr>
        <w:tc>
          <w:tcPr>
            <w:tcW w:w="55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CFF0FC"/>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80" w:type="dxa"/>
            <w:vAlign w:val="bottom"/>
            <w:tcBorders>
              <w:bottom w:val="single" w:sz="8" w:color="CFF0FC"/>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FF0FC"/>
            </w:tcBorders>
          </w:tcPr>
          <w:p>
            <w:pPr>
              <w:spacing w:after="0"/>
              <w:rPr>
                <w:sz w:val="19"/>
                <w:szCs w:val="19"/>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Middle East and Asia:</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Supply</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FSV</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Liftboats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CTV Discontinued Operations</w:t>
            </w:r>
          </w:p>
        </w:tc>
        <w:tc>
          <w:tcPr>
            <w:tcW w:w="1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CTV Continuing Operations</w:t>
            </w:r>
          </w:p>
        </w:tc>
        <w:tc>
          <w:tcPr>
            <w:tcW w:w="180" w:type="dxa"/>
            <w:vAlign w:val="bottom"/>
          </w:tcPr>
          <w:p>
            <w:pPr>
              <w:spacing w:after="0"/>
              <w:rPr>
                <w:sz w:val="19"/>
                <w:szCs w:val="19"/>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AHTS</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Specialty</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3"/>
        </w:trPr>
        <w:tc>
          <w:tcPr>
            <w:tcW w:w="55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b w:val="1"/>
                <w:bCs w:val="1"/>
                <w:color w:val="auto"/>
              </w:rPr>
              <w:t>Latin America:</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Supply</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FSV</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Liftboats</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Specialty</w:t>
            </w:r>
          </w:p>
        </w:tc>
        <w:tc>
          <w:tcPr>
            <w:tcW w:w="180" w:type="dxa"/>
            <w:vAlign w:val="bottom"/>
          </w:tcPr>
          <w:p>
            <w:pPr>
              <w:spacing w:after="0"/>
              <w:rPr>
                <w:sz w:val="19"/>
                <w:szCs w:val="19"/>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23"/>
        </w:trPr>
        <w:tc>
          <w:tcPr>
            <w:tcW w:w="55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Foreign Fleet</w:t>
            </w:r>
          </w:p>
        </w:tc>
        <w:tc>
          <w:tcPr>
            <w:tcW w:w="18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80" w:type="dxa"/>
            <w:vAlign w:val="bottom"/>
            <w:tcBorders>
              <w:bottom w:val="single" w:sz="8" w:color="CFF0FC"/>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FF0FC"/>
            </w:tcBorders>
          </w:tcPr>
          <w:p>
            <w:pPr>
              <w:spacing w:after="0"/>
              <w:rPr>
                <w:sz w:val="19"/>
                <w:szCs w:val="19"/>
                <w:color w:val="auto"/>
              </w:rPr>
            </w:pPr>
          </w:p>
        </w:tc>
      </w:tr>
      <w:tr>
        <w:trPr>
          <w:trHeight w:val="223"/>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Fleet</w:t>
            </w:r>
          </w:p>
        </w:tc>
        <w:tc>
          <w:tcPr>
            <w:tcW w:w="18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8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United States, primarily U.S. Gulf of Mexico. </w:t>
      </w:r>
      <w:r>
        <w:rPr>
          <w:rFonts w:ascii="Arial" w:cs="Arial" w:eastAsia="Arial" w:hAnsi="Arial"/>
          <w:sz w:val="18"/>
          <w:szCs w:val="18"/>
          <w:color w:val="auto"/>
        </w:rPr>
        <w:t>As of December 31, 2021, 15 vessels were located in the U.S. Gulf of Mexico, including 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owned, two leased-in and one managed-in. The Company’s vessels in this market support deepwater anchor handling, fast cargo transport, general cargo transport, well intervention, work-over, decommissioning and diving support operations.</w:t>
      </w:r>
    </w:p>
    <w:p>
      <w:pPr>
        <w:spacing w:after="0" w:line="143"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b w:val="1"/>
          <w:bCs w:val="1"/>
          <w:i w:val="1"/>
          <w:iCs w:val="1"/>
          <w:color w:val="auto"/>
        </w:rPr>
        <w:t xml:space="preserve">Africa and Europe, continuing operations. </w:t>
      </w:r>
      <w:r>
        <w:rPr>
          <w:rFonts w:ascii="Arial" w:cs="Arial" w:eastAsia="Arial" w:hAnsi="Arial"/>
          <w:sz w:val="16"/>
          <w:szCs w:val="16"/>
          <w:color w:val="auto"/>
        </w:rPr>
        <w:t>As of December 31, 2021, 16 vessels were located in the region, including 15 owned and one leased-in. The Company’s vessels in this area generally support projects for major oil companies, primarily in Angola and Nigeria, and the construction and maintenance of offshore wind turbines. On January 12, 2021, the Company completed the sale of its Windcat Workboats CTV Business, comprised of 46 CTVs (45 active vessels and one vessel previously removed from service) located in Europe providing crew transfer to offshore wind platforms.</w:t>
      </w:r>
    </w:p>
    <w:p>
      <w:pPr>
        <w:spacing w:after="0" w:line="15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Middle East and Asia. </w:t>
      </w:r>
      <w:r>
        <w:rPr>
          <w:rFonts w:ascii="Arial" w:cs="Arial" w:eastAsia="Arial" w:hAnsi="Arial"/>
          <w:sz w:val="18"/>
          <w:szCs w:val="18"/>
          <w:color w:val="auto"/>
        </w:rPr>
        <w:t>As of December 31, 2021, 20 vessels that were located in the Middle East and Asia were all owned.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vessels in this area generally support exploration, personnel transport and seasonal construction activities in Egypt, Israel and Malaysia and countries along the Arabian Gulf and Arabian Sea, such as Saudi Arabia, the United Arab Emirates and Qatar.</w:t>
      </w:r>
    </w:p>
    <w:p>
      <w:pPr>
        <w:spacing w:after="0" w:line="14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b w:val="1"/>
          <w:bCs w:val="1"/>
          <w:i w:val="1"/>
          <w:iCs w:val="1"/>
          <w:color w:val="auto"/>
        </w:rPr>
        <w:t xml:space="preserve">Latin America. </w:t>
      </w:r>
      <w:r>
        <w:rPr>
          <w:rFonts w:ascii="Arial" w:cs="Arial" w:eastAsia="Arial" w:hAnsi="Arial"/>
          <w:sz w:val="18"/>
          <w:szCs w:val="18"/>
          <w:color w:val="auto"/>
        </w:rPr>
        <w:t>As of December 31, 2021, 30 vessels were located in this region, including 10 owned and 20 joint-ventured. Of these joint-ventured vessels, (i) 16 are owned by Mantenimiento Express Maritimo, S.A.P.I. de C.V. (“MexMar”), a joint venture company that is 49% owned by SEACOR Marine International LLC (“SMI”), a wholly owned subsidiary of SEACOR Marine, and 51% owned by subsidiaries of Proyectos Globales de Energía y Servicios CME, S.A. de C.V. (“CME”), and (ii) four are owned by Offshore Vessels Holding, S.A.P.I. DE. C.V. (“OVH”), a joint venture company that is 49% owned by SMI and 51% owned by a subsidiary of CME. These vessels, consisting of a fleet of FSVs, supply, specialty and liftboat vessels, provide support for exploration and production activities in Mexico and Guyana. From time to time, the Company’s vessels also work in Trinidad and Tobago, Brazil and Colombia.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 w:name="page7"/>
    <w:bookmarkEnd w:id="6"/>
    <w:p>
      <w:pPr>
        <w:ind w:left="760"/>
        <w:spacing w:after="0"/>
        <w:rPr>
          <w:sz w:val="20"/>
          <w:szCs w:val="20"/>
          <w:color w:val="auto"/>
        </w:rPr>
      </w:pPr>
      <w:r>
        <w:rPr>
          <w:rFonts w:ascii="Arial" w:cs="Arial" w:eastAsia="Arial" w:hAnsi="Arial"/>
          <w:sz w:val="18"/>
          <w:szCs w:val="18"/>
          <w:b w:val="1"/>
          <w:bCs w:val="1"/>
          <w:color w:val="auto"/>
        </w:rPr>
        <w:t>Seasonality</w:t>
      </w:r>
    </w:p>
    <w:p>
      <w:pPr>
        <w:spacing w:after="0" w:line="20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demand for the Company’s fleet can fluctuate with weather conditions because maintenance, construction and decommissioning activities are planned during times of the year with more favorable weather conditions. Seasonality is most pronounced for the liftboat fleet in the U.S. Gulf of Mexico and Europe, and offshore support vessels in the Europe, Middle East and West Africa, with peak demand normally occurring during the summer months. As a consequence of this seasonality, the Company typically schedules drydockings or other repair and maintenance activity during the winter months.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Customers and Contractual Arrangements</w:t>
      </w:r>
    </w:p>
    <w:p>
      <w:pPr>
        <w:spacing w:after="0" w:line="189"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Company’s principal customers are major integrated national and international oil companies, independent oil and natural gas exploration and production companies, oil field service and construction companies, as well as wind farm operators, and wind farm installation and maintenance companies. Consolidation of oil and natural gas companies through mergers and acquisitions over the past several years has reduced the Company’s customer base. This, together with the depressed oil and gas price environment that began in 2014 has negatively affected exploration, field development and production activity as consolidated companies continue to focus on increasing or maintaining efficiency and controlling costs and delay or abandon exploration activity and facilities with less promise.</w:t>
      </w:r>
    </w:p>
    <w:p>
      <w:pPr>
        <w:spacing w:after="0" w:line="16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During the year ended December 31, 2021, two customers, SEACOR Marine Arabia LLC, a joint venture that is 45% owned by a subsidiary of SEACOR Marine, through which vessels are in service to Saudi Aramco, and Exxon Mobil, were each responsible for over 10% of the Company’s consolidated operating revenues from continuing operations. Saudi Aramco and Exxon Mobil were responsible for 17% and 21%, respectively, of the Company’s consolidated revenues from continuing operations in 2021. The Company’s ten largest customers accounted for approximately 76% of the consolidated revenues from continuing operations in 2021. The loss of one or more of these customers could have a material adverse effect on the Company’s business, financial position, results of operations, cash flows and prospects.</w:t>
      </w:r>
    </w:p>
    <w:p>
      <w:pPr>
        <w:spacing w:after="0" w:line="137"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The Company earns revenues primarily from the time charter and bareboat charter of vessels to customers based upon daily rates of hire. Therefore,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all risk of operation. In the U.S. Gulf of Mexico, time charter durations and rates are typically established in the context of master service agreements that govern the terms and conditions of the charter.</w:t>
      </w:r>
    </w:p>
    <w:p>
      <w:pPr>
        <w:spacing w:after="0" w:line="13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Contract or charter durations may range from several days to several years. Longer duration charters are more common where equipment is not as readily available or specific equipment is required. In the Company’s operating areas, charters vary in length from short-term to multi-year periods, many with cancellation clauses and no early termination penalty. As a result of options and frequent renewals, the stated duration of charters may have little correlation with the length of time the vessel is actually contracted to provide services to a particular customer.</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Competitive Conditions</w:t>
      </w:r>
    </w:p>
    <w:p>
      <w:pPr>
        <w:spacing w:after="0" w:line="18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market for offshore marine services is highly fragmented and competitive depending upon the region of operation. The most important competitive factors are pricing, availability and specifications of equipment to fit customer requirements. Other important factors include service, reputation, flag preference, local marine operating and regulatory conditions, the ability to provide and maintain logistical support given the complexity of a project and the cost of moving equipment from one geographic region to another.</w:t>
      </w:r>
    </w:p>
    <w:p>
      <w:pPr>
        <w:spacing w:after="0" w:line="146"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Company has numerous competitors in each of the geographic regions in which it operates, ranging from international companies that operate in many regions to smaller local companies that typically concentrate their activities in one specific country or region.</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Risks of Foreign Operations</w:t>
      </w:r>
    </w:p>
    <w:p>
      <w:pPr>
        <w:spacing w:after="0" w:line="18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For the years ended December 31, 2021, 2020, and 2019, 88%, 89%, and 75%, respectively, of the Company’s operating revenues from continuing operations and $15.4 million, ($7.5) million and ($13.5) million, respectively, of the Company’s equity in earnings gains (losses) from 50% or less owned companies, net of tax, were derived from its foreign operations.</w:t>
      </w:r>
    </w:p>
    <w:p>
      <w:pPr>
        <w:spacing w:after="0" w:line="143" w:lineRule="exact"/>
        <w:rPr>
          <w:sz w:val="20"/>
          <w:szCs w:val="20"/>
          <w:color w:val="auto"/>
        </w:rPr>
      </w:pPr>
    </w:p>
    <w:p>
      <w:pPr>
        <w:jc w:val="both"/>
        <w:ind w:right="20" w:firstLine="749"/>
        <w:spacing w:after="0" w:line="342" w:lineRule="auto"/>
        <w:rPr>
          <w:sz w:val="20"/>
          <w:szCs w:val="20"/>
          <w:color w:val="auto"/>
        </w:rPr>
      </w:pPr>
      <w:r>
        <w:rPr>
          <w:rFonts w:ascii="Arial" w:cs="Arial" w:eastAsia="Arial" w:hAnsi="Arial"/>
          <w:sz w:val="16"/>
          <w:szCs w:val="16"/>
          <w:color w:val="auto"/>
        </w:rPr>
        <w:t>Foreign operations are subject to inherent risks, which, if they materialize, could have a material adverse effect on the Company’s business, financial position, results of operations, cash flows or prospects. See the risk factors regarding international operations in “Item 1A. Risk Factors.”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 w:name="page8"/>
    <w:bookmarkEnd w:id="7"/>
    <w:p>
      <w:pPr>
        <w:ind w:left="760"/>
        <w:spacing w:after="0"/>
        <w:rPr>
          <w:sz w:val="20"/>
          <w:szCs w:val="20"/>
          <w:color w:val="auto"/>
        </w:rPr>
      </w:pPr>
      <w:r>
        <w:rPr>
          <w:rFonts w:ascii="Arial" w:cs="Arial" w:eastAsia="Arial" w:hAnsi="Arial"/>
          <w:sz w:val="18"/>
          <w:szCs w:val="18"/>
          <w:b w:val="1"/>
          <w:bCs w:val="1"/>
          <w:color w:val="auto"/>
        </w:rPr>
        <w:t>Government Regulation</w:t>
      </w:r>
    </w:p>
    <w:p>
      <w:pPr>
        <w:spacing w:after="0" w:line="20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The Company’s ownership, operation, construction and staffing of vessels is subject to significant regulation under various international, federal, state and local laws, regulations and conventions, including international conventions and ship registry laws of the nations under which the Company’s vessels are flagged, especially with respect to foreign ownership, health, safety, environmental protection and vessel and port security.</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Regulatory Matters</w:t>
      </w:r>
    </w:p>
    <w:p>
      <w:pPr>
        <w:spacing w:after="0" w:line="18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Most of the vessels operated by the Company are registered in foreign jurisdictions, with the remainder registered in the U.S. Vessels are subject to the laws of the applicable jurisdiction as to ownership, registration, manning, environmental protection and safety. In addition, the Company’s vessels are subject to the requirements of a number of international conventions that are applicable to vessels depending on their jurisdiction of registration. Among the more significant of these conventions are: (i) the International Convention for the Prevention of Pollution from Ships, 1973, as modified by the Protocol of 1978 relating thereto (“MARPOL”); (ii) the International Convention for the Safety of Life at Sea, 1974 and 1978 Protocols (“SOLAS”); and (iii) the International Convention on Standards of Training, Certification and Watchkeeping for Seafarers (“STCW”).</w:t>
      </w:r>
    </w:p>
    <w:p>
      <w:pPr>
        <w:spacing w:after="0" w:line="151"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Domestically registered vessels are subject to the jurisdiction of the U.S. Coast Guard (“USCG”), the National Transportation Safety Board (“NTSB”), the U.S. Customs and Border Protection (“CBP”), the U.S. Environmental Protection Agency (“EPA”) and the U.S. Maritime Administration (“MARAD”), as well as in certain instances applicable state and local laws. The Company’s operations may, from time to time, also fall under the jurisdiction of the U.S. Bureau of Safety and Environmental Enforcement (“BSEE”) and its Safety and Environmental Management System regulations, and the Company must also periodically certify that its maritime operations adhere to those regulations. These agencies and organizations establish safety requirements and standards and are authorized to investigate vessels and accidents and to recommend improved maritime safety standards.</w:t>
      </w:r>
    </w:p>
    <w:p>
      <w:pPr>
        <w:spacing w:after="0" w:line="124"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The Company is subject to regulation under the Jones Act and related U.S. cabotage laws, which restrict ownership and operation of vessels in the U.S. coastwise trade (defined as trade between points in the U.S.), including the transportation of cargo. Subject to limited exceptions, the Jones Act requires that vessels engaged in U.S. coastwise trade be built in the U.S., registered under the U.S.-flag, manned by predominantly U.S. crews, and be owned and operated by U.S. citizens within the meaning of the Jones Act. Violation of the Jones Act could prohibit operation of vessels in the U.S. coastwise trade during the period of such non-compliance, result in material fines and subject Company vessels to seizure and forfeiture.</w:t>
      </w:r>
    </w:p>
    <w:p>
      <w:pPr>
        <w:spacing w:after="0" w:line="121"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6"/>
          <w:szCs w:val="16"/>
          <w:color w:val="auto"/>
        </w:rPr>
        <w:t>To facilitate compliance with the Jones Act, the Company’s Third Amended and Restated Certificate of Incorporation and Third Amended and Restated By-Laws: (i) limit the aggregate percentage ownership by non-U.S. citizens of any class of the Company’s capital stock (including Common Stock) to 22.5% of the outstanding shares of each such class to ensure that ownership by non-U.S. citizens will not exceed the maximum percentage permitted by applicable maritime law (presently 25%) but authorize the Company’s Board of Directors, under certain circumstances, to increase the foregoing percentage to 24%; (ii) permit the institution of a dual stock certification system to help determine such ownership; (iii) provide that any issuance or transfer of shares in excess of such permitted percentage shall be ineffective as against the Company and prohibit the Company and its transfer agent from registering such purported issuance or transfer of shares or be required to recognize the purported transferee or owner as a stockholder of the Company for any purpose whatsoever except to exercise its remedies; (iv) provide that any such excess shares shall not have any voting or dividend rights;</w:t>
      </w:r>
    </w:p>
    <w:p>
      <w:pPr>
        <w:spacing w:after="0" w:line="1" w:lineRule="exact"/>
        <w:rPr>
          <w:sz w:val="20"/>
          <w:szCs w:val="20"/>
          <w:color w:val="auto"/>
        </w:rPr>
      </w:pPr>
    </w:p>
    <w:p>
      <w:pPr>
        <w:jc w:val="both"/>
        <w:ind w:firstLine="8"/>
        <w:spacing w:after="0" w:line="271" w:lineRule="auto"/>
        <w:tabs>
          <w:tab w:leader="none" w:pos="277"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permit the Company to redeem any such excess shares; and (vi) permit the Board of Directors to make such reasonable determinations as may be necessary to ascertain such ownership and implement such limitations. In addition, the Company’s Third Amended and Restated By-Laws limit the number of non-U.S. citizens that may serve as directors and restrict any non-U.S. citizen officer from acting in the absence or disability of the Chairman of the Board of Directors, the Chief Executive Officer or the President. For more information, see the Company’s Third Amended and Restated Certificate of Incorporation and Third Amended and Restated By-Laws, which are filed as exhibits to this Annual Report on Form 10-K.</w:t>
      </w:r>
    </w:p>
    <w:p>
      <w:pPr>
        <w:spacing w:after="0" w:line="151"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The Maritime Labour Convention, 2006 (the “MLC”) establishes comprehensive minimum requirements for working conditions of seafarers including, among other things, conditions of employment, hours of work and rest, grievance and complaints procedures, accommodations, recreational facilities, food and catering, health protection, medical care, welfare, and social security protection. The MLC defines seafarer to include all persons engaged in work on a vessel in addition to the vessel's crew. Under this MLC definition, the Company may be responsible for proving that customer and contractor personnel aboard its vessels have contracts of employment that comply with the MLC requirements. The Company could also be potentially responsible for salaries and/or benefits of third-parties that may board one of its vessels. The MLC requires certain vessels that engage in international trade to maintain a valid Maritime Labour Certificate issued by their flag administration. Although the U.S. is not a party to the MLC, U.S.-flag vessels operating internationally must comply with the MLC when visiting a port in a country that is a party to the MLC. As part of its safety management system (“SMS”), the Company maintains a fleetwide plan designed to comply with the MLC to the extent applicable to its vessels.</w:t>
      </w:r>
    </w:p>
    <w:p>
      <w:pPr>
        <w:spacing w:after="0" w:line="126"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The hull and machinery of most commercial vessels are classed by an international classification society authorized by its country of registry and subject to survey and inspection by shipping regulatory bodies. The international classification society certifies that a vessel is maintained in accordance with the applicable rules and regulations of the country of registry of the vessel and SOLAS. Certain of the Company's vessels are subject to the periodic inspection, survey, drydocking and maintenance requirements of the USCG, the American Bureau of Shipping and other marine classification societies.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 w:name="page9"/>
    <w:bookmarkEnd w:id="8"/>
    <w:p>
      <w:pPr>
        <w:jc w:val="both"/>
        <w:ind w:firstLine="749"/>
        <w:spacing w:after="0" w:line="296" w:lineRule="auto"/>
        <w:rPr>
          <w:sz w:val="20"/>
          <w:szCs w:val="20"/>
          <w:color w:val="auto"/>
        </w:rPr>
      </w:pPr>
      <w:r>
        <w:rPr>
          <w:rFonts w:ascii="Arial" w:cs="Arial" w:eastAsia="Arial" w:hAnsi="Arial"/>
          <w:sz w:val="16"/>
          <w:szCs w:val="16"/>
          <w:color w:val="auto"/>
        </w:rPr>
        <w:t>Under provisions of the Merchant Marine Act of 1936 and Chapter 563 of Title 46 of the United States Code, the Company’s U.S.-flag vessels are subject to requisition, charter or purchase by the U.S. government under certain terms and conditions during a national emergency declared by Presidential Proclamation as described further in the risk factor under the heading “The Company’s U.S.-flag vessels are subject to requisition for ownership or use by the U.S. in case of national emergency or national defense need” under “Item 1A. Risk Factors” of this Annual Report on Form 10-K. Vessels registered under other flag states may also be subject to requisition or purchase in accordance with applicable local law.</w:t>
      </w:r>
    </w:p>
    <w:p>
      <w:pPr>
        <w:spacing w:after="0" w:line="13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A wide range of domestic governmental agencies, including the USCG, the EPA, the U.S. Department of Transportation’s Office of Pipeline Safety, the BSEE and certain individual states, regulate vessels and other structures in accordance with the requirements of the Oil Pollution Act of 1990 (“OPA 90”) or analogous state law. There is currently little uniformity among the regulations issued by these agencies, which increases the Company’s compliance costs and risk of non-compliance.</w:t>
      </w:r>
    </w:p>
    <w:p>
      <w:pPr>
        <w:spacing w:after="0" w:line="146"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6"/>
          <w:szCs w:val="16"/>
          <w:color w:val="auto"/>
        </w:rPr>
        <w:t>The International Safety Management Code (“ISM Code”), adopted by the International Maritime Organization (the “IMO”) as an amendment to SOLAS, provides international standards for the safe management and operation of ships and for the prevention of marine pollution from ships. The U.S. enforces the ISM Code for all U.S.-flag vessels and those foreign-flag vessels that call at U.S. ports. All of the Company’s vessels that are 500 or more gross tons are required to be certified under the standards set forth in the ISM Code’s safety and pollution protocols. The Company also voluntarily complies with these protocols for some vessels that are under the mandatory 500-gross ton threshold and many of the Company’s customers contractually require compliance with these protocols regardless of the gross tonnage of the vessel. Under the ISM Code, vessel operators are required to develop an extensive SMS applicable to the vessel and shoreside personnel that includes, among other things, the adoption of a written system of safety and environmental protection policies setting forth instructions and procedures for operating their vessels subject to the ISM Code and describing procedures for responding to emergencies. The ISM Code also requires a Document of Compliance to be obtained for the vessel manager and a Safety Management Certificate to be obtained for each vessel subject to the ISM Code that it operates or manages. The Company has complied with these requirements.</w:t>
      </w:r>
    </w:p>
    <w:p>
      <w:pPr>
        <w:spacing w:after="0" w:line="12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Noncompliance with the ISM Code and other IMO regulations may subject the shipowner or charterer to increased liability, may lead to decreases in available insurance coverage for affected vessels, may cause the loss of customers, and may result in the denial of access to, or detention in, some ports. For example, the USCG authorities have indicated that vessels not in compliance with the ISM Code will be prohibited from utilizing U.S. ports.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Regulatory Compliance</w:t>
      </w:r>
    </w:p>
    <w:p>
      <w:pPr>
        <w:spacing w:after="0" w:line="185"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The Company does not expect that it will be required to make capital expenditures in the near future to comply with applicable laws and regulations that would have a material adverse effect on its financial position, results of operations, cash flows or prospects. The Company is subject to extensive federal, state, local and international environmental and safety laws and regulations and to comprehensive international conventions, including laws and regulations related to the discharge of oil and pollutants into waters regulated thereunder. Violations of these laws may result in civil and criminal penalties, fines, injunctions, or other sanctions, any of which could be material. However, because such laws and regulations frequently change and may impose increasingly strict requirements, the Company cannot predict the ultimate cost of complying with these laws and regulations.</w:t>
      </w:r>
    </w:p>
    <w:p>
      <w:pPr>
        <w:spacing w:after="0" w:line="124"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OPA 90 establishes a regulatory and liability regime for the protection of the environment from oil spills. OPA 90 applies to owners and operators of facilities operating near navigable waters of the U.S., and owners, operators and bareboat charterers of vessels operating in U.S. waters, which include the navigable waters of the U.S. and the 200-mile exclusive economic zone around the U.S. (the “EEZ”). For purposes of its liability limits and financial responsibility and response planning requirements, OPA 90 differentiates between tank vessels (such as chemical and petroleum product vessels and liquid tank barges) and “other vessels” (such as the Company’s offshore support vessels).</w:t>
      </w:r>
    </w:p>
    <w:p>
      <w:pPr>
        <w:spacing w:after="0" w:line="14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Under OPA 90, owners and operators of regulated facilities and owners and operators or bareboat charterers of vessels are “responsible parties” and may be jointly, severally and strictly liable for removal costs and damages arising from facility and vessel oil spills or threatened spills up to certain limits of liability as discussed below. Damages are defined broadly to include: (i) injury to natural resources and the costs of remediation thereof; (ii) injury to, or economic losses resulting from, the destruction of real and personal property; (iii) net loss by various governmental bodies of taxes, royalties, rents, fees or profits; (iv) lost profits or impairment of earning capacity due to property or natural resources damage; (v) net costs of providing increased or additional public services necessitated by a spill response, such as protection from fire or other hazards or taking additional safety precautions; and (vi) loss of subsistence use of available natural resources.</w:t>
      </w:r>
    </w:p>
    <w:p>
      <w:pPr>
        <w:spacing w:after="0" w:line="154"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OPA 90 limits liability for responsible parties for non-tank vessels, such as the Company’s, to the greater of $1,200 per gross ton or $997,100. These liability limits do not apply (a) if an incident is caused by the responsible party’s violation (or the violation of a person acting pursuant to a contract with the responsible party) of federal safety, construction or operating regulations or by the responsible party’s gross negligence or willful misconduct, (b) if the responsible party fails or refuses to report the incident or to provide reasonable cooperation and assistance in connection with oil removal activities as required by a responsible official or (c) if the responsible party fails or refuses to comply with an order issued under OPA 90.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 w:name="page10"/>
    <w:bookmarkEnd w:id="9"/>
    <w:p>
      <w:pPr>
        <w:jc w:val="both"/>
        <w:ind w:firstLine="749"/>
        <w:spacing w:after="0" w:line="272" w:lineRule="auto"/>
        <w:rPr>
          <w:sz w:val="20"/>
          <w:szCs w:val="20"/>
          <w:color w:val="auto"/>
        </w:rPr>
      </w:pPr>
      <w:r>
        <w:rPr>
          <w:rFonts w:ascii="Arial" w:cs="Arial" w:eastAsia="Arial" w:hAnsi="Arial"/>
          <w:sz w:val="17"/>
          <w:szCs w:val="17"/>
          <w:color w:val="auto"/>
        </w:rPr>
        <w:t>OPA 90 requires vessel owners and operators to establish and maintain with the USCG evidence of insurance or qualification as a self-insurer or other evidence of financial responsibility sufficient to meet their potential liabilities under OPA 90. In recent years, the Company has satisfied USCG regulations by providing evidence of financial responsibility demonstrated by commercial insurance and self-insurance. OPA 90 regulations also implement the financial responsibility requirements of the Comprehensive Environmental Response, Compensation and Liability Act (“CERCLA”), which imposes liability for any discharge of hazardous substances, similar to OPA 90, and provides compensation for cleanup, removal and natural resource damages. Liability per vessel under CERCLA is limited to the greater of $300 per gross ton or $5 million, unless the incident is caused by gross negligence, willful misconduct, or a violation of certain regulations, in which case liability is unlimited.</w:t>
      </w:r>
    </w:p>
    <w:p>
      <w:pPr>
        <w:spacing w:after="0" w:line="150"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Under the Nontank Vessel Response Plan Final Rule issued by the USCG in 2013, owners and operators of nontank vessels are required to prepare Nontank Vessel Response Plans. The Company expects its current pollution liability insurance to cover spill removal costs and damage, subject to coverage deductibles and limitations, including a cap of $1.0 billion. The Company’s business, financial position, results of operations, cash flows or prospects could be material adversely affected if the Company incurs spill liability under circumstances in which the Company’s insurance does not provide coverage, the Company’s underwriters fail or refuse to pay a covered claim, or the loss exceeds the Company’s coverage limitations.</w:t>
      </w:r>
    </w:p>
    <w:p>
      <w:pPr>
        <w:spacing w:after="0" w:line="121"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MARPOL is the main international convention covering prevention of pollution of the marine environment by vessels from operational or accidental discharges. It is implemented in the U.S. pursuant to the Act to Prevent Pollution from Ships. Since the 1990s, the Department of Justice (“DOJ”) has been aggressively enforcing U.S. criminal laws against vessel owners, operators, managers, crew members, shore side personnel, and corporate officers related to violations of MARPOL. Violations have related to pollution prevention devices, such as the oily-water separator, and include falsifying records, obstructing justice, and making false statements. In certain cases, responsible shipboard officers and shoreside officials have been sentenced to prison. In addition, the DOJ has required most defendants to implement a comprehensive environmental compliance plan (“ECP”) or risk losing the ability to trade in U.S. waters. If the Company is subjected to a DOJ prosecution, it could suffer material adverse effects, including substantial criminal penalties and defense costs, reputational damages and costs associated with the implementation of an ECP.</w:t>
      </w:r>
    </w:p>
    <w:p>
      <w:pPr>
        <w:spacing w:after="0" w:line="138"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The Clean Water Act (“CWA”) prohibits the discharge of “pollutants” into the navigable waters of the U.S. The CWA also prohibits the discharge of oil or hazardous substances into navigable waters of the U.S. and the EEZ around the U.S. and imposes civil and criminal penalties for unauthorized discharges, thereby exposing the Company to potential liability that is in addition to its exposure arising under OPA 90 and CERCLA.</w:t>
      </w:r>
    </w:p>
    <w:p>
      <w:pPr>
        <w:spacing w:after="0" w:line="13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The CWA also established the National Pollutant Discharge Elimination System (“NPDES”) permitting program, which governs discharges of pollutants into navigable waters of the U.S. Pursuant to the NPDES permitting program, the EPA has issued Vessel General Permits covering discharges incidental to normal vessel operations. The EPA issued the 2013 Vessel General Permit (“2013 VGP”) with an initial five-year term. In light of the legislation described below, the 2013 VGP continues to apply to the Company’s U.S.-flag and foreign-flag commercial vessels that are at least 79 feet in length and operate within the three-mile territorial sea of the U.S. The 2013 VGP requires vessel owners and operators to adhere to “best management practices” to manage the covered discharges that occur normally in the operation of a vessel, including ballast water, and implements various training, inspection, monitoring, record keeping, and reporting requirements, as well as corrective actions upon identification of deficiencies. The Company has filed a Notice of Intent to be covered by the 2013 VGP for each of its ships that operate in U.S. waters.</w:t>
      </w:r>
    </w:p>
    <w:p>
      <w:pPr>
        <w:spacing w:after="0" w:line="138"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On December 4, 2018, the U.S. Congress enacted the Vessel Incidental Discharge Act (“VIDA”), establishing a new framework for the regulation of discharges incidental to the normal operations of vessels. In October of 2020, the EPA published proposed performance standards for vessel incidental discharges and is in the process of promulgating final standards. VIDA requires the USCG to develop implementation, compliance, and enforcement regulations within two years of EPA’s promulgation of standards. VIDA extends the 2013 VGP’s provisions, leaving them in effect until new regulations are final and enforceable. Non-military, non-recreational vessels greater than 79 feet in length must continue to comply with the requirements of the 2013 VGP, including submission of annual reports. The Company can provide no assurance as to when the new regulations and performance standards will be issued, nor can it predict what additional costs it may incur to comply with any such new regulations and performance standards.</w:t>
      </w:r>
    </w:p>
    <w:p>
      <w:pPr>
        <w:spacing w:after="0" w:line="126"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Many countries have ratified and apply the liability scheme adopted by the IMO and set out in the International Convention on Civil Liability for Oil Pollution Damage of 1969 (the “1969 Convention”). Some of these countries have also adopted the 1992 Protocol to the 1969 Convention (the “1992 Protocol”). Under both the 1969 Convention and the 1992 Protocol, a vessel’s registered owner is strictly liable for pollution damage caused in the territorial waters of a contracting state by discharge of persistent oil from ships carrying oil in bulk as cargo, subject to certain defenses. These conventions also limit the liability of the shipowner under certain circumstances, provided the discharge was not caused by the shipowner’s actual fault or intentional or reckless misconduct.</w:t>
      </w:r>
    </w:p>
    <w:p>
      <w:pPr>
        <w:spacing w:after="0" w:line="16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Vessels trading to countries that are parties to these conventions must provide evidence of insurance covering the liability of the owner. The Company believes that its Protection and Indemnity insurance should cover any liability under these conventions, subject to applicable policy deductibles, exclusions and limitations.</w:t>
      </w:r>
    </w:p>
    <w:p>
      <w:pPr>
        <w:spacing w:after="0" w:line="143"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The U.S. is not a party to the 1969 Convention or the 1992 Protocol, and thus OPA 90, CERCLA, CWA and other federal and state laws apply in the U.S. as discussed above. In other jurisdictions where the 1969 Convention has not been adopted, various local legislative and regulatory schemes or common law govern, and liability is imposed either on the basis of fault or in a manner similar to the 1969 convention.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 w:name="page11"/>
    <w:bookmarkEnd w:id="10"/>
    <w:p>
      <w:pPr>
        <w:jc w:val="both"/>
        <w:ind w:firstLine="749"/>
        <w:spacing w:after="0" w:line="257" w:lineRule="auto"/>
        <w:rPr>
          <w:sz w:val="20"/>
          <w:szCs w:val="20"/>
          <w:color w:val="auto"/>
        </w:rPr>
      </w:pPr>
      <w:r>
        <w:rPr>
          <w:rFonts w:ascii="Arial" w:cs="Arial" w:eastAsia="Arial" w:hAnsi="Arial"/>
          <w:sz w:val="18"/>
          <w:szCs w:val="18"/>
          <w:color w:val="auto"/>
        </w:rPr>
        <w:t>The International Convention on Civil Liability for Bunker Oil Pollution Damage, 2001, was adopted to ensure that adequate, prompt and effective compensation is available to persons who suffer damage caused by spills of oil when used as fuel by vessels. The convention applies to damage caused to the territory, including the territorial sea, and in the EEZs, of the countries that are party to it. Although the U.S. has not ratified this convention, U.S.-flag vessels operating internationally are subject to it when they sail within the territorial waters of those countries that have implemented its provisions. The Company believes that its vessels comply with these requirements.</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The National Invasive Species Act (“NISA”) was enacted in the U.S. in 1996 in response to growing reports of harmful organisms being released into U.S. waters through ballast water received in foreign ports. The USCG adopted regulations under NISA that impose mandatory ballast water management practices for all vessels equipped with ballast water tanks entering U.S. waters. All new vessels constructed on or after December 1, 2013, regardless of ballast water capacity, must comply with these requirements on delivery from the shipyard absent an extension from the USCG. For non-exempt vessels, ballast water treatment equipment may be required to be used on the vessel. In response to these requirements, the Company’s ships operating in the U.S. waters currently use water from U.S. public systems. Some U.S. states have enacted legislation or regulations to address the introduction of invasive species through ballast water and hull cleaning management, and permitting requirements, which in many cases have also become part of the state’s 2013 VGP certification. Other states may proceed with the enactment of similar requirements that could increase the Company’s costs of operating in state waters.</w:t>
      </w:r>
    </w:p>
    <w:p>
      <w:pPr>
        <w:spacing w:after="0" w:line="15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The IMO ratified the International Convention for the Control and Management of Ships’ Ballast Water and Sediments, otherwise known as the Ballast Water Management Convention (the “BWM Convention”), effective September 8, 2017. Under the BWM Convention, all ships engaged in international voyages are required to manage their ballast water and sediments under a ship-specific ballast water management plan. The U.S. is not a party to the BWM Convention, but U.S. flagged vessels that undertake international voyages may have to install a USCG/EPA approved ballast water treatment system (“BWTS”) or use one of the other management options under the USCG/EPA ballast water management rules and the BWM Convention to achieve compliance. The Company installs BWTS on its vessels as required by the USCG/EPA and BWM Convention.</w:t>
      </w:r>
    </w:p>
    <w:p>
      <w:pPr>
        <w:spacing w:after="0" w:line="137"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The Endangered Species Act, related regulations and comparable state laws protect species threatened with possible extinction. Protection may include restrictions on the speed of vessels in certain ocean waters and may require the Company to change the routes of vessels during particular periods.</w:t>
      </w:r>
    </w:p>
    <w:p>
      <w:pPr>
        <w:spacing w:after="0" w:line="9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Clean Air Act (as amended, the “CAA”) requires the EPA to promulgate standards applicable to emissions of various air contaminants. The CAA also requires states to submit State Implementation Plans (“SIPs”), which are designed to attain national health-based air quality standards throughout the U.S., including major metropolitan and industrial areas. Several SIPs regulate emissions resulting from vessel loading and unloading operations by requiring the installation of vapor control equipment. The EPA and some U.S. states have each proposed more stringent regulations of air emissions from propulsion and auxiliary engines on oceangoing vessels.</w:t>
      </w:r>
    </w:p>
    <w:p>
      <w:pPr>
        <w:spacing w:after="0" w:line="14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MARPOL also addresses air emissions, including emissions of sulfur and nitrous oxide (“NOx”), from vessels, including a requirement to use low sulfur fuels worldwide in both auxiliary and main propulsion diesel engines on vessels. Since January 1, 2020, vessels worldwide have been required to use fuel with a sulfur content no greater than 0.5%, which is a reduction from the prior limit of 3.5%. MARPOL also imposes NOx emissions standards on installed marine diesel engines of over 130 kW output power other than those used solely for emergency purposes irrespective of the tonnage of the vessel into which such an engine is installed. The actual NOx limit is determined by a variety of factors, including the vessel’s construction date, the rated speed of the vessel’s engine, and the area in which the vessel is operating.</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More stringent sulfur and NOx requirements apply in certain designated Emission Control Areas (“ECAs”). There are currently four ECAs worldwide: the Baltic Sea ECA, North Sea ECA, North American ECA, and U.S. Caribbean ECA. As of January 1, 2015, vessels operating in an ECA must burn fuel with a sulfur content no greater than 0.1%. Further, marine diesel engines on vessels constructed on or after January 1, 2016 that are operated in an ECA must meet the stringent NOx standards described above.</w:t>
      </w:r>
    </w:p>
    <w:p>
      <w:pPr>
        <w:spacing w:after="0" w:line="160"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The Company’s operations occasionally generate and require the transportation, treatment and disposal of both hazardous and non-hazardous solid wastes that are subject in the U.S. to the requirements of the Resource Conservation and Recovery Act (“RCRA”) or comparable state, local or foreign requirements. From time to time the Company arranges for the disposal of hazardous waste or hazardous substances at offsite disposal facilities. As a general matter, with certain exceptions, vessel owners and operators are required to determine if their wastes are hazardous, obtain a generator identification number, comply with certain standards for the proper management of hazardous wastes, and use hazardous waste manifests for shipments to disposal facilities. Moreover, vessel owners and operators may be subject to more stringent state hazardous waste requirements. If such materials are improperly disposed of by third-parties with which the Company contracts, the Company could potentially still be held liable for cleanup costs under applicable laws.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 w:name="page12"/>
    <w:bookmarkEnd w:id="11"/>
    <w:p>
      <w:pPr>
        <w:jc w:val="both"/>
        <w:ind w:firstLine="749"/>
        <w:spacing w:after="0" w:line="296" w:lineRule="auto"/>
        <w:rPr>
          <w:sz w:val="20"/>
          <w:szCs w:val="20"/>
          <w:color w:val="auto"/>
        </w:rPr>
      </w:pPr>
      <w:r>
        <w:rPr>
          <w:rFonts w:ascii="Arial" w:cs="Arial" w:eastAsia="Arial" w:hAnsi="Arial"/>
          <w:sz w:val="16"/>
          <w:szCs w:val="16"/>
          <w:color w:val="auto"/>
        </w:rPr>
        <w:t>MARPOL also governs the discharge of garbage from ships. MARPOL defines certain sea areas, such as the “wider Caribbean region” as “special areas” requiring a higher level of protection than other areas of the sea. Applicable MARPOL regulations provide for strict garbage management procedures and documentation requirements for all vessels and fixed and floating platforms. These regulations impose a general prohibition on the discharge of all garbage unless the discharge is expressly provided for under the regulations. The regulations have greatly reduced the amount of garbage that vessels are allowed to dispose of at sea and have increased the Company’s costs of disposing garbage remaining on board vessels at their port calls.</w:t>
      </w:r>
    </w:p>
    <w:p>
      <w:pPr>
        <w:spacing w:after="0" w:line="13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Various international conventions and federal, state and local laws and regulations have been considered or implemented to address the environmental effects of emissions of greenhouse gases, such as carbon dioxide and methane. The U.S. Congress has considered, but not adopted, legislation designed to reduce emission of greenhouse gases. At United Nations climate change conferences over the past few decades, various countries have agreed to specific international accords or protocols to establish limitations on greenhouse gas emissions. In December 1997, the Kyoto Protocol was adopted pursuant to which member parties agreed to implement national programs to reduce emissions of greenhouse gases. At the 2015 United Nations climate change conference in Paris, various countries adopted the Paris Agreement, which seeks to reduce emissions in an effort to slow global warming. The U.S. signed the Paris Agreement in 2016 and, after withdrawing from it for a short period, remains a signatory thereto. The Paris Agreement does not specifically mention shipping.</w:t>
      </w:r>
    </w:p>
    <w:p>
      <w:pPr>
        <w:spacing w:after="0" w:line="13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IMO has announced its intention to develop limits on greenhouse gases from international shipping and is working on proposed mandatory technical and operational measures to achieve these limits. The first step toward this goal occurred in October 2016, when the IMO adopted a system for collecting data on ships’ fuel-oil consumption, which will be mandatory and apply globally. In 2020, the IMO proposed amendments to MARPOL that would require vessels to combine a technical and an operational approach to reduce their carbon intensity. The measures are aimed at reducing carbon intensity of international shipping by 40% by 2030, compared to 2008.</w:t>
      </w:r>
    </w:p>
    <w:p>
      <w:pPr>
        <w:spacing w:after="0" w:line="147"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For operation within the European Union (“E.U.”), the Company’s vessels need to meet the E.U. Ship Recycling Regulation (E.U. SRR) that requires survey and record of Inventory of Hazardous Materials (IHM). The Company’s fleet is being impacted by changes to MARPOL and the International Code for the Construction and Equipment of Ships carrying Dangerous Chemicals in Bulk (IBC Code). These changes limit the number of Chemical NLS cargoes that the Company’s vessels can carry as certain cargoes traditionally categorized as Pollution Only are now categorized as Safety or Toxic and require additional systems, segregations in place that may well preclude their carriage. Any future adoption of climate control treaties, legislation or other regulatory measures by the United Nations, IMO, the E.U., U.S. or other countries where the Company operates that restrict emissions of greenhouse gases could result in financial and operational impacts on the Company’s business (including potential capital expenditures to reduce such emissions). In addition, there may be significant physical effects of climate change from such emissions that have the potential to negatively impact the Company’s customers, personnel, and physical assets, any of which could adversely impact cargo levels, the demand for the Company’s services, or the Company’s ability to recruit personnel.</w:t>
      </w:r>
    </w:p>
    <w:p>
      <w:pPr>
        <w:spacing w:after="0" w:line="15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Company manages exposure to losses from the above-described laws through its development of appropriate risk management programs, including compliance programs, safety management systems and insurance programs. Although the Company believes these programs mitigate its legal risk, there can be no assurance that these programs will be able to prevent all infractions, nor can the Company provide assurances that future regulations or requirements or any discharge or emission of pollutants by the Company will not have a material adverse effect on its business, financial position, results of operations, cash flows or prospects.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Security</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USCG, the IMO, states and local ports continue to adopt heightened security procedures related to ports and vessels.</w:t>
      </w:r>
    </w:p>
    <w:p>
      <w:pPr>
        <w:spacing w:after="0" w:line="19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To implement certain portions of the U.S. Maritime Transportation Security Act of 2002 (“MTSA”), in July 2003, the USCG issued regulations requiring the implementation of certain security requirements aboard vessels operating in waters subject to the jurisdiction of the U.S. Similarly, in December 2002, the IMO adopted amendments to SOLAS, known as the International Ship and Port Facility Security Code (the “ISPS Code”), creating a new chapter dealing specifically with maritime security. The chapter imposes various detailed security obligations on vessels and port authorities. Included in the various requirements under MTSA and/or the ISPS Code are the following:</w:t>
      </w:r>
    </w:p>
    <w:p>
      <w:pPr>
        <w:spacing w:after="0" w:line="147" w:lineRule="exact"/>
        <w:rPr>
          <w:sz w:val="20"/>
          <w:szCs w:val="20"/>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onboard installation of automatic information systems to enhance vessel-to-vessel and vessel-to-shore communications;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development of vessel security plans and, if applicable, facility security plans;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implementation of a Transportation Worker Identification Credential program in the U.S.; and</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 w:name="page13"/>
    <w:bookmarkEnd w:id="12"/>
    <w:p>
      <w:pPr>
        <w:jc w:val="both"/>
        <w:ind w:firstLine="749"/>
        <w:spacing w:after="0" w:line="259" w:lineRule="auto"/>
        <w:rPr>
          <w:sz w:val="20"/>
          <w:szCs w:val="20"/>
          <w:color w:val="auto"/>
        </w:rPr>
      </w:pPr>
      <w:r>
        <w:rPr>
          <w:rFonts w:ascii="Arial" w:cs="Arial" w:eastAsia="Arial" w:hAnsi="Arial"/>
          <w:sz w:val="18"/>
          <w:szCs w:val="18"/>
          <w:color w:val="auto"/>
        </w:rPr>
        <w:t>The USCG regulations, which are intended to align with international maritime security standards, generally deem foreign-flag vessels to be in compliance with MTSA vessel security measures provided such vessels have onboard a valid International Ship Security Certificate that attests to the vessel’s compliance with SOLAS security requirements and the ISPS Code. However, U.S.-flag vessels that are engaged in international trade must comply with all of the security measures required by MTSA, as well as SOLAS and the ISPS Code.</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response to these security programs, the Company has implemented security plans and procedures designed to address applicable security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Hazards and Insurance</w:t>
      </w:r>
    </w:p>
    <w:p>
      <w:pPr>
        <w:spacing w:after="0" w:line="189"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Vessel operations involve inherent risks associated with carrying large volumes of cargo and rendering services in a marine environment. Hazards include adverse weather conditions, collisions, fire and mechanical failures, which may result in death or injury to personnel, damage to equipment, loss of operating revenues, contamination of cargo, pollution and other environmental damages and increased costs. The Company maintains hull, liability and war risk, general liability, workers compensation and other customary insurance subject to various deductions, exclusions and coverage caps. The Company also conducts training and safety programs to promote a safe working environment and minimize and respond to hazards.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Management</w:t>
      </w:r>
    </w:p>
    <w:p>
      <w:pPr>
        <w:spacing w:after="0" w:line="189"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On September 17, 2020, the Company announced the formation of a sustainability council to oversee the Company’s enhanced environmental, social and governance (“ESG”) program (the “Sustainability Council”). In conjunction with this announcement, the Sustainability Council published an ESG presentation and launched a new section of the Company’s website to highlight both the Company’s track record of sustainable practices, as well as its future plans to further enhance its ESG efforts. On December 13, 2021, the Sustainability Council published its Inaugural Sustainability Report documenting the Company’s recent achievements in three areas: commitment to employees, environmental impact and responsibility as a global citizen.</w:t>
      </w:r>
    </w:p>
    <w:p>
      <w:pPr>
        <w:spacing w:after="0" w:line="161"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The Sustainability Council is an internal committee that reports to the Board of Directors’ Nominating and Corporate Governance Committee and includes senior executives, operational heads, and safety and health, compliance, and human resources professionals, led by the Company’s Chief Executive Officer. The Sustainability Council collaborates and drives initiatives on all matters related to sustainability, including, but not limited to environmental protection, clean energy technology, social responsibility, employee, contractor and community engagement, health and safety, and community empowerment. Together with the Board of Directors, the Sustainability Council helps establish sustainability goals and integrate them into strategic and tactical business activities across the Company to contribute to risk management and long-term value for all stakeholders.</w:t>
      </w:r>
    </w:p>
    <w:p>
      <w:pPr>
        <w:spacing w:after="0" w:line="16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As part of the Company’s ESG efforts and with the assistance of the Sustainability Council, the Company’s Chief Executive Officer has the primary responsibility for developing, managing, and executing the Company’s human capital strategy. As of December 31, 2021, the Company employed 1,616 individuals directly and indirectly (through crewing or manning agreements), none of whom are members of a union under the terms of an ongoing agreement. Management considers relations with its employees to be good. The Company believes that its success is driven by its employees, and its human capital strategy focuses on the following key areas: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 xml:space="preserve">Health and Safety: </w:t>
      </w:r>
      <w:r>
        <w:rPr>
          <w:rFonts w:ascii="Arial" w:cs="Arial" w:eastAsia="Arial" w:hAnsi="Arial"/>
          <w:sz w:val="16"/>
          <w:szCs w:val="16"/>
          <w:color w:val="auto"/>
        </w:rPr>
        <w:t>The Company’s health and safety programs, namely its SMS, are implemented to comply with applicable regulations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follow  global  standards,  as  well  as  address  the  specific  hazards  of  the  Company’s  various  work  environments.  The  Company  regularly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conducts management reviews, audits, and inspections onboard its vessels and shore side locations to ensure compliance with applicable regulations,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policies, and procedures. The Company is also audited annually by an independent classification society to confirm compliance with applicable regulations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standards. The Company utilizes several metrics to assess the performance of its health and safety policies, procedures, and initiatives, including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pollution incidents, lost time incidents, medical incidents, and fatalities. In fiscal year 2021, the Company worked over 4.5 million man-hours across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global businesses. During this period, the Company recorded one pollution incident, four lost time incidents, two medical incidents, six employee fatalities,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 total recordable incident rate of 0.531. These statistics include the capsizing of the SEACOR Power. In fiscal year 2020, the Company worked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5.4 million man-hours across its global businesses, and recorded zero pollution incidents, zero medical incidents, and a total recordable incident rate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0.037.</w:t>
      </w:r>
    </w:p>
    <w:p>
      <w:pPr>
        <w:spacing w:after="0" w:line="21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On April 13, 2021, the SEACOR Power, a liftboat owned by a subsidiary of the Company with nineteen individuals on board, encountered severe weather and capsized off the coast of Port Fourchon, Louisiana. The incident resulted in the death of several crew members, including the captain of the vessel and five other employees of the Company. The NTSB and USCG are currently investigating to determine the cause of the incident. The Company is fully cooperating with the investigations in all respects and continues to gather information about the incident. It is expected that the NTSB and USCG investigations will take a significant period of time to complete.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 w:name="page14"/>
    <w:bookmarkEnd w:id="13"/>
    <w:p>
      <w:pPr>
        <w:jc w:val="both"/>
        <w:ind w:firstLine="749"/>
        <w:spacing w:after="0" w:line="287" w:lineRule="auto"/>
        <w:rPr>
          <w:sz w:val="20"/>
          <w:szCs w:val="20"/>
          <w:color w:val="auto"/>
        </w:rPr>
      </w:pPr>
      <w:r>
        <w:rPr>
          <w:rFonts w:ascii="Arial" w:cs="Arial" w:eastAsia="Arial" w:hAnsi="Arial"/>
          <w:sz w:val="16"/>
          <w:szCs w:val="16"/>
          <w:i w:val="1"/>
          <w:iCs w:val="1"/>
          <w:color w:val="auto"/>
        </w:rPr>
        <w:t xml:space="preserve">COVID-19 Health Measures: </w:t>
      </w:r>
      <w:r>
        <w:rPr>
          <w:rFonts w:ascii="Arial" w:cs="Arial" w:eastAsia="Arial" w:hAnsi="Arial"/>
          <w:sz w:val="16"/>
          <w:szCs w:val="16"/>
          <w:color w:val="auto"/>
        </w:rPr>
        <w:t>Since the onset of the COVID-19 pandemic, the health and safety of the Company’s employees has been its highest</w:t>
      </w:r>
      <w:r>
        <w:rPr>
          <w:rFonts w:ascii="Arial" w:cs="Arial" w:eastAsia="Arial" w:hAnsi="Arial"/>
          <w:sz w:val="16"/>
          <w:szCs w:val="16"/>
          <w:i w:val="1"/>
          <w:iCs w:val="1"/>
          <w:color w:val="auto"/>
        </w:rPr>
        <w:t xml:space="preserve"> </w:t>
      </w:r>
      <w:r>
        <w:rPr>
          <w:rFonts w:ascii="Arial" w:cs="Arial" w:eastAsia="Arial" w:hAnsi="Arial"/>
          <w:sz w:val="16"/>
          <w:szCs w:val="16"/>
          <w:color w:val="auto"/>
        </w:rPr>
        <w:t>priority, with the Company conducting regular COVID-19 Response Management Meetings. Management has been mandated to immediately implement several changes to enhance COVID-19 safety and to mitigate related work environment health risks. For the Company’s offshore operations, these changes included providing personal protective equipment such as protective eyewear, medical suits, medical nitrile gloves, boot covers, face masks, anti-bacterial hand soap and alcohol sanitizers, digital infrared thermometers, and Biohazard Spill-Paks. In addition to providing personal protective equipment, the Company implemented COVID-19 vessel response plans across its global fleet which included quarterly fleet-wide shoreside pandemic illness drills and additional COVID onboard illness drills, as well as developed a health screening questionnaire and related guidelines. For the Company’s other employees, this included enhancing remote working capabilities as well as other arrangements. In addition, the Company provided access to short-term counseling for any employees dealing with the stress of COVID-19 or other issues. SEACOR Marine is committed to a robust COVID-19 response and is, among other initiatives, installing hydroxyl generators in vessel heating, ventilation, and air conditioning systems primarily to destroy pathogens, viruses and bacteria on surfaces and in the air. The Company will dynamically adjust its COVID-19 response to appropriately address the risks presented by the pandemic.</w:t>
      </w:r>
    </w:p>
    <w:p>
      <w:pPr>
        <w:spacing w:after="0" w:line="17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i w:val="1"/>
          <w:iCs w:val="1"/>
          <w:color w:val="auto"/>
        </w:rPr>
        <w:t xml:space="preserve">Diversity and Inclusion: </w:t>
      </w:r>
      <w:r>
        <w:rPr>
          <w:rFonts w:ascii="Arial" w:cs="Arial" w:eastAsia="Arial" w:hAnsi="Arial"/>
          <w:sz w:val="18"/>
          <w:szCs w:val="18"/>
          <w:color w:val="auto"/>
        </w:rPr>
        <w:t>The Company recognizes the value of diversity and inclusion within its organization and strives to ensure that its</w:t>
      </w:r>
      <w:r>
        <w:rPr>
          <w:rFonts w:ascii="Arial" w:cs="Arial" w:eastAsia="Arial" w:hAnsi="Arial"/>
          <w:sz w:val="18"/>
          <w:szCs w:val="18"/>
          <w:i w:val="1"/>
          <w:iCs w:val="1"/>
          <w:color w:val="auto"/>
        </w:rPr>
        <w:t xml:space="preserve"> </w:t>
      </w:r>
      <w:r>
        <w:rPr>
          <w:rFonts w:ascii="Arial" w:cs="Arial" w:eastAsia="Arial" w:hAnsi="Arial"/>
          <w:sz w:val="18"/>
          <w:szCs w:val="18"/>
          <w:color w:val="auto"/>
        </w:rPr>
        <w:t>workplace reflects the diverse communities in which it operates in order to promote collaboration, innovation, creativity and belonging. The Sustainability Council has been mandated by the Nominating and Governance Committee to develop strategies to promote diversity and inclusion in the workplace, and oversees the Company’s Diversity and Inclusion Committee which is responsible for developing policies and practices to recruit, support, promote and retain staff with diverse backgrounds, experiences and attributes.</w:t>
      </w:r>
    </w:p>
    <w:p>
      <w:pPr>
        <w:spacing w:after="0" w:line="20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The Company is proud of its diverse workforce and cross-cultural competences and, as of December 31, 2021, employed individuals from over 37 countries. The Company further recognizes that the maritime industry has traditionally been male dominated, and as a result, the Company is seeking to increase the representation of women by developing practical and innovative strategies. As of December 31, 2021, 29% of SEACOR Marine’s onshore workforce was female, while only a small fraction of its at sea workforce was represented by female seafarers. SEACOR Marine is committed to continue to recruit and employ qualified candidates regardless of their gender or cultural background or identity.</w:t>
      </w:r>
    </w:p>
    <w:p>
      <w:pPr>
        <w:spacing w:after="0" w:line="19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i w:val="1"/>
          <w:iCs w:val="1"/>
          <w:color w:val="auto"/>
        </w:rPr>
        <w:t>Training and Talent Development</w:t>
      </w:r>
      <w:r>
        <w:rPr>
          <w:rFonts w:ascii="Arial" w:cs="Arial" w:eastAsia="Arial" w:hAnsi="Arial"/>
          <w:sz w:val="18"/>
          <w:szCs w:val="18"/>
          <w:color w:val="auto"/>
        </w:rPr>
        <w:t>: The Company is committed to the education of its employees and has committed to provide its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variety of learning opportunities, including, but not limited to, leadership training, technical skill development, soft skills development, workplace conduct guidance, and health, safety and security training. The Sustainability Council is working collaboratively with SEACOR Marine’s Human Resources department to continually enhance and promote its training programs to attract new talent as well as develop and retain talent within the organization.</w:t>
      </w:r>
    </w:p>
    <w:p>
      <w:pPr>
        <w:spacing w:after="0" w:line="18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i w:val="1"/>
          <w:iCs w:val="1"/>
          <w:color w:val="auto"/>
        </w:rPr>
        <w:t>Employee Benefits</w:t>
      </w:r>
      <w:r>
        <w:rPr>
          <w:rFonts w:ascii="Arial" w:cs="Arial" w:eastAsia="Arial" w:hAnsi="Arial"/>
          <w:sz w:val="17"/>
          <w:szCs w:val="17"/>
          <w:color w:val="auto"/>
        </w:rPr>
        <w:t>: The Company believes in the importance of offering its employees competitive salaries and wages, together with</w:t>
      </w:r>
      <w:r>
        <w:rPr>
          <w:rFonts w:ascii="Arial" w:cs="Arial" w:eastAsia="Arial" w:hAnsi="Arial"/>
          <w:sz w:val="17"/>
          <w:szCs w:val="17"/>
          <w:i w:val="1"/>
          <w:iCs w:val="1"/>
          <w:color w:val="auto"/>
        </w:rPr>
        <w:t xml:space="preserve"> </w:t>
      </w:r>
      <w:r>
        <w:rPr>
          <w:rFonts w:ascii="Arial" w:cs="Arial" w:eastAsia="Arial" w:hAnsi="Arial"/>
          <w:sz w:val="17"/>
          <w:szCs w:val="17"/>
          <w:color w:val="auto"/>
        </w:rPr>
        <w:t>comprehensive insurance options. The Company recognizes the importance of comprehensive benefits, including medical, prescription drug, vision, dental, life, disability and flexible spending, employees and their family members are provided with tools and resources to assist in adopting and maintaining a healthy lifestyle. The Company pays the cost of basic life insurance, accidental death and dismemberment insurance, short-term and long-term disability for its employees. Additionally, employees may purchase supplemental life, dependent life, and additional long-term disability insurance. Other valuable benefits provided by the Company include life and travel assistance programs, will preparation and a 401(k) plan.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02"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Company’s business, financial position, results of operations, cash flows and prospects may be materially adversely affected by numerous risks. Carefully consider the risks described below, which represent the material risk factors that affect the Company and are known to the Company at this time, as well as the other information that has been provided in this Annual Report on Form 10-K. Additional risks, not presently known to the Company or not perceived as material, may also materially and adversely affect the Company’s business, financial position, results of operations, cash flows and prospects. Material risks that may affect the Company’s business, financial position, results of operations, cash flows and prospects include, but are not necessarily limited to, those relating to:</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Related to the Company’s Business and Industry</w:t>
      </w:r>
    </w:p>
    <w:p>
      <w:pPr>
        <w:spacing w:after="0" w:line="117" w:lineRule="exact"/>
        <w:rPr>
          <w:sz w:val="20"/>
          <w:szCs w:val="20"/>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fluctuating prices and decreased demand for oil and natural gas;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decreased demand for offshore oil and natural gas exploration, development and production;</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COVID-19 pandemic and its impact on the price of oil, demand for oil, and demand for services;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COVID-19 pandemic, health epidemics and other outbreaks and their impact and disruption to business operations and workforce;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and limitations imposed by credit facilities on operating and financial flexibility;</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structure;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method of determining the London Interbank Offered Rate;</w:t>
      </w:r>
    </w:p>
    <w:p>
      <w:pPr>
        <w:spacing w:after="0" w:line="144"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downward pricing pressures on the price of crude oil and natural gas resulting from unconventional crude oil and natural gas sources and improved economics of producing natural gas and oil from such sources;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losses or impairment charges related to sold or idle vessels;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retain customers due to a failure to maintain an acceptable safety record;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in competition in the offshore marine service industry;</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oversupply of vessels or equipment serving offshore oil and natural gas operations may adversely impact charter rates for vessels and equipment;</w:t>
      </w:r>
    </w:p>
    <w:p>
      <w:pPr>
        <w:spacing w:after="0" w:line="167"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significant customers;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of customer base may adversely affect demand for services and reduction in revenue;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maintain or replace vessels as they age;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to successfully complete construction or conversion of vessels, repairs, maintenance or routine drydockings on schedule and on budget;</w:t>
      </w:r>
    </w:p>
    <w:p>
      <w:pPr>
        <w:spacing w:after="0" w:line="167"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factors and their impact on business operations and workforce;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incurring high levels of fixed costs regardless of business activity levels;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incurring higher than expected costs to return previously cold-stacked vessels to class as the markets recovers or marketing strategies change;</w:t>
      </w:r>
    </w:p>
    <w:p>
      <w:pPr>
        <w:spacing w:after="0" w:line="167"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renew or replace expiring contracts for vessels;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early termination of vessel contracts may adversely affect operations;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increased domestic and international laws and regulations, including additional laws and regulations in the event of high-profile incidents;</w:t>
      </w:r>
    </w:p>
    <w:p>
      <w:pPr>
        <w:spacing w:after="0" w:line="155" w:lineRule="exact"/>
        <w:rPr>
          <w:rFonts w:ascii="Arial" w:cs="Arial" w:eastAsia="Arial" w:hAnsi="Arial"/>
          <w:sz w:val="17"/>
          <w:szCs w:val="17"/>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federal government regulation of offshore resources for the production of oil and natural gas;</w:t>
      </w:r>
    </w:p>
    <w:p>
      <w:pPr>
        <w:spacing w:after="0" w:line="144"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and regulations, including environmental laws and regulations that can adversely affect the cost, manner or feasibility of doing business;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climate change, environmental regulations and environmental expectations;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instability of political, military and economic conditions in foreign countries;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operation disruptions and exposure to liability caused by hazards inherent for the operation of vessels;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inadequacy of insurance coverage;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affects and additional risks to business resulting from significant corporate transactions;</w:t>
      </w:r>
    </w:p>
    <w:p>
      <w:pPr>
        <w:spacing w:after="0" w:line="144"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prohibition of operation of offshore support vessels in the U.S. resulting from failure to restrict the amount of ownership of the Company’s Common Stock by non-U.S. citizens;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repeal, amendment, suspension or non-enforcement of the Jones Act;</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sell off a portion of the business or forfeiture of vessels resulting from restrictions placed on non-U.S. citizen ownership;</w:t>
      </w:r>
    </w:p>
    <w:p>
      <w:pPr>
        <w:spacing w:after="0" w:line="144" w:lineRule="exact"/>
        <w:rPr>
          <w:rFonts w:ascii="Arial" w:cs="Arial" w:eastAsia="Arial" w:hAnsi="Arial"/>
          <w:sz w:val="18"/>
          <w:szCs w:val="18"/>
          <w:color w:val="auto"/>
        </w:rPr>
      </w:pPr>
    </w:p>
    <w:p>
      <w:pPr>
        <w:jc w:val="both"/>
        <w:ind w:left="740" w:hanging="368"/>
        <w:spacing w:after="0" w:line="263"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placed by the Company’s incorporation and formation documents limiting ownership of Common Stock by individuals and entities that are not U.S. citizens may affect liquidity of Common Stock and may result in non-U.S. citizens being required to sell their shares at a loss or relinquish their voting, dividend and distribution rights;</w:t>
      </w:r>
    </w:p>
    <w:p>
      <w:pPr>
        <w:spacing w:after="0" w:line="75"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access funds and redeem any excess shares to avoid suspension of operations in the U.S. coastwise trade due to non-U.S. citizens owning more than 25% of the Company’s Common Stock;</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requisition or use by governmental agencies of the Company’s vessels;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inadequate indemnification by customers for damage to their property or the property of their other contractors;</w:t>
      </w:r>
    </w:p>
    <w:p>
      <w:pPr>
        <w:spacing w:after="0" w:line="144"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improve cash flow and liquidity through vessel sales resulting from inability to locate buyers with access to financing or to complete any sales on acceptable terms or within a reasonable time frame;</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collect amounts owed by customers;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of sole decision-making authority and disputes between joint ventures and investments in joint ventures;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exposure to potential future losses due to participation in industry-wide, multi-employer, defined benefit pension plans;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improve operations and financial systems, and recruitment of additional staff;</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attract and retain qualified personnel and crew vessels appropriately;</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law and state law job-related claims;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protect against service interruptions, data corruption, cyber-based attacks or network security breaches;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Related to the Company’s Spin-off</w:t>
      </w:r>
    </w:p>
    <w:p>
      <w:pPr>
        <w:spacing w:after="0" w:line="117" w:lineRule="exact"/>
        <w:rPr>
          <w:sz w:val="20"/>
          <w:szCs w:val="20"/>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federal income tax liabilities related to the Company’s Spin-off from SEACOR Holdings;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Related to the Company’s Common Stock</w:t>
      </w:r>
    </w:p>
    <w:p>
      <w:pPr>
        <w:spacing w:after="0" w:line="117" w:lineRule="exact"/>
        <w:rPr>
          <w:sz w:val="20"/>
          <w:szCs w:val="20"/>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Common Stock price;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ownership dilution;</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Common Stock price and trading volume decline due to securities or industry analyst reports and recommendations;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“Emerging Growth Company” requirements;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the development and maintenance of proper and effective internal controls over financial reporting;</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achieve and maintain effective internal controls over financial reporting;</w:t>
      </w:r>
    </w:p>
    <w:p>
      <w:pPr>
        <w:spacing w:after="0" w:line="144"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depression of Common Stock price due to provisions in the Company’s incorporation and formation documents that may discourage, delay or prevent a change of control of the Company or changes in the Company’s management;</w:t>
      </w:r>
    </w:p>
    <w:p>
      <w:pPr>
        <w:spacing w:after="0" w:line="62"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to Common Stockholders ability to obtain favorable judicial forum for disputes due to forum selection clause restrictions placed by the Company’s incorporation and formation documents; and</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intention not to pay dividends on our Common Stock for the foreseeable future.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ind w:left="760"/>
        <w:spacing w:after="0"/>
        <w:rPr>
          <w:sz w:val="20"/>
          <w:szCs w:val="20"/>
          <w:color w:val="auto"/>
        </w:rPr>
      </w:pPr>
      <w:r>
        <w:rPr>
          <w:rFonts w:ascii="Arial" w:cs="Arial" w:eastAsia="Arial" w:hAnsi="Arial"/>
          <w:sz w:val="18"/>
          <w:szCs w:val="18"/>
          <w:b w:val="1"/>
          <w:bCs w:val="1"/>
          <w:color w:val="auto"/>
        </w:rPr>
        <w:t>Risk Factors Related to the Company’s Business and Industry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exposed to fluctuating prices of oil and natural gas and decreased demand for oil and natural gas.</w:t>
      </w:r>
    </w:p>
    <w:p>
      <w:pPr>
        <w:spacing w:after="0" w:line="18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market for the Company’s offshore support services is impacted by the comparative price for exploring, developing, and producing oil and natural gas and by the corresponding supply and demand for oil and natural gas, both globally and regionally. Among other factors, the increased supply of oil and natural gas from the development of unconventional oil and natural gas supply sources, particularly shale, and technologies to improve recovery from current sources have caused volatility in the price of oil and natural gas as well as a reduction of demand and prices charged for offshore support services globally. The advent of electric cars and the development of alternative sources of energy to hydrocarbons, such as solar and wind power and other developing technology, as well as increasing regulations on greenhouse gas emissions and actions taken and expected to be taken by companies, governments and investors to reduce dependence on hydrocarbon based fuels, are widely expected to further diminish the demand for oil and natural gas in the coming years. Such diminution of demand could place continued or additional pressure on the price of oil and therefore demand for the Company’s services, as developing offshore oil fields, particularly in deep waters, is one of the most expensive sources of hydrocarbons. Other factors that influence the supply and demand and the relative price of oil and natural gas include operational issues, natural disasters, weather, political instability, conflicts, civil unrest, the worldwide economic, political and military environment, acts of terrorism, foreign exchange rates, economic conditions and actions by major hydrocarbon-producing countries. The price of oil and natural gas and the relative cost to extract, proximity to market and political imperatives of countries with offshore deposits affect the willingness to commit investment for contract drilling rigs and offshore support vessels used for offshore exploration, field development and production activities, which in turn affects the Company’s results of operations. Prolonged periods of low oil and natural gas prices or rising costs result in lower demand for the Company’s services and can give rise to impairments of the Company’s assets.</w:t>
      </w:r>
    </w:p>
    <w:p>
      <w:pPr>
        <w:spacing w:after="0" w:line="127"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The Company’s operations depend on the level of spending by oil and natural gas companies for exploration, development and production, maintenance and decommissioning activities. Both short-term and long-term trends in oil and natural gas prices affect these activity levels. Oil and natural gas prices, as well as the level of drilling, exploration and production activity, have been highly volatile over the past few years and are expected to continue to be volatile for the foreseeable future. For example, oil prices were as high as $107 per barrel during 2014, followed by a near ten-year low of $26 per barrel in February 2016, and then a high of $76 per barrel in October 2018. The West Texas Intermediate (“WTI”) front month oil prices experienced unprecedented volatility during 2020 as a result of the COVID-19 pandemic and the related effects on the global economy, including going negative for a short period of time. While oil prices have steadily increased since the lows hit at the beginning of the COVID-19 pandemic and recently hit a $116 per barrel high primarily as a result of the conflict between Russia and Ukraine, no assurances can be given that the increases will continue or be sustained or that our business will benefit from the increase.</w:t>
      </w:r>
    </w:p>
    <w:p>
      <w:pPr>
        <w:spacing w:after="0" w:line="154"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Declines in oil prices are primarily caused by, among other things, an excess of supply of crude oil in relation to demand. Since developing offshore oil fields, particularly in deep waters, is one of the most expensive sources of hydrocarbons and providing transportation and logistics services to these markets is the largest component of the Company’s business, the Company is particularly exposed to depressed oil and natural gas prices that last for some period of time. When the Company’s customers experience low commodity prices or come to believe that they will be low in the future, they generally reduce their capital spending for offshore drilling, exploration and field development. The significant decrease in oil and natural gas prices that began in the second half of 2014 caused a reduction in many of the Company’s customers’ exploratory, drilling, completion and other production activities and, as a result, related spending on the Company’s services. As such, the Company’s overall fleet utilization for the years ended December 31, 2021, 2020 and 2019, was 66%, 55% and 60%, respectively. The prolonged reduction in the overall level of exploration and development activities has materially and adversely affected the Company by negatively impacting its fleet utilization, which in turn has negatively affected its revenues, cash flows, profitability and the fair market value of the Company’s vessels. It could also affect the collectability of the Company’s receivables and its ability to retain skilled personnel. Periods of low activity intensify price competition in the industry, which erodes operating margin, and can lead to the Company’s vessels being idle for long periods of time.</w:t>
      </w:r>
    </w:p>
    <w:p>
      <w:pPr>
        <w:spacing w:after="0" w:line="13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If difficult market conditions persist, any recovery we or our industry anticipates fails to materialize or is delayed beyond expectations, further deterioration in the fair value of vessels already impaired or revisions to its forecasts may result in the Company recording additional impairment charges related to its fleet in future periods.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Demand for many of the Company’s services is impacted by the level of activity in the offshore oil and natural gas exploration, development and production industry.</w:t>
      </w:r>
    </w:p>
    <w:p>
      <w:pPr>
        <w:spacing w:after="0" w:line="14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level of offshore oil and natural gas exploration, development and production activity has historically been volatile. This volatility is likely to continue. The level of activity is subject to large fluctuations in response to relatively minor changes in a variety of factors that are beyond the Company’s control, including:</w:t>
      </w:r>
    </w:p>
    <w:p>
      <w:pPr>
        <w:spacing w:after="0" w:line="143" w:lineRule="exact"/>
        <w:rPr>
          <w:sz w:val="20"/>
          <w:szCs w:val="20"/>
          <w:color w:val="auto"/>
        </w:rPr>
      </w:pPr>
    </w:p>
    <w:p>
      <w:pPr>
        <w:ind w:left="1120" w:hanging="370"/>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worldwide economic environment, trends in international trade or other economic trends, including recessions and the level of activity in energy-consuming markets;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prevailing oil and natural gas prices and expectations about future prices and price volatility;</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assessments of offshore drilling prospects compared with land-based opportunities;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ind w:left="1120" w:hanging="370"/>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exploring for, producing and delivering oil and natural gas offshore and the relative cost of, and success in, doing so on land, including fracking and other technologies that make it more economical to produce oil from non-traditional sources;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consolidation of oil and natural gas and oil service companies operating offshore;</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worldwide supply and demand for energy, petroleum products and chemical products;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and rate of discovery of new oil and natural gas reserves in offshore areas;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state, local and international political and economic conditions, and policies including cabotage and local content laws;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technological advancements affecting exploration, development, energy production and consumption;</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ability or willingness of the Organization of Petroleum Exporting Countries (“OPEC”) to set and maintain production levels and pricing;</w:t>
      </w:r>
    </w:p>
    <w:p>
      <w:pPr>
        <w:spacing w:after="0" w:line="234" w:lineRule="exact"/>
        <w:rPr>
          <w:rFonts w:ascii="Arial" w:cs="Arial" w:eastAsia="Arial" w:hAnsi="Arial"/>
          <w:sz w:val="16"/>
          <w:szCs w:val="16"/>
          <w:color w:val="auto"/>
        </w:rPr>
      </w:pPr>
    </w:p>
    <w:p>
      <w:pPr>
        <w:ind w:left="1120" w:hanging="370"/>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oil and natural gas production by non-OPEC countries and the acceptance of oil produced by Iran by other countries throughout the world;</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 sanctions on oil producing countries including certain sanctions against Iran;</w:t>
      </w:r>
    </w:p>
    <w:p>
      <w:pPr>
        <w:spacing w:after="0" w:line="211" w:lineRule="exact"/>
        <w:rPr>
          <w:rFonts w:ascii="Arial" w:cs="Arial" w:eastAsia="Arial" w:hAnsi="Arial"/>
          <w:sz w:val="18"/>
          <w:szCs w:val="18"/>
          <w:color w:val="auto"/>
        </w:rPr>
      </w:pPr>
    </w:p>
    <w:p>
      <w:pPr>
        <w:jc w:val="both"/>
        <w:ind w:left="1120" w:hanging="370"/>
        <w:spacing w:after="0" w:line="263"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civil unrest and the worldwide political and military environment, including uncertainty or instability resulting from an escalation or additional outbreak of armed hostilities involving the Middle East, Russia, Venezuela, other oil-producing regions or other geographic areas or acts of terrorism in the U.S. or elsewhere;</w:t>
      </w:r>
    </w:p>
    <w:p>
      <w:pPr>
        <w:spacing w:after="0" w:line="143"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weather conditions and catastrophic events;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environmental regulation;</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regulation of drilling activities and the availability of drilling permits and concessions;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oil and natural gas companies to generate or otherwise obtain funds for capital projects; and</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in the use and exploitation of renewable energy and the development of alternative fuel or energy sources.</w:t>
      </w:r>
    </w:p>
    <w:p>
      <w:pPr>
        <w:spacing w:after="0" w:line="21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The prolonged material downturn in oil and natural gas prices until the recent recovery experienced in 2021 caused a substantial decline in expenditures for exploration, development and production activity, which resulted in a decline in demand and lower rates for the Company’s offshore energy support services and, in turn, lower utilization levels over the last five years. Although activity levels have recovered somewhat in 2021, continued under-investment by our customers or a new decrease in activity could further reduce the Company’s day rates and its utilization, which may in turn have a material adverse effect on the Company’s business, financial position, results of operations, cash flows and prospects. In addition, an increase in commodity demand and prices will not necessarily result in an immediate increase in offshore drilling activity since project development lead and planning times, reserve replacement needs, expectations of future commodity demand, energy transition, customer capital discipline, prices and supply of available competing vessels all combine to affect demand for the Company’s vessels.</w:t>
      </w:r>
    </w:p>
    <w:p>
      <w:pPr>
        <w:spacing w:after="0" w:line="151"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The Company operates in four primary regions: the U.S. (primarily the Gulf of Mexico), Africa and Europe, Latin America, and the Middle East and Asia. The volume of work contributed by each region changes periodically due to a number of factors including how active each region is, how many vessels are working in each region and the changing regulatory landscape of the applicable region. For instance, for the years ended December 31, 2021, 2020, and 2019, approximately 12%, 11% and 25%, respectively, of the Company’s operating revenues were earned in the U.S. Gulf of Mexico. The Company has some ability to shift the location of its assets between regions depending upon local regulation and cost of doing business, among many other factors, and, while it has repositioned some assets from less active regions to other regions and may continue to do so in the future, such efforts may not be sufficient to counter the latest downturn in the regions on which we rely in any given year.</w:t>
      </w:r>
    </w:p>
    <w:p>
      <w:pPr>
        <w:spacing w:after="0" w:line="1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COVID-19 pandemic has resulted in a decrease in the price of and demand for oil, which has caused, and may continue to cause, a decrease in the demand for the Company’s services.</w:t>
      </w:r>
    </w:p>
    <w:p>
      <w:pPr>
        <w:spacing w:after="0" w:line="130"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During 2020, oil prices experienced record declines in response to a significant amount of oversupply in oil and natural gas caused by (i) the COVID-19 pandemic that began in late 2019 and has led to a substantial decrease in global economic activity and (ii) supply decisions made principally by Russia and Saudi Arabia resulting in the failure to agree on terms to maintain production limits and the ensuing influx of additional oil to an already oversupplied market. These declines in oil and natural gas prices were on top of prices that had already been below historic averages. On January 2, 2020, WTI crude oil prices closed at a price of $61.18 per barrel. On April 20, 2020, the NYMEX WTI oil futures price for May 2020 went “negative” to -$37.63 per barrel. While WTI front month crude oil prices have recovered and now even exceed pre-COVID-19 pandemic levels, if the severity of the pandemic were to significantly worsen it could have a negative effect on demand for oil and natural gas resulting in excess supply. This excess supply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8" w:name="page19"/>
    <w:bookmarkEnd w:id="18"/>
    <w:p>
      <w:pPr>
        <w:jc w:val="both"/>
        <w:spacing w:after="0" w:line="286" w:lineRule="auto"/>
        <w:rPr>
          <w:sz w:val="20"/>
          <w:szCs w:val="20"/>
          <w:color w:val="auto"/>
        </w:rPr>
      </w:pPr>
      <w:r>
        <w:rPr>
          <w:rFonts w:ascii="Arial" w:cs="Arial" w:eastAsia="Arial" w:hAnsi="Arial"/>
          <w:sz w:val="17"/>
          <w:szCs w:val="17"/>
          <w:color w:val="auto"/>
        </w:rPr>
        <w:t>could, in turn, result in transportation and storage capacity constraints in the United States, or even the elimination of available storage. Decreases in prices and continued uncertainty caused by the COVID-19 pandemic could cause the Company’s customers’ to reduce exploratory, drilling, completion and other production activities, which could have a material adverse effect on the Company’s business and liquidity.</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operation and workforce faces risks related to the COVID-19 pandemic, health epidemics and other outbreaks, which could significantly disrupt the Company’s operations</w:t>
      </w:r>
      <w:r>
        <w:rPr>
          <w:rFonts w:ascii="Arial" w:cs="Arial" w:eastAsia="Arial" w:hAnsi="Arial"/>
          <w:sz w:val="18"/>
          <w:szCs w:val="18"/>
          <w:color w:val="auto"/>
        </w:rPr>
        <w:t>.</w:t>
      </w:r>
    </w:p>
    <w:p>
      <w:pPr>
        <w:spacing w:after="0" w:line="13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Company’s operations and financial results were adversely affected in both 2020 and 2021 by the COVID-19 pandemic as a result of decreased demand and the increase in costs due to operational changes enacted to enhance crew and onshore employee safety.</w:t>
      </w:r>
    </w:p>
    <w:p>
      <w:pPr>
        <w:spacing w:after="0" w:line="130"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In addition, the pandemic may affect the health of the Company’s workforce, and international, national and local government interventions enacted to reduce the spread of COVID-19 may render the Company’s employees unable to commute to work and/or travel. Although the Company’s workforce is largely considered to be “essential” under guidance issued by the U.S. Cybersecurity and Infrastructure Security Agency, work, travel and other restrictions may vary in other regions of the world in which the Company has significant operations, such as Africa and Europe, Middle East and Asia, and Latin America. Therefore, the Company may experience reduced productivity and an inability to fully support its offshore operations if the Company’s onshore personnel work remotely due to restrictions related to COVID-19. In addition, while many governments have recently relaxed COVID-19 related restrictions increases in infection rates, such restrictions may be reinstituted at any time and could be more severe than they were initially.</w:t>
      </w:r>
    </w:p>
    <w:p>
      <w:pPr>
        <w:spacing w:after="0" w:line="139"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Additionally, an outbreak of COVID-19 on any of the Company’s vessels may result in the vessel, or some or all of the vessel crew, being quarantined, which would hinder the vessel’s ability to generate revenue and the crew’s ability to man any substitute vessel. The Company may also experience challenges in connection with the Company’s offshore crew changes due to health and travel restrictions related to COVID-19. The duration and severity of the business disruption and related financial impact from the COVID-19 pandemic cannot be reasonably estimated at this time. If the impact of the COVID-19 pandemic continues for an extended period of time, not only could it materially adversely affect the demand for the Company’s services but also the ability of the Company to provide such services, either of which could have a material adverse effect on the Company’s business. Adverse effects of the COVID-19 pandemic could exacerbate many of the other risks set forth in this “Risk Factors” section and the Company’s other SEC filings, such as those relating to the Company’s financial performance and debt obligations and ability to crew its vessels.</w:t>
      </w:r>
    </w:p>
    <w:p>
      <w:pPr>
        <w:spacing w:after="0" w:line="138"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Any further outbreak of contagious diseases and other adverse public health developments, or the fear of such events, may cause similar issues or require the implementation of additional restrictions and precautionary measures. Any such restrictions or precautionary measures may curtail travel or impact the delivery or mobilization of vessels to and from certain countries, or geographic regions, or the ability to crew vessels appropriately. Any prolonged disruption of our delivery or mobilization schedule would likely impact our financial and operating results. A health epidemic or other outbreak may impact certain of our crews, which may materially and adversely affect our business, financial condition and results of operations. In addition, to the extent an outbreak of any such diseases cause a deterioration of the global economy it could impact oil and natural gas prices, which in turn could impact our business.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Restrictions imposed by the terms of the Company’s existing credit facilities or future indebtedness it may incur can limit the Company’s operating and financial flexibility. In addition, there can be no assurance that the Company will meet the requirements of its financial covenants on an ongoing basis or that if it should fail to meet such covenants in the future, the lender under the relevant credit agreement will agree to waivers or amendments with respect thereto.</w:t>
      </w:r>
    </w:p>
    <w:p>
      <w:pPr>
        <w:spacing w:after="0" w:line="160"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Many of the Company’s existing credit facilities impose, and its future credit facilities may impose, restrictions, such as negative covenants and maintenance of financial ratio covenants, which may limit its operating and financial flexibility. Negative covenants such as limitations on the incurrence of additional indebtedness or liens may affect the Company’s ability to incur additional debt if needed, while asset sale covenants could affect its ability to sell assets to generate liquidity and properly manage its fleet size. Requirements to maintain a minimum level of liquidity could also affect cash available for working capital, capital expenditures, debt service and general corporate purposes. The Company’s ability to maintain financial ratio covenants may be affected by general economic conditions or other events beyond the Company’s control and no assurance can be given that such ratios will be met in the future. If the Company is unable to meet such ratios or is otherwise unable to comply with covenants in these facilities, it may be unable to reach agreements with the lenders under such credit facilities for waivers and/or amendments to the applicable covenants. Failure to comply with these restrictions could result in the lenders accelerating all amounts due under the credit facility and potentially trigger a default or acceleration of the Company’s other credit facilities.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associated with the Company’s debt structure.</w:t>
      </w:r>
    </w:p>
    <w:p>
      <w:pPr>
        <w:spacing w:after="0" w:line="18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As of December 31, 2021, the Company has $401.0 million of outstanding indebtedness, including $125.0 million of its Convertible Senior Notes due 2023 (the “Convertible Senior Notes”) and obligations under secured notes and credit facilities secured by mortgages on various vessels. This includes the $130.0 million loan facility that was entered into by SEACOR Marine Foreign Holdings Inc. (“SMFH”), a wholly owned subsidiary of the Company, on September 26,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9" w:name="page20"/>
    <w:bookmarkEnd w:id="19"/>
    <w:p>
      <w:pPr>
        <w:jc w:val="both"/>
        <w:ind w:firstLine="749"/>
        <w:spacing w:after="0" w:line="271" w:lineRule="auto"/>
        <w:rPr>
          <w:sz w:val="20"/>
          <w:szCs w:val="20"/>
          <w:color w:val="auto"/>
        </w:rPr>
      </w:pPr>
      <w:r>
        <w:rPr>
          <w:rFonts w:ascii="Arial" w:cs="Arial" w:eastAsia="Arial" w:hAnsi="Arial"/>
          <w:sz w:val="17"/>
          <w:szCs w:val="17"/>
          <w:color w:val="auto"/>
        </w:rPr>
        <w:t>The Company’s ability to meet its debt service obligations and refinance its current indebtedness, as well as any future debt that it may incur, will depend upon its ability to generate cash in the future from operations, financings or asset sales, which are subject to general economic conditions, the Company’s results of operations, industry cycles, seasonality, the general state of the capital markets at the time it seeks to refinance its debt, financial, business and other factors, some of which may be beyond the Company’s control. If the Company cannot repay or refinance its debt as it becomes due, the Company may be forced to sell assets or take other disadvantageous actions, including undertaking alternative financing plans, which may have onerous terms or may be unavailable, dedicating an unsustainable level of the Company’s cash flow from operations to the payment of principal and interest on its indebtedness and/or reducing the amount of liquidity available for working capital, capital expenditures and general corporate purposes. The Company’s failure to pay or refinance its current or future debt under a credit facility when it becomes due could lead to the acceleration of all amounts due under such facility and potentially trigger a default or acceleration of the Company’s other credit facilities. The Company’s obligations to repay indebtedness and comply with restrictive and/or financial maintenance covenants could also impair its ability to rapidly respond to changes in its business or industry and withstand competitive pressures. See “Item 7. Management’s Discussion and Analysis of Financial Condition and Results of Operations—Liquidity and Capital Resources” for additional information. The Company’s overall debt level and/or market conditions could limit its ability to issue additional debt in amounts and/or on terms that it considers reasonable.</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the method of determining the London Interbank Offered Rate (“LIBOR”), or the replacement of LIBOR with an alternative reference rate, may adversely affect interest expense related to outstanding debt.</w:t>
      </w:r>
    </w:p>
    <w:p>
      <w:pPr>
        <w:spacing w:after="0" w:line="130"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Amounts drawn under certain of our debt instruments may bear interest at rates based on LIBOR. On July 27, 2017, the Financial Conduct Authority in the United Kingdom (the “FCA”) announced that it would phase out LIBOR as a benchmark by the end of 2021. The publication of USD LIBOR will cease after June 30, 2023, and the FCA confirmed that use of USD LIBOR will not be permitted in most new contracts after December 31, 2021. The Company has outstanding variable rate debt instruments (due 2021 through 2029) subject to interest rate fluctuations totaling $171.8 million that call for the Company to pay interest based on LIBOR plus applicable margins. We are currently evaluating the impact of the potential replacement of the LIBOR interest rate. In addition, the overall financial markets may be disrupted as a result of the phase-out or replacement of LIBOR. Uncertainty as to the nature of such potential phase-out and alternative reference rates or disruption in the financial market could have a material adverse effect on our financial condition, results of operations and cash flows.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Unconventional crude oil and natural gas sources and improved economics of producing natural gas and oil from such sources has and will likely continue to exert downward pricing pressures on the price of crude oil and natural gas.</w:t>
      </w:r>
    </w:p>
    <w:p>
      <w:pPr>
        <w:spacing w:after="0" w:line="143"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The rise in production of crude oil and natural gas from shale in North America and the increased use of large Liquefied Natural Gas export facilities around the world are, at least to date, significant contributors of supply to the crude oil and natural gas market. Production of crude oil and natural gas from unconventional sources has benefited from improved drilling efficiencies that have lowered the costs of extraction from these sources. The rise in production of natural gas and oil from these sources not only affects the price of natural gas and oil but can also result in a reduction of capital invested in offshore oil and natural gas exploration. Because the Company provides vessels servicing offshore oil and natural gas exploration, a significant reduction in investments in offshore exploration and development in favor of investments in these unconventional resources could have a material adverse effect on the Company’s business, financial position, results of operations, cash flows and prospects.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record additional losses or impairment charges related to sold or idle vessels</w:t>
      </w:r>
    </w:p>
    <w:p>
      <w:pPr>
        <w:spacing w:after="0" w:line="18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While the Company did not recognize any impairment charges in 2021, during 2020 and 2019, the Company recognized impairment charges of $18.8 million and $12.0 million, respectively, related to tangible assets. Prolonged periods of low utilization or low day or charter rates, the sale of assets below their then carrying value or the decline in market value of the Company’s assets may cause the Company to record additional impairments. If there are indications that the carrying value of any of the Company’s vessels may not be recoverable or if the Company sells assets for less than their then carrying value, the Company may recognize additional impairment charges on its fleet.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high level of competition in the offshore marine service industry.</w:t>
      </w:r>
    </w:p>
    <w:p>
      <w:pPr>
        <w:spacing w:after="0" w:line="185"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The Company operates in a highly fragmented and competitive industry, and the competitive nature of its industry and excess supply of equipment is currently depressing charter and utilization rates. If the period of depressed rates experienced over the last few years continues, it could adversely affect the Company’s financial performance. The Company competes for business on the basis of price, reputation for excellent service, quality, suitability and technical capabilities of its vessels, availability of vessels, safety and efficiency, cost of mobilizing vessels from one market to a different market, and national flag preference. Competition has intensified as lower activity in the offshore oil and natural gas market has led to lower utilization and additional capacity. In addition, the Company’s ability to compete in international markets may be adversely affected by regulations requiring, among other things, local construction, flagging, ownership or control of vessels, the awarding of contracts to local contractors, the employment of local citizens and/or the purchase of supplies from local vendors. Furthermore, the Company competes with companies that have undergone significant restructuring which has substantially reduced their debt levels thereby vastly improving their balance sheets.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0" w:name="page21"/>
    <w:bookmarkEnd w:id="20"/>
    <w:p>
      <w:pPr>
        <w:jc w:val="both"/>
        <w:ind w:firstLine="749"/>
        <w:spacing w:after="0" w:line="270" w:lineRule="auto"/>
        <w:rPr>
          <w:sz w:val="20"/>
          <w:szCs w:val="20"/>
          <w:color w:val="auto"/>
        </w:rPr>
      </w:pPr>
      <w:r>
        <w:rPr>
          <w:rFonts w:ascii="Arial" w:cs="Arial" w:eastAsia="Arial" w:hAnsi="Arial"/>
          <w:sz w:val="17"/>
          <w:szCs w:val="17"/>
          <w:color w:val="auto"/>
        </w:rPr>
        <w:t>The process of obtaining new charter agreements is highly competitive and generally involves an intensive screening and a competitive bidding process, which, in certain cases, may extend for several months. The Company’s existing and potential competitors may have significantly greater financial resources than the Company. In addition, competitors with greater resources may have larger fleets, or could operate larger fleets through consolidations, acquisitions, new buildings or pooling of their vessels with other companies, and, therefore, may be able to offer a more competitive service than the Company, including better charter rates. The Company expects competition from a number of experienced companies providing contracts to potential customers, including state-sponsored entities and major energy companies affiliated with the projects requiring offshore vessel services. As a result, the Company may be unable to expand its relationships with existing customers or to obtain new customers on a profitable basis, if at all. If the Company is unable to successfully compete, it could have a materially adverse effect on the Company’s business, financial position, results of operations, cash flows and prospects.</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 oversupply of vessels or equipment that serve offshore oil and natural gas operations could have an adverse impact on the charter rates earned by the Company’s vessels and equipment.</w:t>
      </w:r>
    </w:p>
    <w:p>
      <w:pPr>
        <w:spacing w:after="0" w:line="130"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The Company’s industry is highly competitive, with oversupply of vessel capacity and intense price competition. Expansion of the supply of vessels and equipment that serve offshore oil and natural gas operations in the decade prior to 2017 increased competition in the markets in which the Company operates and affected prices charged by operators. Further, the refurbishment of disused or “mothballed” vessels, conversion of vessels from uses other than oil and natural gas exploration and production support and related activities or construction of new vessels and equipment could add vessel and equipment capacity to current worldwide levels. The current oversupply of vessels and equipment capacity in the offshore marine market could lower charter rates and result in lower operating revenues, which in turn could have a material adverse effect on the Company’s business, financial position, results of operations, cash flows and prospects.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relies on several customers for a significant share of its revenues, the loss of any of which could adversely affect the Company’s business and operating results.</w:t>
      </w:r>
    </w:p>
    <w:p>
      <w:pPr>
        <w:spacing w:after="0" w:line="143"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The Company derives a significant portion of its revenues from a limited number of oil and natural gas exploration, development and production companies. During the years ended December 31, 2021, 2020, and 2019, the Company’s ten largest customers accounted for approximately 76%, 76% and 61%, respectively, of its operating revenues. During the year ended December 31, 2021, two customers, Seacor Marine Arabia LLC, a joint venture through which vessels are chartered to Saudi Aramco, and Exxon Mobil, were together responsible for 38% or more of the Company’s operating revenues from continuing operations. In addition, one or more of the Company’s joint ventures rely primarily on a single customer for their revenues. The portion of the Company’s revenues or any of its joint ventures’ revenues attributable to any single customer may change over time, depending on the level of activity by any such customer, the Company’s ability to meet the customer’s needs and other factors, many of which are beyond the Company’s control. In addition, most of the Company’s contracts with its customers can be canceled on relatively short notice and do not commit its customers to acquire specific amounts of services or require the payment of significant liquidated damages upon cancellation. The loss of business from any of the Company’s significant customers could have a material adverse effect on the Company’s business, financial position, results of operations, cash flows and prospects. Further, to the extent any of the Company’s customers experience an extended period of operating difficulty, it may have a material adverse effect on the Company’s business, financial position, results of operation, cash flows and prospects.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the Company’s customer base could adversely affect demand for its services and reduce its revenues.</w:t>
      </w:r>
    </w:p>
    <w:p>
      <w:pPr>
        <w:spacing w:after="0" w:line="18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In recent years, oil and natural gas companies, energy companies, drilling contractors and other offshore service providers have undergone substantial consolidation and additional consolidation is possible, especially as the depressed oil price environment has caused many of these companies to restructure their operations and capital structure, including substantially reducing their debt levels. Consolidation results in fewer companies to charter or contract for the Company’s services. Also, merger activity among both major and independent oil and natural gas companies affects exploration, development and production activity as the consolidated companies integrate operations to increase efficiency and reduce costs. Less promising exploration and development projects of a combined company may be dropped or delayed. Such activity may result in an exploration and development budget for a combined company that is lower than the total budget of both companies before consolidation, which could adversely affect demand for the Company’s vessels thereby reducing its revenues.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The Company may be unable to maintain or replace its vessels as they age.</w:t>
      </w:r>
    </w:p>
    <w:p>
      <w:pPr>
        <w:spacing w:after="0" w:line="198"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As of December 31, 2021, the average age of the Company’s owned vessels was approximately eight years. The Company believes that after a vessel has been in service for approximately 20 years, the expense (which typically increases with age) necessary to satisfy required marine certification standards may not be economically justifiable. In addition, the Company must maintain its vessels to remain attractive to its customers and comply with regulations, including updating or replacing systems and equipment, however, the Company may be unable to carry out drydockings of its vessels, may be limited by insufficient shipyard capacity or its systems and equipment may become obsolete and unsupported by the manufacturer or other service providers, which could adversely affect its ability to maintain its vessels. In addition, market conditions may not justify these expenditures or enable the Company to operate its older vessels profitably during the remainder of their economic lives. There can be no assurance that the Company will be able to maintain its fleet by extending the economic life of existing vessels, or that its financial resources will be sufficient to enable it to make expenditures necessary for these purposes or to acquire or build replacement vessels, all of which could have a material adverse effect on the Company’s business, financial position, results of operations, cash flows and prospects.</w:t>
      </w:r>
    </w:p>
    <w:p>
      <w:pPr>
        <w:spacing w:after="0" w:line="14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The failure to successfully complete construction or conversion of the Company’s vessels, repairs, maintenance or routine drydockings on schedule and on budget could have a material adverse effect on the Company’s business, financial position, results of operations, cash flows and prospects.</w:t>
      </w:r>
    </w:p>
    <w:p>
      <w:pPr>
        <w:spacing w:after="0" w:line="6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From time to time, the Company may have a number of vessels under conversion and may plan to construct or convert other vessels in response to current and future market conditions. The Company also routinely engages shipyards to drydock vessels for regulatory compliance and to provide repair and maintenance. Construction and conversion projects and drydockings are subject to risks of delay and cost overruns, resulting from shortages of equipment, lack of shipyard availability, unforeseen engineering problems, work stoppages, weather interference, unanticipated cost increases, inability to obtain necessary certifications and approvals and shortages of materials or skilled labor. A significant delay in either construction or drydockings could have a material adverse effect on contract commitments and revenues with respect to vessels under construction, conversion or undergoing drydockings. Significant cost overruns or delays for vessels under construction, conversion or retrofit could have a material adverse effect on the Company’s business, financial position, results of operations, cash flows and prospects.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operations of the Company’s fleet may be subject to seasonal factors.</w:t>
      </w:r>
    </w:p>
    <w:p>
      <w:pPr>
        <w:spacing w:after="0" w:line="185"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Demand for the Company’s offshore support services is directly affected by the levels of offshore drilling and production activity of its oil and gas customers, and construction and maintenance activity for its wind farm customers. Budgets of many of the Company’s customers are based upon a calendar year, and demand for the Company’s services has historically been stronger in the second and third calendar quarters when allocated budgets are expended by its customers and weather conditions are more favorable for offshore activities. In particular, the demand for the Company’s liftboat fleet in the U.S. Gulf of Mexico and Europe and offshore support vessels in Europe, the Middle East and West Africa, are seasonal with peak demand normally occurring during the summer months. Adverse events relating to the Company’s vessels or business operations during peak demand periods could have a significant adverse effect on the Company’s business, financial position, results of operations, cash flows and prospects. In addition, seasonal volatility can create unpredictability in activity and utilization rates, which could have a material adverse effect on the Company’s business, financial position, results of operations, cash flows and prospects.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high levels of fixed costs that will be incurred regardless of its level of business activity.</w:t>
      </w:r>
    </w:p>
    <w:p>
      <w:pPr>
        <w:spacing w:after="0" w:line="19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The Company’s business has high fixed costs. Maintenance downtime or low productivity due to reduced demand can have a significant negative effect on the Company’s operating results and financial condition. Some of the Company’s fixed costs will not decline during periods of reduced revenue or activity. During times of reduced utilization, the Company may not be able to reduce its costs immediately as it may incur additional costs associated with preparing vessels for cold stacking. Moreover, the Company may not be able to fully reduce the cost of its support operations in a particular geographic region due to the need to support the remaining vessels in that region. A decline in revenue due to lower day rates and/or utilization may not be offset by a corresponding decrease in the Company’s fixed costs and could have a material adverse effect on the Company’s business, financial position, results of operations, cash flows and prospects.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b w:val="1"/>
          <w:bCs w:val="1"/>
          <w:i w:val="1"/>
          <w:iCs w:val="1"/>
          <w:color w:val="auto"/>
        </w:rPr>
        <w:t>As the markets recover or the Company changes its marketing strategies or for other reasons, the Company may be required to incur higher than expected costs to return previously cold-stacked vessels to class.</w:t>
      </w:r>
    </w:p>
    <w:p>
      <w:pPr>
        <w:spacing w:after="0" w:line="14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In response to the decrease in demand stemming from lower oil and natural gas prices, the Company has cold-stacked a number of vessels. As of December 31, 2021, five of 60 owned and leased-in vessels were cold-stacked worldwide. No assurance can be given that the Company will be able to quickly bring these cold-stacked vessels back into service or that the cost of doing so would not be significant. Cold-stacked vessels do not receive the same level of maintenance as active vessels. As a result and depending on the length of time the vessels are cold-stacked, the Company could incur deferred drydocking costs for regulatory recertification to return these vessels to active service and may incur costs to hire and train mariners to operate such vessels. These costs are difficult to estimate and could be substantial. Delay in reactivating cold stacked vessels and the costs and other expenses related to the reactivation of cold-stacked vessels could have a material adverse effect on the Company’s business, financial position, results of operations, cash flows and prospects.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able to renew or replace expiring contracts for its vessels.</w:t>
      </w:r>
    </w:p>
    <w:p>
      <w:pPr>
        <w:spacing w:after="0" w:line="185"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Company’s ability to renew or replace expiring contracts or obtain new contracts, and the terms of any such contracts, will depend on various factors, including market conditions and the specific needs of its customers. Given the highly competitive and historically cyclical nature of the industry, the Company may not be able to renew or replace expiring contracts or it may be required to renew or replace expiring contracts or obtain new contracts at rates that are below, and potentially substantially below, existing day rates, or that have terms that are less favorable to the Company than its existing contracts, or it may be unable to secure contracts for these vessels. This could have a material adverse effect on the Company’s business, financial position, results of operations, cash flows and prospects.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early termination of contracts on the Company’s vessels could have a material adverse effect on its operations.</w:t>
      </w:r>
    </w:p>
    <w:p>
      <w:pPr>
        <w:spacing w:after="0" w:line="185"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Most of the long-term contracts for the Company’s vessels contain early termination options in favor of the customer. Although some of such contracts have early termination remedies or other provisions designed to discourage the customer from exercising such options, the Company cannot assure investors that its customers would not choose to exercise their termination rights in spite of such remedies or the threat of litigation with the Company. Until replacement of such business with other customers, any termination could temporarily disrupt the Company’s business or otherwise adversely affect its financial condition and results of operations. The Company might not be able to replace such business on economically equivalent terms. In addition, during the current and prior downturns, the Company has experienced customers requesting contractual concessions even though such concessions were contrary to existing contractual terms. While the Company may not be legally required to give concessions, commercial considerations may dictate that it do so. If the Company is unable to collect amounts owed to it or long-term contracts for its vessels are terminated and its vessels are not sufficiently utilized, this could have a material adverse effect on the Company’s business, financial position, results of operations, cash flows and prospects.</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Increased domestic and international laws and regulations may materially adversely impact the Company, and the Company may become subject to additional international laws and regulations in the event of high-profile incidents.</w:t>
      </w:r>
    </w:p>
    <w:p>
      <w:pPr>
        <w:spacing w:after="0" w:line="14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Regulation of the offshore marine industry has intensified over the past several decades, and the Company expects this trend to continue. Changes in laws or regulations regarding offshore oil and natural gas exploration and development activities and technical and operational measures, whether or not in connection with specific incidents, may increase the Company’s costs and the costs of its customers’ operations. For instance, in response to fatalities and environmental damages caused by a 2010 explosion on the Deepwater Horizon, a drilling rig operating in the Gulf of Mexico, various regulatory agencies imposed temporary moratoria on drilling operations and enacted several permanent regulations designed to enhance the safety of operations in the Gulf of Mexico. Compliance with these new regulations and new interpretations of existing regulations have materially increased the cost of drilling operations in the U.S. Gulf of Mexico. New or additional government regulations or laws concerning drilling operations in the U.S. Gulf of Mexico and other regions have in the past and could in the future materially increase the cost of drilling operations in those markets or cause additional moratoria on drilling activities. These changes may influence decisions by customers or other industry participants that could reduce the demand for the Company’s services. Moreover, continuing changes in regulation make it more difficult for the Company to implement long-term plans. For these reasons, further changes in regulation could have a material adverse effect on the Company’s business, financial position, results of operations, cash flows and prospects.</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Outer Continental Shelf Lands Act, as amended, provides the federal government with broad discretion in regulating the leasing of offshore resources for the production of oil and natural gas.</w:t>
      </w:r>
    </w:p>
    <w:p>
      <w:pPr>
        <w:spacing w:after="0" w:line="13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Outer Continental Shelf Lands Act provides the federal government with broad discretion in regulating the release or continued use of offshore resources for oil and natural gas production. The current extent of permitted offshore leasing is uncertain. A moratorium on new offshore oil and gas drilling has remained in place for a number of years. Because the Company’s operations rely on offshore oil and gas exploration and production, the government’s exercise of authority under the provisions of the Outer Continental Shelf Lands Act to restrict the availability of offshore oil and natural gas leases (for example, due to a serious incident of pollution) could have a material adverse effect on the Company’s business, financial position, results of operations, cash flows and prospects.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subject to complex laws and regulations, including environmental laws and regulations, that can adversely affect the cost, manner or feasibility of doing business.</w:t>
      </w:r>
    </w:p>
    <w:p>
      <w:pPr>
        <w:spacing w:after="0" w:line="14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Increasingly stringent federal, state, local and international laws and regulations governing worker safety and health and the staffing, construction and operation of vessels significantly affect the Company’s operations. Many aspects of the marine industry are subject to extensive governmental regulation and oversight, including by the USCG, Occupational Safety and Health Administration (“OSHA”), the NTSB, the IMO, the U.S. Department of Homeland Security, MARAD, CBP, BSEE, the EPA and various other foreign, state or local environmental protection agencies for those jurisdictions in which the Company operates, and to regulation by various international bodies and classification societies (such as the American Bureau of Shipping). The Company is also subject to regulation under international treaties, such as (i) MARPOL, (ii) SOLAS, (iii) MLC, (iv) BWM Convention, (v) STCW and (vi) other port regulations. These agencies, organizations, regulations and treaties establish safety requirements and standards and are authorized to investigate vessels and accidents and to recommend improved safety standards. CBP and USCG are authorized to inspect vessels at will. The Company has and will continue to spend significant funds to comply with these regulations and treaties. Failure to comply with these regulations and treaties may cause the Company to incur significant liabilities or restrictions on its operations, any of which could have a material adverse effect on the Company’s business, financial position, results of operations, cash flows and prospects.</w:t>
      </w:r>
    </w:p>
    <w:p>
      <w:pPr>
        <w:spacing w:after="0" w:line="141"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6"/>
          <w:szCs w:val="16"/>
          <w:color w:val="auto"/>
        </w:rPr>
        <w:t>The Company’s business and operations are subject to federal, state, local and international laws and regulations relating to environmental protection and occupational safety and health, including laws and regulations that govern the discharge of oil and pollutants into waters regulated thereunder. Violations of these laws may result in civil and criminal penalties, fines, injunctions, or other sanctions, or the suspension or termination of the Company’s operations. Compliance with such laws and regulations frequently require installation of costly equipment, increased staffing, increased fuel costs, specific training, or operational changes. Some environmental laws impose strict and, under certain circumstances, joint and several liability for remediation of spills and releases of oil and hazardous materials and damage to natural resources, which could subject the Company to liability without regard to whether it is negligent or at fault. Under OPA 90, owners, operators and bareboat charterers are jointly and severally strictly liable for the removal costs and damages resulting from the discharge of oil within the navigable waters of the U.S. and the EEZ. In addition, an oil spill could result in significant liability, including fines, penalties, criminal liability and costs for natural resource and other damages under other federal and state laws and civil actions. Liability for a catastrophic spill could exceed the Company’s available insurance coverage and result in it having to liquidate assets to pay claims. These laws and regulations may expose the Company to liability for the conduct of or conditions caused by others, including charterers. Because such laws and regulations frequently change and may impose increasingly strict requirements, the Company cannot predict the ongoing cost of complying with these laws and regulations. Additionally, reduced enforcement of existing safety and other laws or regulations may result in a decline in the demand for the Company’s offshore support services that are provided in connection with compliance with such laws or regulations. The Company cannot be certain that existing laws, regulations or standards (and the enforcement thereof), as currently interpreted or reinterpreted in the future, or future laws and regulations and standards will not have a material adverse effect on the Company’s business, financial position, results of operations, cash flows and prospects. Regulation of the offshore marine services industry will likely continue to become more stringent and more expensive for the Company. In addition, a serious marine incident that results in significant pollution or injury could result in additional regulation and lead to strict governmental enforcement or other legal challenges. The variability and uncertainty of current and future shipping regulations could hamper the ability of the Company and its customers to plan for the future or establish long-term strategies. Additional environmental and other requirements, as well as more stringent enforcement policies, may be adopted that could limit the Company’s ability to operate, require the Company to incur substantial additional costs or otherwise have a material adverse effect on the Company’s business, financial position, results of operations, cash flows and prospects. For more information, see “Item 1. Business—Governmental Regulations —Environmental Compliance.”</w:t>
      </w:r>
    </w:p>
    <w:p>
      <w:pPr>
        <w:spacing w:after="0" w:line="354"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The Company is required by various governmental and quasi-governmental agencies to obtain, maintain and periodically renew certain permits, licenses and certificates with respect to its operations or vessels. In certain instances, the failure to obtain, maintain or renew these authorizations could have a material adverse effect on the Company’s business, financial position, results of operations, cash flows and prospects.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associated with climate change, environmental regulations and evolving environmental expectations.</w:t>
      </w:r>
    </w:p>
    <w:p>
      <w:pPr>
        <w:spacing w:after="0" w:line="185"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Governments, supranational groups and various other parties around the world, including some of the world’s largest investment managers, have, in recent years, proposed or adopted new laws, regulations and/or policies pertaining to climate change, carbon emissions or energy use that could result in a reduction in demand for hydrocarbon-based fuel. In fact, a number of countries and organizations have adopted, or are considering the adoption of, regulatory frameworks to reduce greenhouse gas emissions. These regulatory measures or international treaties may include, among others, adoption of cap and trade regimes, carbon taxes, increased efficiency standards, and incentives or mandates for renewable energy and could include specific restrictions on shipping emissions.</w:t>
      </w:r>
    </w:p>
    <w:p>
      <w:pPr>
        <w:spacing w:after="0" w:line="152"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Additionally, some institutional investors and other groups have focused on matters affecting the environment, which may result in reduced investment in, or financing available to, the hydrocarbon-based industry. Many of these groups have developed environmental, social and governance standards as benchmarks and are using those benchmarks to inform their investment criteria. Although the Company formed a new Sustainability Council in 2020 to oversee the Company’s enhanced environmental, social and governance program and published its Inaugural Sustainability Report, the Company may not meet these evolving standards or benchmarks. Positions the Company takes or does not take on these issues could negatively impact the Company’s ability to attract or retain customers or employees. Similarly, any failure to achieve the Company’s environmental, social or governance commitments could harm the Company’s reputation and adversely impact its business, stock price or access to capital.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4" w:name="page25"/>
    <w:bookmarkEnd w:id="24"/>
    <w:p>
      <w:pPr>
        <w:jc w:val="both"/>
        <w:ind w:firstLine="749"/>
        <w:spacing w:after="0" w:line="272" w:lineRule="auto"/>
        <w:rPr>
          <w:sz w:val="20"/>
          <w:szCs w:val="20"/>
          <w:color w:val="auto"/>
        </w:rPr>
      </w:pPr>
      <w:r>
        <w:rPr>
          <w:rFonts w:ascii="Arial" w:cs="Arial" w:eastAsia="Arial" w:hAnsi="Arial"/>
          <w:sz w:val="17"/>
          <w:szCs w:val="17"/>
          <w:color w:val="auto"/>
        </w:rPr>
        <w:t>Governments could also pass laws or regulations encouraging or mandating the use of alternative energy sources such as wind power and solar energy. These requirements could reduce demand for oil and natural gas and therefore the services provided by the Company. In addition, new environmental or emissions control laws or regulations may require an increase in the Company’s operating costs and/or in its capital spending for additional equipment or personnel to comply with such requirements and could also result in a reduction in revenues due to downtime required for the installation of such equipment. Moreover, various international conventions and federal, state or international laws have significantly increased their regulation of vessel fuel and emissions in recent years, and this trend is likely to continue. Any of these developments, requirements or initiatives could have a material adverse effect on the Company’s business, financial position, results of operations, cash flows and prospects.</w:t>
      </w:r>
    </w:p>
    <w:p>
      <w:pPr>
        <w:spacing w:after="0" w:line="15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From time to time, extreme weather causes the Company or its customers to suspend business operations. Climate change may increase the frequency or severity of these extreme weather events in the future, which could increase the Company’s exposure to suspended operations. Also, concern over climate change may result in new or increased legal or regulatory requirements, which could accelerate the above-described trends towards enhanced regulation of the Company’s operations.</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Company has significant international operations, which subjects it to risks. Unstable political, military and economic conditions in foreign countries where a significant proportion of the Company’s operations is conducted could materially adversely impact its business.</w:t>
      </w:r>
    </w:p>
    <w:p>
      <w:pPr>
        <w:spacing w:after="0" w:line="10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The Company operates vessels and transacts other business worldwide. For the years ended December 31, 2021, 2020 and 2019, 88%, 89% and 75%, respectively, of the Company’s operating revenues and $15.4 million, ($7.5) million and ($13.5), respectively, of its equity in losses from 50% or less owned companies, net of tax, were derived from foreign operations. These operations are subject to risks, including potential vessel seizure, terrorist acts, piracy, kidnapping, nationalization of assets, currency restrictions, import or export quotas, tariffs and other forms of public and government regulation, all of which are beyond the Company’s control. Economic sanctions or an oil embargo, for example, could have significant impact on activity in the oil and natural gas industry and, correspondingly, on the Company should it operate in an area subject to any sanctions or embargo, or in the surrounding region to the extent any sanctions or embargo disrupts its operations.</w:t>
      </w:r>
    </w:p>
    <w:p>
      <w:pPr>
        <w:spacing w:after="0" w:line="15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In addition, the Company’s ability to compete in international markets may be adversely affected by foreign government regulations that favor or require the awarding of contracts to local competitors, or that require foreign persons to employ citizens of, or purchase supplies from, a particular jurisdiction. Further, the Company’s foreign subsidiaries may face governmentally imposed restrictions on their ability to transfer funds to their parent company.</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Activity outside the U.S. involves additional risks, including the possibility of:</w:t>
      </w:r>
    </w:p>
    <w:p>
      <w:pPr>
        <w:spacing w:after="0" w:line="185" w:lineRule="exact"/>
        <w:rPr>
          <w:sz w:val="20"/>
          <w:szCs w:val="20"/>
          <w:color w:val="auto"/>
        </w:rPr>
      </w:pPr>
    </w:p>
    <w:p>
      <w:pPr>
        <w:ind w:left="1120" w:hanging="370"/>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embargoes or restrictive actions and regulations by U.S. and foreign governments that could limit the Company’s ability to provide services in foreign countries or cause retaliatory actions by such governments;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change in, or the imposition of, withholding or other taxes on foreign income, tariffs or restrictions on foreign trade and investment;</w:t>
      </w:r>
    </w:p>
    <w:p>
      <w:pPr>
        <w:spacing w:after="0" w:line="223" w:lineRule="exact"/>
        <w:rPr>
          <w:rFonts w:ascii="Arial" w:cs="Arial" w:eastAsia="Arial" w:hAnsi="Arial"/>
          <w:sz w:val="17"/>
          <w:szCs w:val="17"/>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the repatriation of earnings or currency exchange controls and import/export quotas;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unwaivable, burdensome local cabotage and local ownership laws and requirements;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nationalization, expropriation, asset seizure, blockades and blacklisting;</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in the availability, amount or terms of insurance coverage;</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contract rights and inability to enforce contracts;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political instability, war and civil disturbances or other risks that may limit or disrupt markets, such as terrorist acts, piracy and kidnapping;</w:t>
      </w:r>
    </w:p>
    <w:p>
      <w:pPr>
        <w:spacing w:after="0" w:line="234" w:lineRule="exact"/>
        <w:rPr>
          <w:rFonts w:ascii="Arial" w:cs="Arial" w:eastAsia="Arial" w:hAnsi="Arial"/>
          <w:sz w:val="16"/>
          <w:szCs w:val="16"/>
          <w:color w:val="auto"/>
        </w:rPr>
      </w:pPr>
    </w:p>
    <w:p>
      <w:pPr>
        <w:ind w:left="1120" w:hanging="370"/>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 hard currency shortages and controls on currency exchange that affect demand for the Company’s services and its profitability;</w:t>
      </w:r>
    </w:p>
    <w:p>
      <w:pPr>
        <w:spacing w:after="0" w:line="129"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noncompliance with a wide variety of laws and regulations, such as the FCPA, and similar non-U.S. laws and regulations, including the U.K. Bribery Act 2010;</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 strikes;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import or export quotas and other forms of public and government regulation;</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general economic and political conditions;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5" w:name="page26"/>
    <w:bookmarkEnd w:id="25"/>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regional conflicts, including in Ukraine;</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 including the ability to transfer qualified labor to local operations; and</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inadequate or delayed response to natural disasters on other major incidents or events in less developed countries.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Some of the Company’s customers are located in emerging markets, which can further exacerbate the foregoing risks.</w:t>
      </w:r>
    </w:p>
    <w:p>
      <w:pPr>
        <w:spacing w:after="0" w:line="225"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On January 31, 2020, the U.K. formally left the E.U.(“Brexit”) and on December 24, 2020 the U.K. and E.U. agreed to a trade deal (the “Trade and Cooperation Agreement”) which was ratified by the U.K. on December 30, 2020. The Trade and Cooperation Agreement has been applied provisionally since January 1, 2021, and was ratified by the U.K. and E.U. on April 30, 2021, effective on May 1, 2021. The Trade and Cooperation Agreement allows the U.K and E.U. to continue trading without tariffs or quotas, however, the movement of goods between the U.K. and the remaining member states of the E.U. may be subject to additional inspections and documentation checks, leading to possible delays at ports of entry and departure. There are still a number of areas of uncertainty in connection with the future of the U.K. and its relationship with the E.U. and the application and interpretation of the Trade and Cooperation Agreement, and Brexit-related matters may take several years to be clarified and resolved. Brexit may create global economic uncertainty, which may cause the Company’s customers and potential customers to monitor their costs and reduce their budgets for the Company’s services. The Company provides global marine and support transportation services to offshore energy facilities worldwide and our fleet operates globally across multiple locations. Based on our global operating model and the versatility and marketability of our fleet, to date we have not seen the impact of Brexit to be significant to the Company. Any of these effects, and others the Company cannot anticipate, could materially adversely affect its business, financial position, results of operations, cash flows and prospects.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subject to hazards inherent in the operation of offshore support and related vessels and has experienced accidents that have resulted in the loss of life, disrupted operations and caused reputational harm.</w:t>
      </w:r>
    </w:p>
    <w:p>
      <w:pPr>
        <w:spacing w:after="0" w:line="143"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The operation of offshore support and related vessels is highly dangerous and is inherently subject to various risks including, but not limited to, adverse and sea conditions, catastrophic disaster, mechanical failure, navigation errors, capsizing, grounding, hazardous substance spills, and collision, each of which could result in the loss of life, injury to personnel, and damage to equipment and the environment. For instance, the Company’s operations in the U.S. Gulf of Mexico may be adversely affected by weather. The Atlantic hurricane season typically runs from June through November. Tropical storms and hurricanes may limit the Company’s ability to operate vessels in the proximity of storms, reduce oil and natural gas exploration, development and production activity, and could result in the Company incurring additional expenses to secure equipment and facilities. They may also require the Company to evacuate its vessels, personnel and equipment out of the path of a storm. If any of these events were to occur, the Company could be held liable for resulting damages, including loss of revenues from or termination of charter contracts, higher insurance rates, increased operating costs, increased governmental regulation and reporting and damage to the Company’s reputation and customer relationships. Any such events would likely result in negative publicity for the Company and adversely affect its safety record, which would affect demand for its services in a competitive industry. In addition, the affected vessels could be removed from service and would then not be available to generate revenues. Our vessels have been involved in accidents in the past, some of which included loss of life, personal injury and property damage, and we, or third parties operating our vessels, may experience accidents in the future.</w:t>
      </w:r>
    </w:p>
    <w:p>
      <w:pPr>
        <w:spacing w:after="0" w:line="14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On April 13, 2021, the SEACOR Power, a liftboat owned by a subsidiary of the Company with nineteen individuals on board, capsized off the coast of Port Fourchon, Louisiana. The incident resulted in the death of several crew members, including the captain of the vessel and five other employees of the Company. The incident also resulted in the constructive total loss of the SEACOR Power. The Company is responsible for the salvage operations related to the vessel and is coordinating these efforts with the USCG. The Company expects salvage costs to be covered by insurance proceeds. Although the Company does not expect the incident to result in a significant impact on the environment, if there is environmental damage the Company may be responsible for any required clean-up activities and could be subject to related fines and other penalties.</w:t>
      </w:r>
    </w:p>
    <w:p>
      <w:pPr>
        <w:spacing w:after="0" w:line="13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The capsizing of the SEACOR Power has garnered significant attention from the media as well as local, state and federal stakeholders. The NTSB and the USCG are currently investigating the incident to determine the cause of the incident and the Company is fully cooperating with the investigation in all respects and continues to gather information about the incident. It is expected that the NTSB and USCG investigation will take a significant period of time to complete, possibly as long as two years or longer. It is also possible that other state and federal legislatures and/or agencies or other regulators will initiate investigations of the incident. Depending on the outcome of these investigations, the Company may be subject to fines and other penalties including being restricted or prohibited from operating vessels in the Gulf of Mexico for a period of time. In addition, adverse findings in any investigation could harm the Company’s reputation and, in turn, the Company’s competitiveness, or impact the Company’s ability to market and operate liftboats.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jc w:val="both"/>
        <w:ind w:firstLine="749"/>
        <w:spacing w:after="0" w:line="254" w:lineRule="auto"/>
        <w:rPr>
          <w:sz w:val="20"/>
          <w:szCs w:val="20"/>
          <w:color w:val="auto"/>
        </w:rPr>
      </w:pPr>
      <w:r>
        <w:rPr>
          <w:rFonts w:ascii="Arial" w:cs="Arial" w:eastAsia="Arial" w:hAnsi="Arial"/>
          <w:sz w:val="18"/>
          <w:szCs w:val="18"/>
          <w:color w:val="auto"/>
        </w:rPr>
        <w:t>Numerous civil lawsuits have been filed against the Company and other third parties by the family members of deceased crew members and the surviving crew members employed by the Company or by the third parties. On June 2, 2021, the Company filed a Limitation of Liability Act complaint in federal court in the Eastern District of Louisiana (“Limitation Action”), which has the effect of enjoining all existing civil lawsuits and requiring the plaintiffs to file their claims relating to the capsizing of the SEACOR Power in the Limitation Action. The claimants have asserted, among other things, that the Company and/or the third parties failed to properly assess weather conditions, failed to provide adequate equipment for the job, failed to maintain the vessel or perform adequate safety meetings, among other claims and allegations. The Company cannot predict the outcome of any such legal proceedings but if it is found liable, any related losses could be significant. Furthermore, the costs incurred in litigation can be substantial, regardless of the outcome.</w:t>
      </w:r>
    </w:p>
    <w:p>
      <w:pPr>
        <w:spacing w:after="0" w:line="16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Management has been devoting a significant amount of time and resources to the incident response, including providing assistance to the affected crewmen and their families. We expect that, at least for the near-term, management will continue to devote significant time and attention to matters related to the incident while also attending to other business concerns, which could have adverse effects on the Company and its operations.</w:t>
      </w:r>
    </w:p>
    <w:p>
      <w:pPr>
        <w:spacing w:after="0" w:line="125"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There is significant uncertainty in the amount and timing of costs and potential liabilities relating to the incident involving the SEACOR Power, the impact the incident will have on the Company’s reputation and the resulting possible impact on the Company’s business. These uncertainties are likely to continue for a significant period. In addition, while the Company believes its existing insurance policies will adequately cover most losses, the ultimate amount of losses, potential fines and penalties, and insurance proceeds cannot be determined at this time and may depend on the outcome of any investigation. See “Risk Factors –The Company’s insurance coverage may be inadequate to protect it from the liabilities that could arise in its business” included elsewhere in this Annual Report on Form 10-K.</w:t>
      </w:r>
    </w:p>
    <w:p>
      <w:pPr>
        <w:spacing w:after="0" w:line="152"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7"/>
          <w:szCs w:val="17"/>
          <w:color w:val="auto"/>
        </w:rPr>
        <w:t>As a result of the foregoing factors, the SEACOR Power incident has had, and could continue to have, a material adverse impact on the Company’s business, competitive position, financial performance, cash flows, prospects and liquidity. The risks associated with the incident could also heighten the impact of the other risks to which the group is exposed as further described in this Annual Report on Form 10-K.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an acceptable safety record may have an adverse impact on the Company’s ability to retain customers.</w:t>
      </w:r>
    </w:p>
    <w:p>
      <w:pPr>
        <w:spacing w:after="0" w:line="18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Company’s customers consider safety and reliability a primary concern in selecting a service provider. The Company must maintain a record of safety and reliability that is acceptable to its customers. Should this not be achieved, the ability to retain current customers and attract new customers may be adversely affected, which in turn could have a material adverse effect on the Company’s business, financial position, results of operations, cash flows and prospects.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insurance coverage may be inadequate to protect it from the liabilities that could arise in its business.</w:t>
      </w:r>
    </w:p>
    <w:p>
      <w:pPr>
        <w:spacing w:after="0" w:line="198"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Although the Company maintains insurance coverage against the risks related to its business, risks may arise for which it may not be insured. Claims covered by insurance are subject to deductibles, the aggregate amount of which could be material, and certain policies impose caps on coverage. Insurance policies are also subject to compliance with certain conditions, the failure of which could lead to a denial of coverage as to a particular claim or the voiding of a particular insurance policy. There also can be no assurance that existing insurance coverage can be renewed at commercially reasonable rates or that available coverage will be adequate to cover future claims. If a loss occurs that is partially or completely uninsured, or the carrier is unable or unwilling to cover the claim, the Company could be exposed to substantial liability. Further, to the extent the proceeds from insurance are not sufficient to repair or replace a damaged asset, the Company would be required to expend funds to supplement the insurance and in certain circumstances may decide that such expenditures are not justified, which, in either case, could adversely affect the Company’s business, financial position, results of operations, cash flows and prospects.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fully indemnified by its customers for damage to their property or the property of their other contractors.</w:t>
      </w:r>
    </w:p>
    <w:p>
      <w:pPr>
        <w:spacing w:after="0" w:line="185"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The Company’s contracts are individually negotiated, and the levels of indemnity and allocation of liabilities in them can vary from contract to contract depending on market conditions, particular customer requirements and other factors existing at the time a contract is negotiated. Additionally, the enforceability of indemnification provisions in the Company’s contracts may be limited or prohibited by applicable law or may not be enforced by courts having jurisdiction, and the Company could be held liable for substantial losses or damages and for fines and penalties imposed by regulatory authorities. The indemnification provisions of the Company’s contracts may be subject to differing interpretations, and the laws or courts of certain jurisdictions may enforce such provisions while other laws or courts may find them to be unenforceable, void or limited by public policy considerations, including when the cause of the underlying loss or damage is the Company’s gross negligence or willful misconduct, when punitive damages are attributable to the Company or when fines or penalties are imposed directly against the Company. The law with respect to the enforceability of indemnities varies from jurisdiction to jurisdiction. Current or future litigation in particular jurisdictions, whether or not the Company is a party, may impact the interpretation and enforceability of indemnification provisions in the Company’s contracts. There can be no assurance that the Company’s contracts with its customers, suppliers and subcontractors will fully protect the Company against all hazards and risks inherent in its operations. There can also be no assurance that those parties with contractual obligations to indemnify the Company will be financially able to do so or will otherwise honor their contractual obligations.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undertake one or more significant corporate transactions that may not achieve their intended results, may adversely affect its financial condition and its results of operations, and may result in additional risks to its business.</w:t>
      </w:r>
    </w:p>
    <w:p>
      <w:pPr>
        <w:spacing w:after="0" w:line="14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The Company continuously evaluates the acquisition and disposition of assets relevant to participants in the offshore energy industry and may in the future undertake significant transactions. Any such transaction could be material to the Company’s business and could take any number of forms, including mergers, joint ventures, investments in new lines of business and the purchase of equity interests or other assets. The form of consideration associated with such transactions may include, among other things, cash, Common Stock, securities convertible into Common Stock or other securities (privately or through a public offering), equity interests in the Company’s subsidiaries, or other assets of the Company. The Company also evaluates the disposition of its assets, in whole or in part, which could take the form of asset sales, mergers or sales of equity interests in its subsidiaries (privately or through a public offering).</w:t>
      </w:r>
    </w:p>
    <w:p>
      <w:pPr>
        <w:spacing w:after="0" w:line="15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These types of significant transactions may present material risks and uncertainties, including distraction of management from current operations, insufficient revenue to offset liabilities assumed, potential loss of significant revenue and income streams, unexpected expenses, inadequate return of capital, potential acceleration of taxes currently deferred, regulatory or compliance issues, the triggering of certain covenants in the Company’s debt instruments (including accelerated repayment) and other unidentified issues not discovered in due diligence. If the Company was to complete such an acquisition, disposition, investment or other strategic transaction, it may require additional debt or equity financing that could result in a significant increase in the amount of debt the Company has or the number of outstanding shares of its Common Stock. As a result of the risks inherent in such transactions, the Company cannot guarantee that any such transaction will ultimately result in the realization of the anticipated benefits of the transaction or that significant transactions will not have a material adverse impact on the Company’s business, financial positions, results of operations, cash flows and prospects.</w:t>
      </w:r>
    </w:p>
    <w:p>
      <w:pPr>
        <w:spacing w:after="0" w:line="1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the Company does not restrict the amount of ownership of its Common Stock by non-U.S. citizens, it could be prohibited from operating offshore support vessels in the United States, which would adversely impact the Company’s business and operating results.</w:t>
      </w:r>
    </w:p>
    <w:p>
      <w:pPr>
        <w:spacing w:after="0" w:line="119"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6"/>
          <w:szCs w:val="16"/>
          <w:color w:val="auto"/>
        </w:rPr>
        <w:t>The Company is subject to the Jones Act, which governs, among other things, the ownership and operation of vessels used to carry passengers and cargo between points in the U.S. Subject to limited exceptions, the Jones Act requires that vessels engaged in the U.S. coastwise trade be built in the U.S., registered under the U.S. flag, manned by predominantly U.S. crews and be owned and operated by “U.S. citizens” within the meaning of the Jones Act. Compliance with the Jones Act requires that non-U.S. citizens own no more than 25% in the entities that directly or indirectly own or operate the vessels that the Company operates in U.S. coastwise trade. Although the Company’s Third Amended and Restated Certificate of Incorporation and Third Amended and Restated By-Laws contain provisions intended to assure compliance with these provisions of the Jones Act, a failure to maintain compliance could have a material adverse effect on the Company’s business, financial position, results of operations, cash flows and prospects by, among other things</w:t>
      </w:r>
    </w:p>
    <w:p>
      <w:pPr>
        <w:spacing w:after="0" w:line="2" w:lineRule="exact"/>
        <w:rPr>
          <w:sz w:val="20"/>
          <w:szCs w:val="20"/>
          <w:color w:val="auto"/>
        </w:rPr>
      </w:pPr>
    </w:p>
    <w:p>
      <w:pPr>
        <w:ind w:firstLine="8"/>
        <w:spacing w:after="0" w:line="260" w:lineRule="auto"/>
        <w:tabs>
          <w:tab w:leader="none" w:pos="22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temporarily or permanently prohibiting the Company from operating vessels in the U.S. coastwise trade, (ii) subjecting the Company to fines and (iii) subjecting the Company’s vessels to seizure and forfeiture.</w:t>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Repeal, amendment, suspension or non-enforcement of the Jones Act would result in additional competition for the Company and could have a material adverse effect on the Company’s business.</w:t>
      </w:r>
    </w:p>
    <w:p>
      <w:pPr>
        <w:spacing w:after="0" w:line="130"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Substantial portions of the Company’s operations are conducted in the U.S. coastwise trade and thus subject to the provisions of the Jones Act (discussed above). For years, there have been attempts to repeal or amend such provisions, and such attempts are expected to continue in the future.</w:t>
      </w:r>
    </w:p>
    <w:p>
      <w:pPr>
        <w:spacing w:after="0" w:line="97"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Repeal, substantial amendment, waiver or substantial reinterpretation of provisions of the Jones Act could significantly adversely affect the Company by, among other things, resulting in additional competition from competitors with lower operating costs, because of their ability to use vessels built in lower-cost foreign shipyards, owned and manned by foreign nationals with promotional foreign tax incentives and with lower wages and benefits than U.S. citizens. In addition, the Company’s advantage as a U.S.-citizen operator of Jones Act vessels could be eroded by periodic efforts and attempts by foreign interests to circumvent certain aspects of the Jones Act. If maritime cabotage services were included in the General Agreement on Trade in Services or other international trade agreements, or if the restrictions contained in the Jones Act were otherwise altered, the shipping of maritime cargo between covered U.S. points could be opened to foreign-flag or foreign-built vessels. Because foreign vessels may have lower construction costs and operate at significantly lower costs than companies operating in the U.S. coastwise trade, such a change could significantly increase competition in the U.S. coastwise trade, which could have a material adverse effect on the Company’s business, financial position, results of operations, cash flows and prospects.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b w:val="1"/>
          <w:bCs w:val="1"/>
          <w:i w:val="1"/>
          <w:iCs w:val="1"/>
          <w:color w:val="auto"/>
        </w:rPr>
        <w:t>Restrictions on non-U.S. citizen ownership of the Company’s vessels could limit its ability to sell off any portion of its business or result in the forfeiture of its vessels.</w:t>
      </w:r>
    </w:p>
    <w:p>
      <w:pPr>
        <w:spacing w:after="0" w:line="13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As noted above, compliance with the Jones Act requires that non-U.S. citizens own no more than 25% in the entities that directly or indirectly own or operate the vessels that the Company operates in the U.S. coastwise trade. If the Company were to seek to sell any portion of its business that owns any of these vessels, it may have fewer potential purchasers, since some potential purchasers might be unable or unwilling to satisfy the U.S. citizenship restrictions described above. As a result, the sales price for that portion of the Company’s business may not attain the amount that could be obtained through unconstrained bidding. Furthermore, if at any point the Company or any of the entities that directly or indirectly own its vessels cease to satisfy the requirements to be a U.S. citizen within the meaning of the Jones Act, the Company would become ineligible to operate in the U.S. coastwise trade and may become subject to penalties and risk forfeiture of its vessels.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Company’s Third Amended and Restated Certificate of Incorporation and its Third Amended and Restated By-laws limit the ownership of Common Stock by individuals and entities that are not U.S. citizens within the meaning of the Jones Act. These restrictions may affect the liquidity of the Company’s Common Stock and may result in non-U.S. citizens being required to sell their shares at a loss or relinquish their voting, dividend and distribution rights.</w:t>
      </w:r>
    </w:p>
    <w:p>
      <w:pPr>
        <w:spacing w:after="0" w:line="14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Under the Jones Act, at least 75% of the outstanding shares of each class or series of the Company’s capital stock must be owned and controlled by U.S. citizens within the meaning of the Jones Act. Certain provisions of the Company’s Third Amended and Restated Certificate of Incorporation and its Third Amended and Restated By-Laws are intended to facilitate compliance with this requirement and may have an adverse effect on holders of shares of the Company’s Common Stock. These restrictions may affect the liquidity of the Company’s Common Stock.</w:t>
      </w:r>
    </w:p>
    <w:p>
      <w:pPr>
        <w:spacing w:after="0" w:line="131"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Under the provisions of the Company’s Third Amended and Restated Certificate of Incorporation, the aggregate percentage of ownership by non-U.S. citizens of any class or series of the Company’s capital stock is limited to 22.5% of the outstanding shares of each such class or series to ensure that such ownership by non-U.S. citizens will not exceed the maximum percentage permitted by the Jones Act, which is presently 25%. The Company’s Third Amended and Restated Certificate of Incorporation also restricts ownership of shares of any class or series of its capital stock by a single non-U.S. citizen (and any other non-U.S. citizen whose ownership position would be aggregated with such non-U.S. citizen for purposes of the Jones Act) to not more than 4.9% of the outstanding shares of each such class or series. The Company refers to such percentage limitations on ownership by persons who are not U.S. citizens within the meaning of the Jones Act as the “applicable permitted percentage.”</w:t>
      </w:r>
    </w:p>
    <w:p>
      <w:pPr>
        <w:spacing w:after="0" w:line="15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Company’s Third Amended and Restated Certificate of Incorporation provides that any transfer or purported transfer of any shares of any class or series of its capital stock that would otherwise result in ownership (of record or beneficially) by non-U.S. citizens of shares of such class or series in excess of the applicable permitted percentage will be void and ineffective, and neither the Company nor its transfer agent will register any such transfer or purported transfer in the Company records or recognize any such transferee or purported transferee as a stockholder of the Company for any purpose (including for purposes of voting and dividends) except to the extent necessary to effect the remedies available to the Company under its Third Amended and Restated Certificate of Incorporation.</w:t>
      </w:r>
    </w:p>
    <w:p>
      <w:pPr>
        <w:spacing w:after="0" w:line="152"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In the event such transfer restriction would be ineffective for any reason, the Company’s Third Amended and Restated Certificate of Incorporation provides that if any transfer would otherwise result in ownership (of record or beneficially) by non-U.S. citizens of shares of such class or series in excess of the applicable permitted percentage, such transfer will cause such excess shares to be automatically transferred to a trust for the exclusive benefit of one or more charitable beneficiaries that are U.S. citizens within the meaning of the Jones Act. The proposed transferee will have no rights in the shares transferred to the trust, and the trustee, who will be a U.S. citizen chosen by the Company and unaffiliated with the Company or the proposed transferee, will have all voting, dividend and distribution rights associated with the shares held in the trust. The trustee will sell such excess shares to a U.S. citizen within 20 days of receiving notice from the Company (or as soon thereafter as a sale may be effected in compliance with all applicable securities laws) and distribute to the proposed transferee the lesser of the price that the proposed transferee paid for such shares and the amount received from the sale, and any gain from the sale will be paid to the charitable beneficiary of the trust.</w:t>
      </w:r>
    </w:p>
    <w:p>
      <w:pPr>
        <w:spacing w:after="0" w:line="140"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These trust transfer provisions also apply to situations where ownership of a class or series of the Company’s capital stock by non-U.S. citizens in excess of the applicable permitted percentage would result from a change in the status of a record or beneficial owner thereof from a U.S. citizen to a non-U.S. citizen or from a repurchase or redemption by the Company of shares of its capital stock, in which case such person will receive the lesser of the market price of the shares on the date of such status change or such share repurchase or redemption and the amount received from the sale. As part of the foregoing trust transfer provisions, the trustee will be deemed to have offered the excess shares in the trust to the Company at a price per share equal to the lesser of (i) the market price on the date the Company accepts the offer and (ii) the price per share in the purported transfer or original issuance of shares, as described in the preceding paragraph, or the market price per share on the date of the status change or share repurchase or redemption, that resulted in the transfer to the trust.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jc w:val="both"/>
        <w:ind w:right="20" w:firstLine="749"/>
        <w:spacing w:after="0" w:line="311" w:lineRule="auto"/>
        <w:rPr>
          <w:sz w:val="20"/>
          <w:szCs w:val="20"/>
          <w:color w:val="auto"/>
        </w:rPr>
      </w:pPr>
      <w:r>
        <w:rPr>
          <w:rFonts w:ascii="Arial" w:cs="Arial" w:eastAsia="Arial" w:hAnsi="Arial"/>
          <w:sz w:val="16"/>
          <w:szCs w:val="16"/>
          <w:color w:val="auto"/>
        </w:rPr>
        <w:t>As a result of the above trust transfer provisions, a proposed transferee that is a non-U.S. citizen, or a record or beneficial owner whose citizenship status change results in excess shares, or whose shares become excess shares as a result of a repurchase or redemption by the Company of its capital stock may not receive any return on its investment in shares it purportedly purchases or owns, as the case may be, and it may sustain a loss.</w:t>
      </w:r>
    </w:p>
    <w:p>
      <w:pPr>
        <w:spacing w:after="0" w:line="12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To the extent that the above trust transfer provisions would be ineffective for any reason to prevent ownership (of record or beneficially) by non-U.S. citizens of the shares of any class or series of the Company’s capital stock in excess of the applicable permitted percentage, the Company’s Third Amended and Restated Certificate of Incorporation provides that the Company, in its sole discretion, shall be entitled to redeem all or any portion of such excess shares most recently acquired (as determined by the Company in accordance with guidelines that are set forth in its Third Amended and Restated Certificate of Incorporation), by non-U.S. citizens, or owned (of record or beneficially) by non-U.S. citizens as a result of a change in citizenship status or a repurchase or redemption by the Company of shares of its capital stock, at a redemption price based on a fair market value formula that is set forth in the Company’s Third Amended and Restated Certificate of Incorporation. The per share redemption price may be paid, as determined by the Company’s Board of Directors, by cash, promissory notes, warrants or a combination thereof. Such excess shares shall not be accorded any voting, dividend or distribution rights until they have ceased to be excess shares, provided that they have not been already redeemed by the Company. As a result of the above provisions, a proposed transferee or owner of the Company’s Common Stock that is a non-U.S. citizen may not receive any return on its investment in shares it purportedly purchases or owns, as the case may be, and it may sustain a loss. Further, the Company may have to incur additional indebtedness, or use available cash (if any), to fund all or a portion of such redemption, in which case its financial condition may be materially weakened.</w:t>
      </w:r>
    </w:p>
    <w:p>
      <w:pPr>
        <w:spacing w:after="0" w:line="127"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So that the Company may ensure its compliance with the Jones Act, its Third Amended and Restated Certificate of Incorporation permits the Company to require that any record or beneficial owner of any shares of its capital stock provide the Company with certain documentation concerning such owner’s citizenship. These provisions include a requirement that every person acquiring, directly or indirectly, five percent (5%) or more of the shares of any class or series of the Company’s capital stock must provide the Company with specified citizenship documentation. In the event that any person does not submit such requested or required documentation to the Company, the Company’s Third Amended and Restated Certificate of Incorporation provides it with certain remedies, including the suspension of the voting rights of such person's shares of the Company’s capital stock and the payment of dividends and distributions with respect to those shares into an escrow account. As a result of non-compliance with these provisions, a record or beneficial owner of the shares of Common Stock may lose significant rights associated with those shares.</w:t>
      </w:r>
    </w:p>
    <w:p>
      <w:pPr>
        <w:spacing w:after="0" w:line="138"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In addition to the risks described above, the foregoing restrictions on ownership by non-U.S. citizens could delay, defer or prevent a transaction or change in control that might involve a premium price for the Company’s Common Stock or otherwise be in the best interest of its stockholders.</w:t>
      </w:r>
    </w:p>
    <w:p>
      <w:pPr>
        <w:spacing w:after="0" w:line="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non-U.S. citizens own more than 22.5% of the Company’s Common Stock, the Company may not have the funds or the ability to redeem any excess shares and it could be forced to suspend its operations in the U.S. coastwise trade.</w:t>
      </w:r>
    </w:p>
    <w:p>
      <w:pPr>
        <w:spacing w:after="0" w:line="130"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The Company’s Third Amended and Restated Certificate of Incorporation and its Third Amended and Restated By-Laws contain provisions prohibiting ownership of its Common Stock by persons who are not U.S. citizens within the meaning of the Jones Act, in the aggregate, in excess of 22.5% of such shares, in order to ensure that such ownership by non-U.S. citizens will not exceed the maximum percentage permitted by the Jones Act, which is presently 25%. The Company’s Third Amended and Restated Certificate of Incorporation and its Third Amended and Restated By-Laws permit the Company to redeem such excess shares in the event that the transfer of such excess shares to a trust for sale would be ineffective. The per share redemption price may be paid, as determined by the Company’s Board of Directors, by cash, promissory notes or warrants. However, the Company may not be able to redeem such excess shares for cash because its operations may not have generated sufficient excess cash flow to fund such redemption. If, for any reason, the Company is unable to effect such a redemption when such ownership of shares by non-U.S. citizens is in excess of 25% of the Common Stock, or otherwise prevent non-U.S. citizens in the aggregate from owning shares in excess of 25% of any such class or series of its capital stock, or fail to exercise its redemption rights because it is unaware that such ownership exceeds such percentage, the Company will likely be unable to comply with the Jones Act and will likely be required by the applicable governmental authorities to suspend its operations in the U.S. coastwise trade. Any such actions by governmental authorities would likely have a material adverse effect on the Company’s business, financial position, results of operations, cash flows and prospects.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 certain circumstances, the Company’s vessels are subject to requisition for ownership or use by governmental agencies.</w:t>
      </w:r>
    </w:p>
    <w:p>
      <w:pPr>
        <w:spacing w:after="0" w:line="198"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The Merchant Marine Act of 1936 provides that, during a national emergency declared by presidential proclamation or a period for which the U.S. President has proclaimed that the security of the national defense makes it advisable, the Secretary of Transportation may requisition the ownership or use of any vessel owned by U.S. citizens (which includes the Company) and any vessel under construction in the U.S. If any of the Company’s vessels were purchased or chartered by the federal government under this law, the Company would be entitled to just compensation, which is generally the fair market value of the vessel in the case of a purchase or, in the case of a charter, the fair market value of charter hire, but the Company would not be entitled to compensation for any consequential damages it may suffer. The purchase or charter for an extended period of time by the federal government of one or more of the Company’s vessels under this law could have a material adverse effect on the Company’s business, financial position, results of operations, cash flows and prospects. Vessels registered under other flag states may also be subject to requisition or purchase in accordance with applicable local law.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not be able to sell vessels to improve its cash flow and liquidity because it may be unable to locate buyers with access to financing or to complete any sales on acceptable terms or within a reasonable time frame.</w:t>
      </w:r>
    </w:p>
    <w:p>
      <w:pPr>
        <w:spacing w:after="0" w:line="143"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Company may seek to sell some of its vessels to provide liquidity and cash flow. However, given the current downturn in the oil and natural gas industry in general, and the offshore oil and gas industry in particular, there may not be sufficient activity in the market to sell the Company’s vessels and the Company may not be able to identify buyers with access to financing or to complete any such sales. Even if the Company is able to locate appropriate buyers for its vessels, any sales may occur on less favorable terms than the terms that might be available in a more liquid market or at other times in the business cycle. In addition, the terms of the Company’s current and future indebtedness may limit its ability to sell assets, including vessels, or require that it use the proceeds from any such sale in specified manner.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unable to collect amounts owed to it by its customers.</w:t>
      </w:r>
    </w:p>
    <w:p>
      <w:pPr>
        <w:spacing w:after="0" w:line="18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The Company typically grants its customers credit on a short-term basis. Related credit risks are inherent as the Company does not typically collateralize receivables due from customers. In addition, many of its international customers are state controlled and, as a result, the Company’s receivables may be subject to local political priorities, which are out of the Company’s control. The Company provides estimates for uncollectible accounts based primarily on its judgment using historical losses, current economic conditions and individual evaluations of each customer as evidence supporting the receivables valuations stated on the Company’s financial statements. However, the Company’s receivables valuation estimates may not be accurate and receivables due from customers reflected in its financial statements may not be collectible. The Company’s inability to perform under its contractual obligations, or its customers’ inability or unwillingness to fulfill their contractual commitments to the Company, may have a material adverse effect on the Company’s business, financial position, results of operations, cash flows and prospects.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participates in joint ventures, and its investments in joint ventures could be adversely affected by its lack of sole decision-making authority and disputes between its partners and itself.</w:t>
      </w:r>
    </w:p>
    <w:p>
      <w:pPr>
        <w:spacing w:after="0" w:line="130"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The Company participates in domestic and international joint ventures to further expand its capabilities, share risks and gain access to local markets. Due to the nature of joint venture arrangements, the Company does not unilaterally control the operating, strategic and financial policies of these business ventures. Decisions are often made on a collective basis, including the purchase and sale of assets, charter arrangements with customers and management of cash, including cash distributions to partners. In addition, joint ventures can often require unanimous approval of the parties to the joint venture or their representatives for certain fundamental decisions, which could lead to deadlock in the operations or strategy with respect to the joint venture or partnership. Decisions made by the managers or the governing bodies of these entities may not always be the decision that is most beneficial to the Company as one of the equity holders of the entity, may be contrary to the Company’s objectives, and may limit the Company’s ability to transfer its interests. Investments in joint ventures involve risks that would not be present were a third-party not involved, including the possibility that the Company’s co-ventures might become bankrupt or fail to fund their share of required capital contributions. Any failure of such other companies to meet their obligations to the Company or to third-parties, or any disputes with respect to the parties’ respective rights and obligations, could have a material adverse effect on the joint ventures or their properties and, in turn, could have a material adverse effect on the Company’s business, financial position, results of operations, cash flows and prospects.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participation in industry-wide, multi-employer, defined benefit pension plans expose it to potential future losses.</w:t>
      </w:r>
    </w:p>
    <w:p>
      <w:pPr>
        <w:spacing w:after="0" w:line="198"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Certain of the Company’s subsidiaries are participating employers in two industry-wide, multi-employer defined benefit pension plans in the U.K., namely, the U.K. Merchant Navy Officers Pension Fund (“MNOPF”) and the U.K. Merchant Navy Ratings Pension Fund (“MNRPF”). Among other risks associated with multi-employer plans, contributions and unfunded obligations of the multi-employer plan are shared by the plan participants. As a result, the Company may inherit unfunded obligations if other plan participants withdraw from the plan or cease to participate, and in the event that the Company withdraws from participation in one or both of these plans, it may be required to pay the plan an amount based on its allocable share of the underfunded status of the plan. Depending on the results of future actuarial valuations, it is possible that the plans could experience further deficits that will require funding from the Company, which would negatively impact its financial position, results of operations and cash flows. For example, on October 19, 2021, the Company was informed by the MNRPF that two issues had been identified during a review of the MNRPF by the applicable trustee that would potentially give rise to material additional liabilities for the MNRPF. The MNRPF has indicated that the investigations into these issues remain ongoing, and that further updates will be provided as significant developments arise. Should such additional liabilities require the MNRPF to collect additional funds from participating employers, it is possible that the Company will be invoiced for a portion of such funds and recognize payroll related operating expenses in the periods invoices are received.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1" w:name="page32"/>
    <w:bookmarkEnd w:id="31"/>
    <w:p>
      <w:pPr>
        <w:jc w:val="both"/>
        <w:spacing w:after="0" w:line="263" w:lineRule="auto"/>
        <w:rPr>
          <w:sz w:val="20"/>
          <w:szCs w:val="20"/>
          <w:color w:val="auto"/>
        </w:rPr>
      </w:pPr>
      <w:r>
        <w:rPr>
          <w:rFonts w:ascii="Arial" w:cs="Arial" w:eastAsia="Arial" w:hAnsi="Arial"/>
          <w:sz w:val="18"/>
          <w:szCs w:val="18"/>
          <w:b w:val="1"/>
          <w:bCs w:val="1"/>
          <w:i w:val="1"/>
          <w:iCs w:val="1"/>
          <w:color w:val="auto"/>
        </w:rPr>
        <w:t>As part of the Company’s ongoing management of its fleet and personnel, the Company may need to improve its operations and financial systems and recruit additional staff and crew; if the Company cannot improve these systems or recruit suitable employees, the Company’s business and results of operations may be adversely affected.</w:t>
      </w:r>
    </w:p>
    <w:p>
      <w:pPr>
        <w:spacing w:after="0" w:line="157" w:lineRule="exact"/>
        <w:rPr>
          <w:sz w:val="20"/>
          <w:szCs w:val="20"/>
          <w:color w:val="auto"/>
        </w:rPr>
      </w:pPr>
    </w:p>
    <w:p>
      <w:pPr>
        <w:jc w:val="both"/>
        <w:ind w:firstLine="749"/>
        <w:spacing w:after="0" w:line="219" w:lineRule="exact"/>
        <w:rPr>
          <w:sz w:val="20"/>
          <w:szCs w:val="20"/>
          <w:color w:val="auto"/>
        </w:rPr>
      </w:pPr>
      <w:r>
        <w:rPr>
          <w:rFonts w:ascii="Arial" w:cs="Arial" w:eastAsia="Arial" w:hAnsi="Arial"/>
          <w:sz w:val="18"/>
          <w:szCs w:val="18"/>
          <w:color w:val="auto"/>
        </w:rPr>
        <w:t>The Company has and may continue to need to invest in upgrading its operating and financial systems. In addition, the Company may have to recruit additional well</w:t>
      </w:r>
      <w:r>
        <w:rPr>
          <w:rFonts w:ascii="MS PGothic" w:cs="MS PGothic" w:eastAsia="MS PGothic" w:hAnsi="MS PGothic"/>
          <w:sz w:val="18"/>
          <w:szCs w:val="18"/>
          <w:color w:val="auto"/>
        </w:rPr>
        <w:t>‑</w:t>
      </w:r>
      <w:r>
        <w:rPr>
          <w:rFonts w:ascii="Arial" w:cs="Arial" w:eastAsia="Arial" w:hAnsi="Arial"/>
          <w:sz w:val="18"/>
          <w:szCs w:val="18"/>
          <w:color w:val="auto"/>
        </w:rPr>
        <w:t>qualified seafarers and shoreside administrative and management personnel. The Company may not be able to hire suitable employees. For example, the Company’s vessels require technically skilled staff with specialized training. If the Company is unable to employ such technically skilled staff, they may not be able to adequately staff the Company’s vessels. If the Company is unable to operate its financial and operations systems effectively or is unable to recruit suitable employees, the Company’s results of operation and its ability to manage and expand its fleet may be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inability to attract and retain qualified personnel and crew its vessels could have an adverse effect on its business.</w:t>
      </w:r>
    </w:p>
    <w:p>
      <w:pPr>
        <w:spacing w:after="0" w:line="185"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Attracting and retaining skilled personnel is an important factor in the Company’s future success. In addition, the success of the Company is dependent upon its ability to adequately crew its vessels. The market for qualified personnel is highly competitive, particularly in the last few months, and global and/or regional conflicts, such as the conflict between Russia and Ukraine, may further reduce or restrict the availability of qualified personnel, particularly with respect to certain technical and engineering positions, including marine officers.</w:t>
      </w:r>
    </w:p>
    <w:p>
      <w:pPr>
        <w:spacing w:after="0" w:line="152"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The Company cannot be certain that it will be successful in attracting and retaining qualified personnel and crewing its vessels in the future. We have faced and may continue to face difficulties attracting, hiring and retaining highly-skilled personnel and with appropriate qualifications and may not be able to fill positions. To attract top talent, we have had to offer, and believe we will need to continue to offer, competitive compensation and benefits packages before we can validate the productivity of those employees. We have increased, and expect to continue to increase, our employee compensation levels in response to competition, as necessary. In addition, the pressures of inflation have increased our costs of labor and may continue to do so. Many of the companies with which we compete for personnel have greater financial and other resources than we do. If the Company fails to retain key personnel and hire, train and retain qualified employees, the Company may not be able to compete effectively and may have increased incident rates as well as regulatory and other compliance failures, which could have a material adverse effect on the Company’s business, financial position, results of operations, cash flows and prospects.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Company’s employees are covered by federal laws that may subject it to job-related claims in addition to those provided by state laws.</w:t>
      </w:r>
    </w:p>
    <w:p>
      <w:pPr>
        <w:spacing w:after="0" w:line="19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Some of the Company’s employees are covered by provisions of the Jones Act, the Death on the High Seas Act and general maritime law. These laws preempt state workers’ compensation laws and permit these employees and their representatives to pursue actions against employers for job-related incidents in federal courts based on tort theories. Because the Company is not generally protected by the damage limits imposed by state workers’ compensation statutes for these types of claims, it may have greater exposure for any claims made by these employees.</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 relies on information technology, and if it is unable to protect against service interruptions, data corruption, cyber-based attacks or network security breaches, its operations could be disrupted and its business could be negatively affected.</w:t>
      </w:r>
    </w:p>
    <w:p>
      <w:pPr>
        <w:spacing w:after="0" w:line="130"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The Company relies on information technology networks and systems, including the Internet and cloud services, to process, transmit and store electronic and financial information, manage a variety of business processes and activities, and comply with regulatory, legal and tax requirements. The Company also depends on its information technology infrastructure to capture knowledge of its business including its vessel operation systems containing information about vessel positioning and scheduling; to monitor its vessel maintenance and engine systems; to coordinate its business across its bases of operation including cargo delivery and equipment tracking; and to communicate within its organization and with customers, suppliers, partners and other third-parties. The Company’s ability to service customers and operate vessels is dependent on the continued operation of these systems. While the Company takes various precautions and has enhanced controls around its systems, like other technology systems, they are susceptible to damage, disruptions or shutdowns, hardware or software failures, power outages, computer viruses, telecommunication failures, user errors, catastrophic events, or cyber-attacks including malware, other malicious software, phishing email attacks, attempts to gain unauthorized access to its data, the unauthorized release, corruption or loss of its data, loss or damage to its data delivery systems, ransomware, and other electronic security breaches. Overtime, these attacks have become increasingly sophisticated and, in some cases, have been conducted or sponsored by “nation state” operators.</w:t>
      </w:r>
    </w:p>
    <w:p>
      <w:pPr>
        <w:spacing w:after="0" w:line="13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The Company’s information technology systems are in some cases integrated, such that damage, disruption or shutdown to the system could result in a more widespread impact. If the Company’s information technology systems suffer severe damage, disruption or shutdown, and its business continuity plans do not effectively resolve the issues in a timely manner, the Company’s operations could be disrupted and its business could be negatively affected. In addition, cyber-attacks could lead to potential unauthorized access and disclosure of confidential information, data loss and corruption. While we are not currently aware of any material impact from recent attacks such as SolarWinds, Log4j, and Kaseya, new information on the scope of such attacks is continuing to emerge. While we continue to devote time and resources on the remediation of such risks, there is the possibility of a material impact from such an attack in the future.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2" w:name="page33"/>
    <w:bookmarkEnd w:id="32"/>
    <w:p>
      <w:pPr>
        <w:jc w:val="both"/>
        <w:ind w:firstLine="749"/>
        <w:spacing w:after="0" w:line="257" w:lineRule="auto"/>
        <w:rPr>
          <w:sz w:val="20"/>
          <w:szCs w:val="20"/>
          <w:color w:val="auto"/>
        </w:rPr>
      </w:pPr>
      <w:r>
        <w:rPr>
          <w:rFonts w:ascii="Arial" w:cs="Arial" w:eastAsia="Arial" w:hAnsi="Arial"/>
          <w:sz w:val="18"/>
          <w:szCs w:val="18"/>
          <w:color w:val="auto"/>
        </w:rPr>
        <w:t>Recent action by the IMO’s Maritime Safety Committee and U.S. agencies indicate that cybersecurity regulations for the maritime industry are likely to be further developed in the near future in an attempt to combat cybersecurity threats. The Company is unable to predict the impact of such regulations at this time. Further, as the threat of cyber-attacks continues to grow, the Company will be required to expend additional resources to continue to modify or enhance its protective measures or to investigate and remediate any vulnerabilities to cyber-attacks. The Company has adopted flag-state vessel security plans to comply with the IMO regulations that went into effect in 2021.</w:t>
      </w:r>
    </w:p>
    <w:p>
      <w:pPr>
        <w:spacing w:after="0" w:line="161"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Further, data protection laws apply to the Company in certain countries in which the Company does business. Specifically, the E.U. General Data Protection Regulation (the “GDPR”), increased penalties up to a maximum of 4% of global annual turnover for breach of the regulation. The GDPR requires mandatory breach notification, the standard for which is also followed outside the E.U., particularly in Asia. Non-compliance with data protection laws could expose the Company to regulatory investigations, which could result in fines and penalties. In addition to imposing fines, regulators may also issue orders to stop processing personal data, which could disrupt operations. The Company could also be subject to litigation from persons or corporations allegedly affected by data protection violations. Violation of data protection laws is a criminal offence in some countries, and individuals can be imprisoned or fined. Any violation of these laws or harm to the Company’s reputation could have a material adverse effect on the Company’s business, financial condition, results of operations, cash flows and prospects.</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Risk Factors Related to the Company’s Spin-off</w:t>
      </w:r>
    </w:p>
    <w:p>
      <w:pPr>
        <w:spacing w:after="0" w:line="18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SEACOR Marine was previously a subsidiary of SEACOR Holdings Inc. (along with its consolidated subsidiaries, other than SEACOR Marine, collectively referred to as “SEACOR Holdings”). On June 1, 2017, SEACOR Holdings completed a spin-off of SEACOR Marine by way of a pro rata dividend of SEACOR Marine’s Common Stock, all of which was then held by SEACOR Holdings, to SEACOR Holdings’ shareholders of record as of May 22, 2017 (the “Spin-off”).</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there is a determination that the Spin-off was taxable for U.S. federal income tax purposes because the facts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assumptions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representations or undertakings underlying the tax opinion were incorrect or for any other reason</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then SEACOR Holdings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its stockholders that are subject to U.S. federal income tax and SEACOR Marine could incur significant U.S. federal income tax liabilities.</w:t>
      </w:r>
    </w:p>
    <w:p>
      <w:pPr>
        <w:spacing w:after="0" w:line="12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In connection with the Spin-off, SEACOR Holdings received an opinion of its counsel, Milbank LLP (f/k/a Milbank, Tweed, Hadley &amp; McCloy LLP), substantially to the effect that the Spin-off qualifies as a transaction that is described in Section 355 of the Code. The opinion relied on certain facts, assumptions, representations and undertakings from SEACOR Holdings and the Company regarding the past and future conduct of the companies’ respective businesses and other matters. If any of these facts, assumptions, representations or undertakings were incorrect, SEACOR Holdings and its stockholders may not be able to rely on the opinion of counsel and could be subject to significant tax liabilities. Notwithstanding the opinion of counsel, the Internal Revenue Services ("IRS") could determine on audit that the Spin-off was taxable if it determines that any of these facts, assumptions, representations or undertakings were not correct or had been violated or if it disagrees with the conclusions in the opinion, or for other reasons, including as a result of certain significant changes in the stock ownership of SEACOR Holdings or SEACOR Marine after the Spin-off. If the Spin-off is determined to be taxable, SEACOR Holdings, its stockholders that are subject to U.S. federal income tax and the Company could incur significant U.S. federal income tax liabilities.</w:t>
      </w:r>
    </w:p>
    <w:p>
      <w:pPr>
        <w:spacing w:after="0" w:line="15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Prior to the Spin-off, the Company and SEACOR Holdings entered into the Tax Matters Agreement that governs the parties' respective rights, responsibilities and obligations with respect to taxes, tax attributes, the preparation and filing of tax returns, the control of audits and other tax proceedings and assistance and cooperation in respect of tax matters. Taxes relating to or arising out of the failure of the Spin-off to qualify as a tax-free transaction for U.S. federal income tax purposes are the responsibility of SEACOR Holdings, except, in general, if such failure is attributable to the Company’s action or inaction or SEACOR Holdings’ action or inaction.</w:t>
      </w:r>
    </w:p>
    <w:p>
      <w:pPr>
        <w:spacing w:after="0" w:line="161"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The Company’s obligations under the Tax Matters Agreement are not limited in amount or subject to any cap. Further, even if the Company is not responsible for tax liabilities of SEACOR Holdings and its subsidiaries under the Tax Matters Agreement, the Company nonetheless could be liable under applicable tax law for such liabilities if SEACOR Holdings were to fail to pay them. If the Company is required to pay any liabilities under the circumstances set forth in the Tax Matters Agreement or pursuant to applicable tax law, the amounts may be significant.</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Risk Factors Related to the Company’s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stock price may fluctuate significantly, and investors may not be able to sell their shares at an attractive price.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trading price of the Company’s Common Stock may be volatile and subject to wide price fluctuations in response to various factors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including:</w:t>
      </w:r>
    </w:p>
    <w:p>
      <w:pPr>
        <w:spacing w:after="0" w:line="170" w:lineRule="exact"/>
        <w:rPr>
          <w:sz w:val="20"/>
          <w:szCs w:val="20"/>
          <w:color w:val="auto"/>
        </w:rPr>
      </w:pPr>
    </w:p>
    <w:p>
      <w:pPr>
        <w:ind w:left="1120" w:hanging="370"/>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conditions in the broader stock market;</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capital structure and liquidity;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3" w:name="page34"/>
    <w:bookmarkEnd w:id="33"/>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commodity prices and in particular prices of oil and natural gas;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the Company’s quarterly financial condition and results of operations;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introduction of new equipment or services by the Company or its competitors;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w:t>
      </w:r>
    </w:p>
    <w:p>
      <w:pPr>
        <w:spacing w:after="0" w:line="211"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purchases and sales of large blocks of the Company’s Common Stock and the frequency and volume with which the Common Stock trades on the New York Stock Exchange;</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or willingness of OPEC to set and maintain production levels for oil;</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oil and natural gas production levels by non-OPEC countries;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or political developments;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and governmental investigations; and</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changing economic conditions.</w:t>
      </w:r>
    </w:p>
    <w:p>
      <w:pPr>
        <w:spacing w:after="0" w:line="212"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These and other factors may cause the market price and demand for the Company’s Common Stock to fluctuate substantially, which may limit or prevent investors from readily selling their shares of the Company’s Common Stock and may otherwise negatively affect the liquidity of the Company’s Common Stock. In addition, in the past, when the market price of a stock has been volatile, holders of that stock have sometimes instituted securities class action litigation against the company that issued the stock. If any of the Company’s stockholders were to bring a lawsuit against it, the Company could incur substantial costs defending the lawsuit. Such a lawsuit could also divert the time and attention of the Company’s management from its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investor’s percentage of ownership in the Company may be diluted in the future.</w:t>
      </w:r>
    </w:p>
    <w:p>
      <w:pPr>
        <w:spacing w:after="0" w:line="185"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As with any publicly traded company, an investor’s percentage ownership in the Company may be diluted in the future because of equity issuances for acquisitions, capital market transactions or otherwise, including equity awards that the Company has and will continue to grant to its directors, officers and employees. For instance, in April 2018, the Company issued 2,168,586 shares of Common Stock, and warrants to purchase 674,164 shares of Common Stock at a purchase price of $0.01 per share (the “Warrants”), in a private placement for cash, in January 2019, the Company issued 603,872 shares of Common Stock in a private placement to purchase three FSVs; in March 2020, the Company issued 900,000 shares of Common Stock in a private placement to purchase the remaining 28% minority equity interests in Falcon Global Holdings LLC (“Falcon Global Holdings”) that the Company did not already own; and in December 2021, the Company issued 1,567,935 shares of Common Stock as merger and related consideration to purchase the remaining equity and subordinated debt interests in SEACOR OSV Partners I LP that the Company did not already own. In addition, an investor’s percentage ownership in the Company will be diluted if any of the holders of the Convertible Senior Notes exercise their right to convert the principal amount of their outstanding notes, in whole or in part, into shares of the Company’s Common Stock. Holders of the Convertible Senior Notes are entitled to convert the principal amount of their outstanding notes into shares of the Company’s Common Stock (or, if required to maintain Jones Act compliance, warrants to purchase such stock for $0.01) at a conversion rate of 23.26 shares of the Company’s Common Stock per $1,000 principal amount of the Convertible Senior Notes through November 29, 2023. The Company has granted the holders of the Convertible Senior Notes certain registration rights to assist them with the sale of Common Stock issuable upon conversion of such notes. Any substantial issuance of the Company’s Common Stock, including Common Stock issuable upon the conversion of the Convertible Senior Notes, could significantly affect the trading price of the Company’s Common Stock.</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the Company’s business, if they adversely change their recommendations regarding the Company’s stock or if the Company’s results of operations do not meet their expectations, the Company’s stock price and trading volume could decline.</w:t>
      </w:r>
    </w:p>
    <w:p>
      <w:pPr>
        <w:spacing w:after="0" w:line="157"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The trading market for the Company’s Common Stock is influenced by the research and reports that industry or securities analysts publish about the Company or its business. If one or more of these analysts cease coverage of the Company or fail to publish reports on the Company regularly, the Company could lose visibility in the financial markets, which in turn could cause its stock price or trading volume to decline. Moreover, if one or more of the analysts who cover the Company downgrade recommendations regarding the Company’s stock, or if the Company’s results of operations do not meet their expectations, the Company’s stock price could decline and such decline could be material.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b w:val="1"/>
          <w:bCs w:val="1"/>
          <w:i w:val="1"/>
          <w:iCs w:val="1"/>
          <w:color w:val="auto"/>
        </w:rPr>
        <w:t>For as long as the Company is an “Emerging Growth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it will be exempt from certain reporting requirements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including those relating to accounting standards and disclosure about its executive compensation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that apply to other public companies.</w:t>
      </w:r>
    </w:p>
    <w:p>
      <w:pPr>
        <w:spacing w:after="0" w:line="143"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In April 2012, the Jumpstart Our Business Startups Act (“JOBS Act”) was signed into law. The JOBS Act contains provisions that, among other things, relax certain reporting requirements for “Emerging Growth Companies,” including certain requirements relating to accounting standards and compensation disclosure. The Company is classified as an “Emerging Growth Company,” which is defined as a company with annual gross revenues of less than $1 billion, that has been a public reporting company for a period of less than five years, and that does not have a public float of $700 million or more in securities held by non-affiliated holders. The Company will lose its status as an Emerging Growth Company on December 31, 2022, and therefore it is not required to (i) provide an auditor’s attestation report on management’s assessment of the effectiveness of its system of internal control over financial reporting pursuant to Section 404 of the Sarbanes-Oxley Act, (ii) comply with any new or revised financial accounting standards applicable to public companies until such standards are also applicable to private companies under Section 102(b)(1) of the JOBS Act, (iii) comply with any new requirements adopted by the Public Company Accounting Oversight Board (the “PCAOB”), such as requiring mandatory audit firm rotation or a supplement to the auditor’s report in which the auditor would be required to provide additional information about the audit and the financial statements of the issuer, (iv) comply with any new audit rules adopted by the PCAOB after April 5, 2012 unless the SEC determines otherwise, (v) provide certain disclosure regarding executive compensation required of larger public companies or (vi) hold stockholder advisory and other votes on executive compensation. The Company cannot predict if investors will find its Common Stock less attractive if it chooses to rely on these exemptions. If some investors find the Company’s Common Stock less attractive as a result of any choices to reduce future disclosure, there may be a less active trading market for the Company’s Common Stock and its stock price may be more volatile.</w:t>
      </w:r>
    </w:p>
    <w:p>
      <w:pPr>
        <w:spacing w:after="0" w:line="14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As noted above, under the JOBS Act, “Emerging Growth Companies” can delay adopting new or revised accounting standards that have different effective dates for public and private companies until such time as those standards apply to private companies. The Company elected not to take advantage of such extended transition period, which election is irrevocable pursuant to Section 107 of the JOBS Act.</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obligated to develop and maintain proper and effective internal control over financial reporting and is subject to other requirements that will be burdensome and costly.</w:t>
      </w:r>
    </w:p>
    <w:p>
      <w:pPr>
        <w:spacing w:after="0" w:line="143"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The Company is subject to other reporting and corporate governance requirements, including the requirements of the New York Stock Exchange (“NYSE”), and certain provisions of the Sarbanes-Oxley Act and the regulations promulgated thereunder, which impose significant compliance obligations upon the Company. As a public company, the Company is required to:</w:t>
      </w:r>
    </w:p>
    <w:p>
      <w:pPr>
        <w:spacing w:after="0" w:line="143" w:lineRule="exact"/>
        <w:rPr>
          <w:sz w:val="20"/>
          <w:szCs w:val="20"/>
          <w:color w:val="auto"/>
        </w:rPr>
      </w:pPr>
    </w:p>
    <w:p>
      <w:pPr>
        <w:ind w:left="1120" w:right="20" w:hanging="370"/>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prepare and distribute periodic public reports and other stockholder communications in compliance with its obligations under the federal securities laws and NYSE rules;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or expand the roles and duties of its board of directors and committees of the board of directors;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institute more comprehensive financial reporting and disclosure compliance functions;</w:t>
      </w:r>
    </w:p>
    <w:p>
      <w:pPr>
        <w:spacing w:after="0" w:line="211"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supplement its internal accounting and auditing function, including hiring additional staff with expertise in accounting and financial reporting for a public company;</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enhance and formalize closing procedures at the end of the Company’s accounting periods;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enhance the Company’s internal audit function;</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enhance the Company’s investor relations function;</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new internal policies, including those relating to disclosure controls and procedures; and</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involve and retain to a greater degree outside counsel and accountants in the activities listed above.</w:t>
      </w:r>
    </w:p>
    <w:p>
      <w:pPr>
        <w:spacing w:after="0" w:line="21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These changes require a significant commitment of additional resources, including increased auditing and legal fees and costs associated with hiring additional accounting and administrative staff. The Company may not be successful in fully and efficiently implementing these requirements and implementing them could materially adversely affect its business, financial position, results of operations, cash flows and prospects.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b w:val="1"/>
          <w:bCs w:val="1"/>
          <w:i w:val="1"/>
          <w:iCs w:val="1"/>
          <w:color w:val="auto"/>
        </w:rPr>
        <w:t>Failure to achieve and maintain effective internal controls over financial reporting in accordance with Section 404 could have a material adverse effect on the Company.</w:t>
      </w:r>
    </w:p>
    <w:p>
      <w:pPr>
        <w:spacing w:after="0" w:line="143"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The Company’s internal controls were initially developed when it was a subsidiary of SEACOR Holdings. However, section 404 of the Sarbanes-Oxley Act (“Section 404”) requires the Company to establish effective internal controls over financial reporting and disclosure controls and procedures pursuant to Section 404 and to assess the effectiveness of such controls beginning with the fiscal year ended December 31, 2022.</w:t>
      </w:r>
    </w:p>
    <w:p>
      <w:pPr>
        <w:spacing w:after="0" w:line="12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If the Company is unable to maintain adequate internal control over financial reporting, it may be unable to report its financial information on a timely basis, may violate applicable stock exchange listing rules or suffer other adverse regulatory consequences and may breach the covenants under its credit facilities. There could also be a negative reaction in the price of the Company’s Common Stock due to a loss of investor confidence in the Company and the reliability of its financial statements. It cannot be assumed that the Company will not have another material weakness in its internal controls over financial reporting in the future.</w:t>
      </w:r>
    </w:p>
    <w:p>
      <w:pPr>
        <w:spacing w:after="0" w:line="147"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Moreover, the Company’s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The existence of a material weakness could result in errors in the Company’s financial statements that could result in a restatement of financial statements, which could cause the Company to fail to meet its reporting obligations, lead to a loss of investor confidence and have a negative impact on the trading price of the Company’s Common Stock.</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Provisions in the Company’s Third Amended and Restated Certificate of Incorporation and Third Amended and Restated By-Laws, and Delaware law may discourage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delay or prevent a change of control of the Company or changes in the Company’s management and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therefore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may depress the trading price of its Common Stock.</w:t>
      </w:r>
    </w:p>
    <w:p>
      <w:pPr>
        <w:spacing w:after="0" w:line="14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Company’s Third Amended and Restated Certificate of Incorporation and Third Amended and Restated By-Laws include certain provisions that could have the effect of discouraging, delaying or preventing a change of control of the Company or changes in its management, including, among other things:</w:t>
      </w:r>
    </w:p>
    <w:p>
      <w:pPr>
        <w:spacing w:after="0" w:line="143" w:lineRule="exact"/>
        <w:rPr>
          <w:sz w:val="20"/>
          <w:szCs w:val="20"/>
          <w:color w:val="auto"/>
        </w:rPr>
      </w:pP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ability of the Company’s stockholders to fill a vacancy on the Board of Directors;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related to the ability of non-U.S. citizens owning the Company’s Common Stock;</w:t>
      </w:r>
    </w:p>
    <w:p>
      <w:pPr>
        <w:spacing w:after="0" w:line="211"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ability to issue preferred stock with terms that the Board of Directors may determine, without stockholder approval, which could be used to significantly dilute the ownership of a hostile acquirer;</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absence of cumulative voting in the election of directors which may limit the ability of minority stockholders to elect directors; and</w:t>
      </w:r>
    </w:p>
    <w:p>
      <w:pPr>
        <w:spacing w:after="0" w:line="223" w:lineRule="exact"/>
        <w:rPr>
          <w:rFonts w:ascii="Arial" w:cs="Arial" w:eastAsia="Arial" w:hAnsi="Arial"/>
          <w:sz w:val="17"/>
          <w:szCs w:val="17"/>
          <w:color w:val="auto"/>
        </w:rPr>
      </w:pPr>
    </w:p>
    <w:p>
      <w:pPr>
        <w:ind w:left="1120" w:hanging="370"/>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which may discourage or deter a potential acquirer from soliciting proxies to elect a particular slate of directors or otherwise attempting to obtain control of the Company.</w:t>
      </w:r>
    </w:p>
    <w:p>
      <w:pPr>
        <w:spacing w:after="0" w:line="13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These provisions in the Company’s Third Amended and Restated Certificate of Incorporation and Third Amended and Restated By-Laws may discourage, delay or prevent a transaction involving a change in control of the Company that is in the best interest of its stockholders. Even in the absence of a takeover attempt, the existence of these provisions may adversely affect the prevailing market price of the Company’s Common Stock if they are viewed as discouraging future takeover attempts.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Third Amended and Restated By-Laws include a forum selection clause, which could limit the Company’s stockholders’ ability to obtain a favorable judicial forum for disputes with the Company.</w:t>
      </w:r>
    </w:p>
    <w:p>
      <w:pPr>
        <w:spacing w:after="0" w:line="23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Company’s Third Amended and Restated By-Laws require that, 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Delaware General Corporation Law, or (iv) any action asserting a claim governed by the internal affairs doctrine.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6" w:name="page37"/>
    <w:bookmarkEnd w:id="36"/>
    <w:p>
      <w:pPr>
        <w:jc w:val="both"/>
        <w:ind w:firstLine="749"/>
        <w:spacing w:after="0" w:line="253" w:lineRule="auto"/>
        <w:rPr>
          <w:sz w:val="20"/>
          <w:szCs w:val="20"/>
          <w:color w:val="auto"/>
        </w:rPr>
      </w:pPr>
      <w:r>
        <w:rPr>
          <w:rFonts w:ascii="Arial" w:cs="Arial" w:eastAsia="Arial" w:hAnsi="Arial"/>
          <w:sz w:val="18"/>
          <w:szCs w:val="18"/>
          <w:color w:val="auto"/>
        </w:rPr>
        <w:t>This exclusive forum provision will not apply to claims under the Exchange Act, but will apply to other state and federal law claims including actions arising under the Securities Act of 1933 (although the Company’s stockholders will not be deemed to have waived the Company’s compliance with the federal securities laws and the rules and regulations thereunder). Section 22 of the Securities Act of 1933, however, creates concurrent jurisdiction for federal and state courts over all suits brought to enforce any duty or liability created by the Securities Act of 1933 or the rules and regulations thereunder. Accordingly, there is uncertainty as to whether a court would enforce such a forum selection provision as written in connection with claims arising under the Securities Act of 1933. Any person or entity purchasing or otherwise acquiring any interest in shares of the Company’s capital stock is deemed to have notice of and consented to the foregoing provisions. This forum selection provision in the Company’s Third Amended and Restated By-Laws may limit the Company’s stockholders’ ability to obtain a favorable judicial forum for disputes with the Company. It is also possible that, notwithstanding the forum selection clause included in the Company’s Third Amended and Restated By-Laws, a court could rule that such a provision is inapplicable or unenforceable.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does not expect to pay dividends to holders of its Common Stock.</w:t>
      </w:r>
    </w:p>
    <w:p>
      <w:pPr>
        <w:spacing w:after="0" w:line="185" w:lineRule="exact"/>
        <w:rPr>
          <w:sz w:val="20"/>
          <w:szCs w:val="20"/>
          <w:color w:val="auto"/>
        </w:rPr>
      </w:pPr>
    </w:p>
    <w:p>
      <w:pPr>
        <w:jc w:val="both"/>
        <w:ind w:right="20" w:firstLine="749"/>
        <w:spacing w:after="0" w:line="311" w:lineRule="auto"/>
        <w:rPr>
          <w:sz w:val="20"/>
          <w:szCs w:val="20"/>
          <w:color w:val="auto"/>
        </w:rPr>
      </w:pPr>
      <w:r>
        <w:rPr>
          <w:rFonts w:ascii="Arial" w:cs="Arial" w:eastAsia="Arial" w:hAnsi="Arial"/>
          <w:sz w:val="16"/>
          <w:szCs w:val="16"/>
          <w:color w:val="auto"/>
        </w:rPr>
        <w:t>The Company currently intends to retain its future earnings, if any, for the foreseeable future, to repay indebtedness and to fund the development and growth of its business. The Company does not intend to pay any dividends to holders of its Common Stock. As a result, capital appreciation in the price of the Company’s Common Stock, if any, will be investor's only source of gain or income on an investment in the Company’s Common Stock.</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General Risk Factors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 economic conditions and volatility in the capital markets could materially adversely affect the Company.</w:t>
      </w:r>
    </w:p>
    <w:p>
      <w:pPr>
        <w:spacing w:after="0" w:line="18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success of the Company’s business is both directly and indirectly dependent upon conditions in the global financial markets and economic conditions throughout the world that are outside the Company’s control and are difficult to predict. Factors such as global and/or regional conflicts, such as the conflict between Russia and Ukraine, pandemic responses, commodity prices and demand for commodities, interest rates, availability of credit, inflation rates, changes in laws (including laws relating to taxation, such as amendments to provisions of the CARES Act that permit us to carryback NOLs not permitted prior to adoption of the act), trade barriers, currency exchange rates and controls, and national and international political circumstances (including wars, terrorist acts, security operations or pandemics) can have a material negative impact on the Company’s business and investments, which could reduce its revenues and profitability. Uncertainty about global economic conditions may cause or require businesses to postpone capital spending in response to tighter credit and reductions in income or asset values and to cancel or renegotiate existing contracts because their access to capital is impeded. This would in turn affect the Company’s profitability or results of operations. These factors may also adversely affect the Company’s liquidity and financial condition and the liquidity and financial conditions of its customers. Volatility in the conditions of the global economic markets can also affect the Company’s ability to raise capital at attractive prices. The Company’s ongoing exposure to credit risks on its accounts receivable balances are heightened during periods when economic conditions worsen. The Company has procedures that are designed to monitor and limit exposure to credit risk on its receivables, however, there can be no assurance that such procedures will effectively limit the Company’s credit risk and avoid losses that could have a material adverse effect on the Company’s business, financial position, results of operations, cash flows and prospects. Unstable economic conditions may also increase the volatility of the Company’s stock price.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operations are subject to certain foreign currency, interest rate, fixed-income, equity and commodity price risks.</w:t>
      </w:r>
    </w:p>
    <w:p>
      <w:pPr>
        <w:spacing w:after="0" w:line="198"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The Company is exposed to certain foreign currency, interest rate, fixed-income, equity and commodity price risks and, although some of these risks may be hedged, fluctuations could impact its financial position and its results of operations. The Company has, and anticipates that it will continue to have, contracts denominated in foreign currencies. It is often not practicable for the Company to effectively hedge the entire risk of significant changes in currency rates during a contract period. The Company’s financial position, results of operations and cash flows have been negatively impacted for certain periods and positively impacted for other periods, and may continue to be affected to a material extent by the impact of foreign currency exchange rate fluctuations. For example, strengthening of the U.S. dollar could give rise to reduced prices from shipyards and incentivize additional investment in new equipment notwithstanding the current state of such market. The Company’s financial position, results of operations and cash flows may also be affected by the cost of hedging activities that it undertakes. Volatility in the financial markets and overall economic uncertainty also increase the risk that the actual amounts realized in the future on the Company’s debt and equity instruments could differ significantly from the fair values currently assigned to them. In addition, changes in interest rates may have a material adverse effect on the Company’s business, financial position, results of operations, cash flows and prospects. Specifically, rising interest rates, including a potential rapid rise in interest rates, could increase the Company’s cost of capital.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The Company engages in hedging activities which exposes it to risks.</w:t>
      </w:r>
    </w:p>
    <w:p>
      <w:pPr>
        <w:spacing w:after="0" w:line="19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For corporate purposes, the Company has in the past and may in the future use futures and swaps to hedge risks, such as escalation in fuel costs and movements in foreign exchange rates and interest rates. Such activities can themselves result in losses when a position is purchased in a declining market or a position is sold in a rising market. The Company may also purchase inventory in larger than usual levels to lock in costs when it believes there may be large increases in the price of raw materials or other material used in its business. Such purchases expose the Company to risks of meeting margin calls and drawing on its capital, counter-party risk due to failure of an exchange or institution with which it has entered into a swap, incurring higher costs than competitors or similar businesses that do not engage in such strategies, and losses on its investment portfolio. Such strategies can also cause earnings to be volatile. If the Company fails to offset such volatility, this could have a material adverse effect on the Company’s business, financial position, results of operations, cash flows and prospects.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results could be impacted by U.S. social, political, regulatory and economic conditions as well as by changes in tariffs, trade agreements or other trade restrictions imposed by the U.S. government.</w:t>
      </w:r>
    </w:p>
    <w:p>
      <w:pPr>
        <w:spacing w:after="0" w:line="13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Changes in U.S. political, regulatory and economic conditions or in laws and policies governing foreign trade (including the U.S. trade agreements and U.S. tariff policies), travel to and from the U.S., immigration, manufacturing, development and investment in the territories and countries in which the Company operates, and any negative sentiments or retaliatory actions towards the U.S. as a result of such changes, could adversely affect the global marine and support transportation services industry. Recent changes in U.S. foreign policy have created significant uncertainty about the future relationship between the U.S. and China, as well as with other countries, including with respect to the trade policies, treaties, government regulations and tariffs that could apply to trade between the U.S. and other nations. Changes in these policies may have a material adverse effect on the Company’s business, financial position, results of operations, cash flows and prospects.</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violation of the Foreign Corrupt Practices Act of 1977 (“FCPA”) or similar worldwide anti-bribery laws may adversely affect the Company’s business and operations.</w:t>
      </w:r>
    </w:p>
    <w:p>
      <w:pPr>
        <w:spacing w:after="0" w:line="130"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In order to effectively compete in certain foreign jurisdictions, the Company seeks to establish joint ventures with local operators or strategic partners. As a U.S. corporation, the Company is subject to the regulations imposed by the FCPA, which generally prohibits U.S. companies and their intermediaries from making improper payments to foreign officials for the purpose of obtaining or maintaining business. The Company has stringent policies and procedures in place to enforce compliance with the FCPA. Nevertheless, the Company does business and may do additional business in the future in countries and regions where strict compliance with anti-bribery laws may not be customary and the Company may be held liable for actions taken by its strategic or local partners even though these partners may not be subject to the FCPA. The Company’s personnel and intermediaries, including its local operators and strategic partners, may face, directly or indirectly, corrupt demands by government officials, political parties and officials, tribal or insurgent organizations, or private entities in the countries in which it operates or may operate in the future. As a result, the Company faces the risk that an unauthorized payment or offer of payment could be made by one of its employees or intermediaries, even if such parties are not always subject to the Company’s control or are not themselves subject to the FCPA or other similar laws to which the Company may be subject. Any allegation or determination that the Company has violated the FCPA (or any other applicable anti-bribery laws in countries in which the Company does business, including the U.K. Bribery Act 2010) could have a material adverse effect on the Company’s business, financial position, results of operations, cash flows and prospects.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results of legal proceedings could materially adversely affect the Company.</w:t>
      </w:r>
    </w:p>
    <w:p>
      <w:pPr>
        <w:spacing w:after="0" w:line="19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Company is subject to and may in the future be subject to a variety of legal proceedings and claims that arise out of the ordinary conduct of its business. Results of legal proceedings cannot be predicted with certainty. Irrespective of its merits, litigation may be both lengthy and disruptive to the Company’s operations and may cause significant expenditure and diversion of management attention. The Company may be faced with significant monetary damages or injunctive relief against it that which could have a material adverse effect on the Company’s business, financial position, results of operations, cash flows and prospects should it fail to prevail in certain matters.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publicity may adversely impact the Company.</w:t>
      </w:r>
    </w:p>
    <w:p>
      <w:pPr>
        <w:spacing w:after="0" w:line="185"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Media coverage and public statements that insinuate improper actions by the Company, regardless of their factual accuracy or truthfulness, may result in negative publicity, litigation or governmental investigations by regulators. Addressing negative publicity and any resulting litigation or investigations may distract management, increase costs and divert resources. Negative publicity may have an adverse impact on the Company’s reputation and the morale of its employees, which could materially adversely affect its business, financial position, results of operations, cash flows and prospects.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success depends on key members of its management, the loss of whom could disrupt its business operations.</w:t>
      </w:r>
    </w:p>
    <w:p>
      <w:pPr>
        <w:spacing w:after="0" w:line="18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The Company depends to a large extent on the efforts and continued employment of its executive officers and key management personnel. It does not maintain key-man insurance. The loss of services of one or more of its executive officers or key management personnel could have a material adverse effect on the Company’s business, financial position, results of operations, cash flows and prospects.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8" w:name="page39"/>
    <w:bookmarkEnd w:id="38"/>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Offshore support vessels are the principal physical properties owned by the Company as more fully described in “Item 1. Business.”</w:t>
      </w:r>
    </w:p>
    <w:p>
      <w:pPr>
        <w:spacing w:after="0" w:line="1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89" w:lineRule="exact"/>
        <w:rPr>
          <w:sz w:val="20"/>
          <w:szCs w:val="20"/>
          <w:color w:val="auto"/>
        </w:rPr>
      </w:pPr>
    </w:p>
    <w:p>
      <w:pPr>
        <w:jc w:val="both"/>
        <w:ind w:firstLine="849"/>
        <w:spacing w:after="0" w:line="257" w:lineRule="auto"/>
        <w:rPr>
          <w:sz w:val="20"/>
          <w:szCs w:val="20"/>
          <w:color w:val="auto"/>
        </w:rPr>
      </w:pPr>
      <w:r>
        <w:rPr>
          <w:rFonts w:ascii="Arial" w:cs="Arial" w:eastAsia="Arial" w:hAnsi="Arial"/>
          <w:sz w:val="18"/>
          <w:szCs w:val="18"/>
          <w:color w:val="auto"/>
        </w:rPr>
        <w:t>On April 13, 2021, the SEACOR Power, a liftboat owned by a subsidiary of the Company with nineteen individuals on board, capsized off the coast of Port Fourchon, Louisiana. The incident resulted in the death of several crew members, including the captain of the vessel and five other employees of the Company. The incident also resulted in the constructive total loss of the SEACOR Power. The Company is responsible for the salvage operations related to the vessel and is coordinating these efforts with the USCG. The salvage operations are currently ongoing and the Company expects salvage costs to be covered by insurance proceeds.</w:t>
      </w:r>
    </w:p>
    <w:p>
      <w:pPr>
        <w:spacing w:after="0" w:line="147"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The capsizing of the SEACOR Power garnered significant attention from the media as well as local, state and federal politicians. The NTSB and the USCG are currently investigating the incident to determine the cause of the incident and the Company is fully cooperating with the investigations in all respects and continues to gather information about the incident. It is expected that the NTSB and USCG investigations will take a significant period of time to complete. Numerous civil lawsuits have been filed against the Company and other third parties by the family members of deceased crew members and the surviving crew members employed by the Company or by the third parties. On June 2, 2021, the Company filed a Limitation of Liability Act complaint in federal court in the Eastern District of Louisiana (“Limitation Action”), which has the effect of enjoining all existing civil lawsuits and requiring the plaintiffs to file their claims relating to the capsizing of the SEACOR Power in the Limitation Action. There is significant uncertainty in the amount and timing of costs and potential liabilities relating to the incident involving the SEACOR Power, the impact the incident will have on the Company’s reputation and the resulting possible impact on the Company’s business.</w:t>
      </w:r>
    </w:p>
    <w:p>
      <w:pPr>
        <w:spacing w:after="0" w:line="154" w:lineRule="exact"/>
        <w:rPr>
          <w:sz w:val="20"/>
          <w:szCs w:val="20"/>
          <w:color w:val="auto"/>
        </w:rPr>
      </w:pPr>
    </w:p>
    <w:p>
      <w:pPr>
        <w:jc w:val="both"/>
        <w:ind w:firstLine="849"/>
        <w:spacing w:after="0" w:line="272" w:lineRule="auto"/>
        <w:rPr>
          <w:sz w:val="20"/>
          <w:szCs w:val="20"/>
          <w:color w:val="auto"/>
        </w:rPr>
      </w:pPr>
      <w:r>
        <w:rPr>
          <w:rFonts w:ascii="Arial" w:cs="Arial" w:eastAsia="Arial" w:hAnsi="Arial"/>
          <w:sz w:val="17"/>
          <w:szCs w:val="17"/>
          <w:color w:val="auto"/>
        </w:rPr>
        <w:t>In the normal course of its business, the Company becomes involved in various other litigation matters including, among other things, claims by third-parties for alleged property damages and personal injuries. In the opinion of the Company's management, while the outcome of these matters is uncertain, the likely results of these matters are not expected, either individually or in the aggregate, to have a material adverse effect on the Company's financial position, results of operations or cash flows. However,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could have a material adverse effect on the Company’s business, financial position, results of operations, cash flows and prospects.</w:t>
      </w:r>
    </w:p>
    <w:p>
      <w:pPr>
        <w:spacing w:after="0" w:line="13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89"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Officers of SEACOR Marine serve at the pleasure of the Board of Directors. The name, age and positions held by each of SEACOR Marine’s current executive officers are as follows (age and position as of March 10,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gridSpan w:val="3"/>
          </w:tcPr>
          <w:p>
            <w:pPr>
              <w:ind w:left="40"/>
              <w:spacing w:after="0"/>
              <w:rPr>
                <w:sz w:val="20"/>
                <w:szCs w:val="20"/>
                <w:color w:val="auto"/>
              </w:rPr>
            </w:pPr>
            <w:r>
              <w:rPr>
                <w:rFonts w:ascii="Arial" w:cs="Arial" w:eastAsia="Arial" w:hAnsi="Arial"/>
                <w:sz w:val="18"/>
                <w:szCs w:val="18"/>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20" w:type="dxa"/>
            <w:vAlign w:val="bottom"/>
          </w:tcPr>
          <w:p>
            <w:pPr>
              <w:spacing w:after="0"/>
              <w:rPr>
                <w:sz w:val="20"/>
                <w:szCs w:val="20"/>
                <w:color w:val="auto"/>
              </w:rPr>
            </w:pPr>
          </w:p>
        </w:tc>
        <w:tc>
          <w:tcPr>
            <w:tcW w:w="8360" w:type="dxa"/>
            <w:vAlign w:val="bottom"/>
          </w:tcPr>
          <w:p>
            <w:pPr>
              <w:ind w:left="3880"/>
              <w:spacing w:after="0"/>
              <w:rPr>
                <w:sz w:val="20"/>
                <w:szCs w:val="20"/>
                <w:color w:val="auto"/>
              </w:rPr>
            </w:pPr>
            <w:r>
              <w:rPr>
                <w:rFonts w:ascii="Arial" w:cs="Arial" w:eastAsia="Arial" w:hAnsi="Arial"/>
                <w:sz w:val="18"/>
                <w:szCs w:val="18"/>
                <w:b w:val="1"/>
                <w:bCs w:val="1"/>
                <w:color w:val="auto"/>
              </w:rPr>
              <w:t>Position</w:t>
            </w:r>
          </w:p>
        </w:tc>
        <w:tc>
          <w:tcPr>
            <w:tcW w:w="20" w:type="dxa"/>
            <w:vAlign w:val="bottom"/>
          </w:tcPr>
          <w:p>
            <w:pPr>
              <w:spacing w:after="0"/>
              <w:rPr>
                <w:sz w:val="20"/>
                <w:szCs w:val="20"/>
                <w:color w:val="auto"/>
              </w:rPr>
            </w:pPr>
          </w:p>
        </w:tc>
      </w:tr>
      <w:tr>
        <w:trPr>
          <w:trHeight w:val="195"/>
        </w:trPr>
        <w:tc>
          <w:tcPr>
            <w:tcW w:w="40" w:type="dxa"/>
            <w:vAlign w:val="bottom"/>
          </w:tcPr>
          <w:p>
            <w:pPr>
              <w:spacing w:after="0"/>
              <w:rPr>
                <w:sz w:val="16"/>
                <w:szCs w:val="16"/>
                <w:color w:val="auto"/>
              </w:rPr>
            </w:pPr>
          </w:p>
        </w:tc>
        <w:tc>
          <w:tcPr>
            <w:tcW w:w="1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Gellert</w:t>
            </w:r>
          </w:p>
        </w:tc>
        <w:tc>
          <w:tcPr>
            <w:tcW w:w="140" w:type="dxa"/>
            <w:vAlign w:val="bottom"/>
          </w:tcPr>
          <w:p>
            <w:pPr>
              <w:spacing w:after="0"/>
              <w:rPr>
                <w:sz w:val="16"/>
                <w:szCs w:val="16"/>
                <w:color w:val="auto"/>
              </w:rPr>
            </w:pPr>
          </w:p>
        </w:tc>
        <w:tc>
          <w:tcPr>
            <w:tcW w:w="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16"/>
                <w:szCs w:val="16"/>
                <w:color w:val="auto"/>
              </w:rPr>
            </w:pPr>
          </w:p>
        </w:tc>
        <w:tc>
          <w:tcPr>
            <w:tcW w:w="8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President, Chief Executive Officer and a director of SEACOR Marine since June 1, 2017. Prior to the Spin-off, Mr.</w:t>
            </w:r>
          </w:p>
        </w:tc>
        <w:tc>
          <w:tcPr>
            <w:tcW w:w="20" w:type="dxa"/>
            <w:vAlign w:val="bottom"/>
          </w:tcPr>
          <w:p>
            <w:pPr>
              <w:spacing w:after="0"/>
              <w:rPr>
                <w:sz w:val="16"/>
                <w:szCs w:val="16"/>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6"/>
              </w:rPr>
              <w:t>Gellert served as the Co-Chief Operating Officer of SEACOR Holdings since February 2015 and President of</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1"/>
              </w:rPr>
              <w:t>SEACOR Holdings’ Offshore Marine Services segment since July 2005. Mr. Gellert has also held various financial,</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4"/>
              </w:rPr>
              <w:t>analytical, chartering and marketing roles within SEACOR Holdings since joining in June 1992. Mr. Gellert is an</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2"/>
              </w:rPr>
              <w:t>officer and director of certain Company subsidiaries. Mr. Gellert serves as a member of the Executive Committee</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1"/>
              </w:rPr>
              <w:t>of International Support Vessel Owners Association, a member of the board of directors of Offshore Marine Service</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4"/>
              </w:rPr>
              <w:t>Association, an ex-officio member of the Executive Committee of National Ocean Industries Association, and a</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6"/>
              </w:rPr>
              <w:t>member of the Executive Council at Cohesive Capital Management, L.P. Mr. Gellert graduated from Harvard</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rPr>
              <w:t>College.</w:t>
            </w:r>
          </w:p>
        </w:tc>
        <w:tc>
          <w:tcPr>
            <w:tcW w:w="20" w:type="dxa"/>
            <w:vAlign w:val="bottom"/>
          </w:tcPr>
          <w:p>
            <w:pPr>
              <w:spacing w:after="0"/>
              <w:rPr>
                <w:sz w:val="18"/>
                <w:szCs w:val="18"/>
                <w:color w:val="auto"/>
              </w:rPr>
            </w:pPr>
          </w:p>
        </w:tc>
      </w:tr>
      <w:tr>
        <w:trPr>
          <w:trHeight w:val="216"/>
        </w:trPr>
        <w:tc>
          <w:tcPr>
            <w:tcW w:w="2060" w:type="dxa"/>
            <w:vAlign w:val="bottom"/>
            <w:gridSpan w:val="3"/>
          </w:tcPr>
          <w:p>
            <w:pPr>
              <w:ind w:left="40"/>
              <w:spacing w:after="0"/>
              <w:rPr>
                <w:sz w:val="20"/>
                <w:szCs w:val="20"/>
                <w:color w:val="auto"/>
              </w:rPr>
            </w:pPr>
            <w:r>
              <w:rPr>
                <w:rFonts w:ascii="Arial" w:cs="Arial" w:eastAsia="Arial" w:hAnsi="Arial"/>
                <w:sz w:val="18"/>
                <w:szCs w:val="18"/>
                <w:color w:val="auto"/>
              </w:rPr>
              <w:t>Jesús Llorca</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3"/>
              </w:rPr>
              <w:t>Executive Vice President and Chief Financial Officer since April 2, 2018. Prior to his appointment, Mr. Llorca was</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4"/>
              </w:rPr>
              <w:t>Executive Vice President of Corporate Development since June 1, 2017. Prior to the Spin-off, Mr. Llorca was a</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2"/>
              </w:rPr>
              <w:t>Vice President of SEACOR Holdings since 2007. From 2004 to 2007, Mr. Llorca worked in the corporate group of</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4"/>
              </w:rPr>
              <w:t>SEACOR Holdings. From 2000 to 2004, Mr. Llorca worked at Nabors Drilling where he held various operational</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4"/>
              </w:rPr>
              <w:t>and management positions internationally. Mr. Llorca graduated from ICADE with degrees in business and law.</w:t>
            </w:r>
          </w:p>
        </w:tc>
        <w:tc>
          <w:tcPr>
            <w:tcW w:w="20" w:type="dxa"/>
            <w:vAlign w:val="bottom"/>
          </w:tcPr>
          <w:p>
            <w:pPr>
              <w:spacing w:after="0"/>
              <w:rPr>
                <w:sz w:val="18"/>
                <w:szCs w:val="18"/>
                <w:color w:val="auto"/>
              </w:rPr>
            </w:pPr>
          </w:p>
        </w:tc>
      </w:tr>
      <w:tr>
        <w:trPr>
          <w:trHeight w:val="216"/>
        </w:trPr>
        <w:tc>
          <w:tcPr>
            <w:tcW w:w="2060" w:type="dxa"/>
            <w:vAlign w:val="bottom"/>
            <w:gridSpan w:val="3"/>
          </w:tcPr>
          <w:p>
            <w:pPr>
              <w:ind w:left="40"/>
              <w:spacing w:after="0"/>
              <w:rPr>
                <w:sz w:val="20"/>
                <w:szCs w:val="20"/>
                <w:color w:val="auto"/>
              </w:rPr>
            </w:pPr>
            <w:r>
              <w:rPr>
                <w:rFonts w:ascii="Arial" w:cs="Arial" w:eastAsia="Arial" w:hAnsi="Arial"/>
                <w:sz w:val="18"/>
                <w:szCs w:val="18"/>
                <w:color w:val="auto"/>
              </w:rPr>
              <w:t>Gregory Rossmiller</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3"/>
              </w:rPr>
              <w:t>Senior Vice President and Chief Accounting Officer since April 17, 2018. Prior to his appointment, Mr. Rossmiller</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6"/>
              </w:rPr>
              <w:t>was the Chief Financial Officer, North America, for Applus Energy and Industry (a division of Applus Services</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6"/>
              </w:rPr>
              <w:t>S.A.) since June 2009. Mr. Rossmiller was Corporate Controller of Pride International from 2005 to 2009, and</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3"/>
              </w:rPr>
              <w:t>Controller of Nabors Drilling International Limited (a subsidiary of Nabors Industries, Ltd.) from 2000 to 2005 and</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3"/>
              </w:rPr>
              <w:t>Assistant Controller from 1997 to 2000. Prior to 1997, Mr. Rossmiller held audit positions with Cooper Industries</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3"/>
              </w:rPr>
              <w:t>and with the accounting firm of Deloitte &amp; Touche. Mr. Rossmiller attended the General Management Program at</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rPr>
              <w:t>Harvard Business School and received his B.A from the University of Northern Iowa.</w:t>
            </w:r>
          </w:p>
        </w:tc>
        <w:tc>
          <w:tcPr>
            <w:tcW w:w="20" w:type="dxa"/>
            <w:vAlign w:val="bottom"/>
          </w:tcPr>
          <w:p>
            <w:pPr>
              <w:spacing w:after="0"/>
              <w:rPr>
                <w:sz w:val="18"/>
                <w:szCs w:val="18"/>
                <w:color w:val="auto"/>
              </w:rPr>
            </w:pPr>
          </w:p>
        </w:tc>
      </w:tr>
      <w:tr>
        <w:trPr>
          <w:trHeight w:val="216"/>
        </w:trPr>
        <w:tc>
          <w:tcPr>
            <w:tcW w:w="2060" w:type="dxa"/>
            <w:vAlign w:val="bottom"/>
            <w:gridSpan w:val="3"/>
          </w:tcPr>
          <w:p>
            <w:pPr>
              <w:ind w:left="40"/>
              <w:spacing w:after="0"/>
              <w:rPr>
                <w:sz w:val="20"/>
                <w:szCs w:val="20"/>
                <w:color w:val="auto"/>
              </w:rPr>
            </w:pPr>
            <w:r>
              <w:rPr>
                <w:rFonts w:ascii="Arial" w:cs="Arial" w:eastAsia="Arial" w:hAnsi="Arial"/>
                <w:sz w:val="18"/>
                <w:szCs w:val="18"/>
                <w:color w:val="auto"/>
              </w:rPr>
              <w:t>Andrew H. Everett II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0"/>
              </w:rPr>
              <w:t>Senior Vice President, General Counsel and Secretary since January 22, 2018. Prior to his appointment, Mr. Everett</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5"/>
              </w:rPr>
              <w:t>was an associate in the Global Corporate Group of Milbank LLP from 2008 until 2018. Mr. Everett received his</w:t>
            </w: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rPr>
              <w:t>J.D. from Boston College Law School and B.S. from Bentley University.</w:t>
            </w:r>
          </w:p>
        </w:tc>
        <w:tc>
          <w:tcPr>
            <w:tcW w:w="20" w:type="dxa"/>
            <w:vAlign w:val="bottom"/>
          </w:tcPr>
          <w:p>
            <w:pPr>
              <w:spacing w:after="0"/>
              <w:rPr>
                <w:sz w:val="20"/>
                <w:szCs w:val="20"/>
                <w:color w:val="auto"/>
              </w:rPr>
            </w:pPr>
          </w:p>
        </w:tc>
      </w:tr>
      <w:tr>
        <w:trPr>
          <w:trHeight w:val="648"/>
        </w:trPr>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80" w:type="dxa"/>
            <w:vAlign w:val="bottom"/>
            <w:gridSpan w:val="2"/>
          </w:tcPr>
          <w:p>
            <w:pPr>
              <w:jc w:val="right"/>
              <w:ind w:right="541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both"/>
        <w:ind w:left="1020" w:hanging="1011"/>
        <w:spacing w:after="0" w:line="282" w:lineRule="auto"/>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the Company’s Common Stock</w:t>
      </w:r>
    </w:p>
    <w:p>
      <w:pPr>
        <w:spacing w:after="0" w:line="20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SEACOR Marine’s Common Stock began trading on the NYSE on June 2, 2017 under the trading symbol “SMHI.” The last reported sales price on the Company’s Common Stock of March 4, 2022 was $5.44.</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March 4, 2022, there were 512 holders of record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The Company currently does not intend on paying any dividends for the foreseeable future. Any payment of future dividends will be at the discretion of SEACOR Marine’s Board of Directors and will depend upon, among other factors, the Company’s earnings, financial condition, current and anticipated capital requirements, plans for expansion, level of indebtedness and legal and contractual restrictions, including the provisions of the Company’s other then-existing indebtedness. The payment of future cash dividends, if any, would be made only from assets legally available.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with respect to purchases by the Company of shares of its Common Stock during the fourth quarter of 2021: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260" w:type="dxa"/>
            <w:vAlign w:val="bottom"/>
          </w:tcPr>
          <w:p>
            <w:pPr>
              <w:spacing w:after="0"/>
              <w:rPr>
                <w:sz w:val="18"/>
                <w:szCs w:val="18"/>
                <w:color w:val="auto"/>
              </w:rPr>
            </w:pPr>
          </w:p>
        </w:tc>
        <w:tc>
          <w:tcPr>
            <w:tcW w:w="2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 as</w:t>
            </w:r>
          </w:p>
        </w:tc>
        <w:tc>
          <w:tcPr>
            <w:tcW w:w="260" w:type="dxa"/>
            <w:vAlign w:val="bottom"/>
          </w:tcPr>
          <w:p>
            <w:pPr>
              <w:spacing w:after="0"/>
              <w:rPr>
                <w:sz w:val="18"/>
                <w:szCs w:val="18"/>
                <w:color w:val="auto"/>
              </w:rPr>
            </w:pPr>
          </w:p>
        </w:tc>
        <w:tc>
          <w:tcPr>
            <w:tcW w:w="2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Shares that may be</w:t>
            </w:r>
          </w:p>
        </w:tc>
      </w:tr>
      <w:tr>
        <w:trPr>
          <w:trHeight w:val="216"/>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112"/>
              <w:spacing w:after="0"/>
              <w:rPr>
                <w:sz w:val="20"/>
                <w:szCs w:val="20"/>
                <w:color w:val="auto"/>
              </w:rPr>
            </w:pPr>
            <w:r>
              <w:rPr>
                <w:rFonts w:ascii="Arial" w:cs="Arial" w:eastAsia="Arial" w:hAnsi="Arial"/>
                <w:sz w:val="18"/>
                <w:szCs w:val="18"/>
                <w:b w:val="1"/>
                <w:bCs w:val="1"/>
                <w:color w:val="auto"/>
              </w:rPr>
              <w:t>Total number of</w:t>
            </w: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a Publicly</w:t>
            </w:r>
          </w:p>
        </w:tc>
        <w:tc>
          <w:tcPr>
            <w:tcW w:w="260" w:type="dxa"/>
            <w:vAlign w:val="bottom"/>
          </w:tcPr>
          <w:p>
            <w:pPr>
              <w:spacing w:after="0"/>
              <w:rPr>
                <w:sz w:val="18"/>
                <w:szCs w:val="18"/>
                <w:color w:val="auto"/>
              </w:rPr>
            </w:pPr>
          </w:p>
        </w:tc>
        <w:tc>
          <w:tcPr>
            <w:tcW w:w="2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Purchased Under the</w:t>
            </w:r>
          </w:p>
        </w:tc>
      </w:tr>
      <w:tr>
        <w:trPr>
          <w:trHeight w:val="23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640" w:type="dxa"/>
            <w:vAlign w:val="bottom"/>
          </w:tcPr>
          <w:p>
            <w:pPr>
              <w:jc w:val="right"/>
              <w:ind w:right="132"/>
              <w:spacing w:after="0"/>
              <w:rPr>
                <w:sz w:val="20"/>
                <w:szCs w:val="20"/>
                <w:color w:val="auto"/>
              </w:rPr>
            </w:pPr>
            <w:r>
              <w:rPr>
                <w:rFonts w:ascii="Arial" w:cs="Arial" w:eastAsia="Arial" w:hAnsi="Arial"/>
                <w:sz w:val="18"/>
                <w:szCs w:val="18"/>
                <w:b w:val="1"/>
                <w:bCs w:val="1"/>
                <w:color w:val="auto"/>
              </w:rPr>
              <w:t>shares withheld</w:t>
            </w:r>
          </w:p>
        </w:tc>
        <w:tc>
          <w:tcPr>
            <w:tcW w:w="260" w:type="dxa"/>
            <w:vAlign w:val="bottom"/>
          </w:tcPr>
          <w:p>
            <w:pPr>
              <w:spacing w:after="0"/>
              <w:rPr>
                <w:sz w:val="20"/>
                <w:szCs w:val="20"/>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b w:val="1"/>
                <w:bCs w:val="1"/>
                <w:color w:val="auto"/>
              </w:rPr>
              <w:t>Average price per share</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0"/>
              </w:rPr>
              <w:t>Announced Plan</w:t>
            </w:r>
          </w:p>
        </w:tc>
        <w:tc>
          <w:tcPr>
            <w:tcW w:w="260" w:type="dxa"/>
            <w:vAlign w:val="bottom"/>
          </w:tcPr>
          <w:p>
            <w:pPr>
              <w:spacing w:after="0"/>
              <w:rPr>
                <w:sz w:val="20"/>
                <w:szCs w:val="20"/>
                <w:color w:val="auto"/>
              </w:rPr>
            </w:pPr>
          </w:p>
        </w:tc>
        <w:tc>
          <w:tcPr>
            <w:tcW w:w="2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Plan</w:t>
            </w:r>
          </w:p>
        </w:tc>
      </w:tr>
      <w:tr>
        <w:trPr>
          <w:trHeight w:val="223"/>
        </w:trPr>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October 1, 2021 to October 31, 2021</w:t>
            </w:r>
          </w:p>
        </w:tc>
        <w:tc>
          <w:tcPr>
            <w:tcW w:w="14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ind w:left="168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ind w:left="168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3100" w:type="dxa"/>
            <w:vAlign w:val="bottom"/>
            <w:gridSpan w:val="2"/>
          </w:tcPr>
          <w:p>
            <w:pPr>
              <w:spacing w:after="0"/>
              <w:rPr>
                <w:sz w:val="20"/>
                <w:szCs w:val="20"/>
                <w:color w:val="auto"/>
              </w:rPr>
            </w:pPr>
            <w:r>
              <w:rPr>
                <w:rFonts w:ascii="Arial" w:cs="Arial" w:eastAsia="Arial" w:hAnsi="Arial"/>
                <w:sz w:val="18"/>
                <w:szCs w:val="18"/>
                <w:color w:val="auto"/>
              </w:rPr>
              <w:t>November 1, 2021 to November 30,</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60" w:type="dxa"/>
            <w:vAlign w:val="bottom"/>
          </w:tcPr>
          <w:p>
            <w:pPr>
              <w:ind w:left="168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2000" w:type="dxa"/>
            <w:vAlign w:val="bottom"/>
            <w:gridSpan w:val="2"/>
          </w:tcPr>
          <w:p>
            <w:pPr>
              <w:ind w:left="1680"/>
              <w:spacing w:after="0"/>
              <w:rPr>
                <w:sz w:val="20"/>
                <w:szCs w:val="20"/>
                <w:color w:val="auto"/>
              </w:rPr>
            </w:pPr>
            <w:r>
              <w:rPr>
                <w:rFonts w:ascii="Arial" w:cs="Arial" w:eastAsia="Arial" w:hAnsi="Arial"/>
                <w:sz w:val="18"/>
                <w:szCs w:val="18"/>
                <w:color w:val="auto"/>
              </w:rPr>
              <w:t>—</w:t>
            </w:r>
          </w:p>
        </w:tc>
      </w:tr>
      <w:tr>
        <w:trPr>
          <w:trHeight w:val="215"/>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1, 2021 to December 31,</w:t>
            </w: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2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3.32</w:t>
            </w:r>
          </w:p>
        </w:tc>
        <w:tc>
          <w:tcPr>
            <w:tcW w:w="260" w:type="dxa"/>
            <w:vAlign w:val="bottom"/>
            <w:shd w:val="clear" w:color="auto" w:fill="CFF0FC"/>
          </w:tcPr>
          <w:p>
            <w:pPr>
              <w:spacing w:after="0"/>
              <w:rPr>
                <w:sz w:val="20"/>
                <w:szCs w:val="20"/>
                <w:color w:val="auto"/>
              </w:rPr>
            </w:pPr>
          </w:p>
        </w:tc>
        <w:tc>
          <w:tcPr>
            <w:tcW w:w="1860" w:type="dxa"/>
            <w:vAlign w:val="bottom"/>
            <w:tcBorders>
              <w:bottom w:val="single" w:sz="8" w:color="auto"/>
            </w:tcBorders>
            <w:shd w:val="clear" w:color="auto" w:fill="CFF0FC"/>
          </w:tcPr>
          <w:p>
            <w:pPr>
              <w:ind w:left="168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0"/>
                <w:szCs w:val="20"/>
                <w:color w:val="auto"/>
              </w:rPr>
            </w:pPr>
          </w:p>
        </w:tc>
        <w:tc>
          <w:tcPr>
            <w:tcW w:w="2000" w:type="dxa"/>
            <w:vAlign w:val="bottom"/>
            <w:gridSpan w:val="2"/>
            <w:shd w:val="clear" w:color="auto" w:fill="CFF0FC"/>
          </w:tcPr>
          <w:p>
            <w:pPr>
              <w:ind w:left="1680"/>
              <w:spacing w:after="0"/>
              <w:rPr>
                <w:sz w:val="20"/>
                <w:szCs w:val="20"/>
                <w:color w:val="auto"/>
              </w:rPr>
            </w:pPr>
            <w:r>
              <w:rPr>
                <w:rFonts w:ascii="Arial" w:cs="Arial" w:eastAsia="Arial" w:hAnsi="Arial"/>
                <w:sz w:val="18"/>
                <w:szCs w:val="18"/>
                <w:color w:val="auto"/>
              </w:rPr>
              <w:t>—</w:t>
            </w:r>
          </w:p>
        </w:tc>
      </w:tr>
    </w:tbl>
    <w:p>
      <w:pPr>
        <w:spacing w:after="0" w:line="3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December 31, 2021, the Company acquired for treasury 149 shares of Common Stock for an aggregate purchase price of $494.68 from investment funds managed and controlled by The Carlyle Group (“Carlyle”) to satisfy the exercise price of the Warrants exercised by Carlyle.</w:t>
      </w:r>
    </w:p>
    <w:p>
      <w:pPr>
        <w:spacing w:after="0" w:line="18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below presents the Company’s operating results for each of the three years in the period ended December 31, 2021, and its financial condition as of December 31, 2021 and 2020. Certain statements in this Management’s Discussion and Analysis of Financial Condition and Results of Operations constitute forward looking statements. See “Forward Looking Statements” included elsewhere in this Annual Report on Form 10-K.</w:t>
      </w:r>
    </w:p>
    <w:p>
      <w:pPr>
        <w:spacing w:after="0" w:line="16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following MD&amp;A is intended to help the reader understand the results of operations and financial condition of the Company. The MD&amp;A is provided as a supplement to, and should be read in conjunction with, the consolidated financial statements and related notes included in Part IV of this Annual Report on Form 10-K and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Company provides global marine and support transportation services to offshore energy facilities worldwide. As of December 31, 2021, the Company and its joint ventures operated a diverse fleet of 81 support and specialty vessels, of which 60 were owned or leased-in, 20 were joint-ventured, and one was managed on behalf of unaffiliated third-parties. The primary users of the Company’s services are major integrated oil companies, large independent oil and natural gas exploration and production companies and emerging independent companies, as well as windfarm operations and installation contractors.</w:t>
      </w:r>
    </w:p>
    <w:p>
      <w:pPr>
        <w:spacing w:after="0" w:line="16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Company and its joint ventures operate and manage a diverse fleet of offshore support vessels that (i) deliver cargo and personnel to offshore installations including wind farms, (ii) handle anchors and mooring equipment required to tether rigs to the seabed, and assist in placing them on location and moving them between regions, (iii) provide construction, well work-over, maintenance and decommissioning support and (iv) carry and launch equipment used underwater in drilling and well installation, maintenance, inspection and repair. Additionally, the Company’s vessels provide accommodations for technicians and specialists.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OSV Partners</w:t>
      </w:r>
      <w:r>
        <w:rPr>
          <w:rFonts w:ascii="Arial" w:cs="Arial" w:eastAsia="Arial" w:hAnsi="Arial"/>
          <w:sz w:val="18"/>
          <w:szCs w:val="18"/>
          <w:color w:val="auto"/>
        </w:rPr>
        <w:t>. SEACOR OSV PARTNERS I LP., a Delaware limited partnership (“OSV Partners I”), was a joint venture that owned and operated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five PSVs for which the Company acted as one of the general partners and also held a limited partnership interest in. On December 31, 2021, pursuant an agreement and plan of merger (the “Merger Agreement”) among SEACOR Marine, SEACOR Offshore OSV LLC, a Delaware limited liability company and an indirect wholly-owned subsidiary of the Company (“SEACOR Offshore OSV”) and OSV Partners I, OSV Partners I merged with and into SEACOR Offshore OSV with SEACOR Offshore OSV surviving the merger (the “Merger”).</w:t>
      </w:r>
    </w:p>
    <w:p>
      <w:pPr>
        <w:spacing w:after="0" w:line="180"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In connection with the consummation of the Merger, the Company issued an aggregate of 1,567,935 shares of common stock of the Company, par value $0.01 per share (the “Common Stock”), as follows:</w:t>
      </w:r>
    </w:p>
    <w:p>
      <w:pPr>
        <w:spacing w:after="0" w:line="170" w:lineRule="exact"/>
        <w:rPr>
          <w:sz w:val="20"/>
          <w:szCs w:val="20"/>
          <w:color w:val="auto"/>
        </w:rPr>
      </w:pPr>
    </w:p>
    <w:p>
      <w:pPr>
        <w:ind w:left="1500" w:hanging="750"/>
        <w:spacing w:after="0" w:line="277" w:lineRule="auto"/>
        <w:tabs>
          <w:tab w:leader="none" w:pos="1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531,872 shares of Common Stock as consideration for the Merger paid to OSV Partners I’s limited partners (other than the Company and its subsidiaries), and</w:t>
      </w:r>
    </w:p>
    <w:p>
      <w:pPr>
        <w:spacing w:after="0" w:line="170" w:lineRule="exact"/>
        <w:rPr>
          <w:rFonts w:ascii="Arial" w:cs="Arial" w:eastAsia="Arial" w:hAnsi="Arial"/>
          <w:sz w:val="18"/>
          <w:szCs w:val="18"/>
          <w:color w:val="auto"/>
        </w:rPr>
      </w:pPr>
    </w:p>
    <w:p>
      <w:pPr>
        <w:jc w:val="both"/>
        <w:ind w:left="1500" w:hanging="750"/>
        <w:spacing w:after="0" w:line="263" w:lineRule="auto"/>
        <w:tabs>
          <w:tab w:leader="none" w:pos="1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1,036,063 shares of Common Stock as payment to settle all amounts and other obligations outstanding under the Subordinated PIK Loan Agreement, dated September 28, 2018 (as amended on December 22, 2021, the “PIK Loan Agreement”) and paid to the former lenders thereunder (all of whom were limited partners of OSV Partners I).</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connection with the Merger, the Company and SEACOR Offshore OSV assumed and guaranteed approximately $18.1 million of OSV Partners I’s third-party indebtedness outstanding under the amended and restated senior secured term loan credit facility agreement dated as of September 28, 2018 (as amended, restated, amended and restated or otherwise modified, the “OSV Credit Facility”), by and among OSV Partners I and lenders and other parties thereto.</w:t>
      </w:r>
    </w:p>
    <w:p>
      <w:pPr>
        <w:spacing w:after="0" w:line="18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As a result of the Merger, the five 201’, 1,900 tons deadweight capacity, PSVs owned by OSV Partners I are now 100% owned by the Company, bringing the Company’s owned PSV fleet to 20. Of the five PSVs previously owned by OSV Partners I, three are U.S. flagged and currently located in the Gulf of Mexico, and two are Marshall Island flagged and currently located in the Middle East. As of December 31, 2021, these five PSVs had an average age of seven years.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Trends Affecting the Offshore Marine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Gas Prices</w:t>
      </w:r>
    </w:p>
    <w:p>
      <w:pPr>
        <w:spacing w:after="0" w:line="18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The market for offshore oil and natural gas drilling has historically been cyclical. Demand for offshore support vessels is highly correlated to the price of oil and natural gas as those prices significantly impact the Company’s customers’ exploration and drilling activity levels. Oil and natural gas prices tend to fluctuate based on many factors, including global economic activity, levels of reserves and production activity. Price levels for oil and natural gas have and will continue to influence demand for offshore marine services. In addition to the price of oil and natural gas, the availability of acreage, local tax incentives or disincentives, drilling moratoriums and other regulatory actions, and requirements for maintaining interests in leases affect activity in the offshore oil and natural gas industry. Factors that influence the level of offshore exploration and drilling activities include:</w:t>
      </w:r>
    </w:p>
    <w:p>
      <w:pPr>
        <w:spacing w:after="0" w:line="137" w:lineRule="exact"/>
        <w:rPr>
          <w:sz w:val="20"/>
          <w:szCs w:val="20"/>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expectations as to future oil and natural gas commodity prices;</w:t>
      </w:r>
    </w:p>
    <w:p>
      <w:pPr>
        <w:spacing w:after="0" w:line="211"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customer assessments of offshore drilling prospects compared with land-based opportunities, including newer or unconventional opportunities such as shale;</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expectations as to the future demand for oil and natural gas in the context of the transition to non-hydrocarbon based sources of energy;</w:t>
      </w:r>
    </w:p>
    <w:p>
      <w:pPr>
        <w:spacing w:after="0" w:line="234" w:lineRule="exact"/>
        <w:rPr>
          <w:rFonts w:ascii="Arial" w:cs="Arial" w:eastAsia="Arial" w:hAnsi="Arial"/>
          <w:sz w:val="16"/>
          <w:szCs w:val="16"/>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customer assessments of cost, geological opportunity and political stability in host countries;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worldwide demand for oil and natural gas;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or willingness of OPEC to set and maintain production levels and pricing;</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regional conflicts in oil producing regions;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oil and natural gas production by non-OPEC countries;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relative exchange rates for the U.S. dollar; and</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various U.S. and international government policies regarding exploration and development of oil and natural gas reserves.</w:t>
      </w:r>
    </w:p>
    <w:p>
      <w:pPr>
        <w:spacing w:after="0" w:line="21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Offshore oil and natural gas market conditions are highly volatile. Prices deteriorated beginning in the second half of 2014 and continued to deteriorate when oil prices hit a thirteen-year low of less than $27 per barrel (on the New York Mercantile Exchange) in February 2016. Oil prices were as high as $76 per barrel in October 2018 but experienced unprecedented volatility during 2020 as a result of the COVID-19 pandemic and the related effects on the global economy, including going negative for a short period of time. Oil prices have steadily increased since the lows hit at the beginning of the COVID-19 pandemic and recently hit a multi-year high primarily as a result of the conflict between Russia and Ukraine in March of 2022 as oil prices reached $116 per barrel. While the Company has experienced difficult market conditions over the past few years due to low oil and natural gas prices and the focus of oil and natural gas producing companies on cost and capital spending budget reductions, the recent increase in oil and natural gas prices has led to an increase in utilization, day rates and customer inquiries about potential new charters.</w:t>
      </w:r>
    </w:p>
    <w:p>
      <w:pPr>
        <w:spacing w:after="0" w:line="15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Company’s operations and financial results were adversely affected by the COVID-19 pandemic as a result of decreased demand and the increase in costs due to operational changes enacted to enhance crew and on-shore employee safety. However, the Company believes that it has sufficient liquidity to meet its obligations for the foreseeable future. We are closely monitoring updates regarding the spread of COVID-19 and its variants, the distribution of vaccines developed to combat COVID-19, emerging governmental and other vaccine mandates and testing requirements, as well as the willingness of our employees to comply with such mandates and requirements. We are adjusting our operations according to guidelines from local, state and federal officials.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Supply Dynamics and Other Industry Drivers</w:t>
      </w:r>
    </w:p>
    <w:p>
      <w:pPr>
        <w:spacing w:after="0" w:line="185"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Low oil prices and the subsequent decline in offshore exploration have forced many operators in the industry to restructure or liquidate assets. The Company continues to closely monitor the delivery of newly built offshore support vessels to the industry-wide fleet, which in the recent past contributed to an oversaturated market, thereby further lowering the demand for the Company’s existing offshore support vessel fleet. A continuation of (i) low customer exploration and drilling activity levels, and (ii) continued excess supply of offshore support vessels whether from laid up fleets or newly built vessels could, in isolation or together, have a material adverse effect on the Company’s business, financial position, results of operations, cash flows and growth prospects.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3" w:name="page44"/>
    <w:bookmarkEnd w:id="43"/>
    <w:p>
      <w:pPr>
        <w:jc w:val="both"/>
        <w:ind w:firstLine="749"/>
        <w:spacing w:after="0" w:line="273" w:lineRule="auto"/>
        <w:rPr>
          <w:sz w:val="20"/>
          <w:szCs w:val="20"/>
          <w:color w:val="auto"/>
        </w:rPr>
      </w:pPr>
      <w:r>
        <w:rPr>
          <w:rFonts w:ascii="Arial" w:cs="Arial" w:eastAsia="Arial" w:hAnsi="Arial"/>
          <w:sz w:val="17"/>
          <w:szCs w:val="17"/>
          <w:color w:val="auto"/>
        </w:rPr>
        <w:t>Certain macro drivers somewhat independent of oil and natural gas prices may support the Company’s business, including: (i) underspending by oil and gas producers during the recent industry downturn leading to pent up demand for maintenance and growth capital expenditures; and (ii) improved extraction technologies. While we expect that alternative forms of energy will continue to grow and add to the world’s energy mix especially as governments, supranational groups and various other parties focus on climate change causes and concerns, the Company believes that for the foreseeable future demand for gasoline and oil will be sustained, as will demand for electricity from natural gas. Some alternative forms of energy such as offshore wind facilities have the potential to support, in part, the Company’s business.</w:t>
      </w:r>
    </w:p>
    <w:p>
      <w:pPr>
        <w:spacing w:after="0" w:line="151"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6"/>
          <w:szCs w:val="16"/>
          <w:color w:val="auto"/>
        </w:rPr>
        <w:t>The Company adheres to a strategy of cold-stacking vessels (removing from active service) during periods of weak utilization in order to reduce the daily running costs of operating the fleet, primarily personnel, repairs and maintenance costs, as well as to defer some drydocking costs into future periods. The Company considers various factors in determining which vessels to cold-stack, including upcoming dates for regulatory vessel inspections and related docking requirements. The Company may maintain class certification on certain cold-stacked vessels, thereby incurring some drydocking costs while cold-stacked. Cold-stacked vessels are returned to active service when market conditions improve, or management anticipates improvement, typically leading to increased costs for drydocking, personnel, repair and maintenance in the periods immediately preceding the vessels’ return to active service. Depending on market conditions, vessels with similar characteristics and capabilities may be rotated between active service and cold-stack. On an ongoing basis, the Company reviews its cold-stacked vessels to determine if any should be designated as retired and removed from service based on the vessel’s physical condition, the expected costs to reactivate and restore class certification, if any, and its viability to operate within current and projected market conditions. As of December 31, 2021, five of the Company’s 60 owned and leased-in in-service vessels were cold-stacked worldwide.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Components of Revenues and Expenses</w:t>
      </w:r>
    </w:p>
    <w:p>
      <w:pPr>
        <w:spacing w:after="0" w:line="189"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The Company operates its fleet in four principal geographic regions: the U.S., primarily in the Gulf of Mexico; Africa and Europe; the Middle East and Asia; and Latin America, primarily in Mexico, Brazil and Guyana. The Company’s vessels are highly mobile and regularly and routinely move between countries within a geographic region. In addition, the Company’s vessels are redeployed among geographic regions, subject to flag restrictions, as changes in market conditions dictate. The number and type of vessels operated, their rates per day worked and their utilization levels are the key determinants of the Company’s operating results and cash flows. Unless a vessel is cold-stacked, there is little reduction in daily running costs for the vessels and, consequently, operating margins are most sensitive to changes in rates per day worked and utilization. The Company manages its fleet utilizing a global network of shore side support, administrative and finance personnel.</w:t>
      </w:r>
    </w:p>
    <w:p>
      <w:pPr>
        <w:spacing w:after="0" w:line="150"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Time charter statistics are the key performance indicators for the Company’s time charter revenues. The rate per day worked is the ratio of total time charter revenues to the aggregate number of days worked. Utilization is the ratio of aggregate number of days worked to total available days for all vessels available for time charter. Unless vessels have been retired and removed from service, available days represents the total calendar days for which vessels available for time charter were owned or leased-in by the Company, whether marketed, under repair, cold-stacked or otherwise out-of-service.</w:t>
      </w:r>
    </w:p>
    <w:p>
      <w:pPr>
        <w:spacing w:after="0" w:line="117"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b w:val="1"/>
          <w:bCs w:val="1"/>
          <w:i w:val="1"/>
          <w:iCs w:val="1"/>
          <w:color w:val="auto"/>
        </w:rPr>
        <w:t xml:space="preserve">Operating Revenues. </w:t>
      </w:r>
      <w:r>
        <w:rPr>
          <w:rFonts w:ascii="Arial" w:cs="Arial" w:eastAsia="Arial" w:hAnsi="Arial"/>
          <w:sz w:val="17"/>
          <w:szCs w:val="17"/>
          <w:color w:val="auto"/>
        </w:rPr>
        <w:t>The Company generates revenues by providing services to customers primarily pursuant to two different types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contractual arrangements: time charters and bareboat charters. Under a time charter, the Company provides a vessel to a customer and is responsible for all operating expenses, typically excluding fuel. Under a bareboat charter, the Company provides a vessel to a customer and the customer assumes responsibility for all operating expenses and all risks of operation. Vessel charters may range from several days to several years.</w:t>
      </w:r>
    </w:p>
    <w:p>
      <w:pPr>
        <w:spacing w:after="0" w:line="131" w:lineRule="exact"/>
        <w:rPr>
          <w:sz w:val="20"/>
          <w:szCs w:val="20"/>
          <w:color w:val="auto"/>
        </w:rPr>
      </w:pPr>
    </w:p>
    <w:p>
      <w:pPr>
        <w:jc w:val="both"/>
        <w:ind w:right="20" w:firstLine="749"/>
        <w:spacing w:after="0" w:line="308" w:lineRule="auto"/>
        <w:rPr>
          <w:sz w:val="20"/>
          <w:szCs w:val="20"/>
          <w:color w:val="auto"/>
        </w:rPr>
      </w:pPr>
      <w:r>
        <w:rPr>
          <w:rFonts w:ascii="Arial" w:cs="Arial" w:eastAsia="Arial" w:hAnsi="Arial"/>
          <w:sz w:val="17"/>
          <w:szCs w:val="17"/>
          <w:b w:val="1"/>
          <w:bCs w:val="1"/>
          <w:i w:val="1"/>
          <w:iCs w:val="1"/>
          <w:color w:val="auto"/>
        </w:rPr>
        <w:t xml:space="preserve">Direct Operating Expenses. </w:t>
      </w:r>
      <w:r>
        <w:rPr>
          <w:rFonts w:ascii="Arial" w:cs="Arial" w:eastAsia="Arial" w:hAnsi="Arial"/>
          <w:sz w:val="17"/>
          <w:szCs w:val="17"/>
          <w:color w:val="auto"/>
        </w:rPr>
        <w:t>The aggregate cost of operating the Company’s fleet depends primarily on the size and asset mix of the fleet.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direct operating costs and expenses, other than leased-in equipment expense, are grouped into the following categories:</w:t>
      </w:r>
    </w:p>
    <w:p>
      <w:pPr>
        <w:spacing w:after="0" w:line="119" w:lineRule="exact"/>
        <w:rPr>
          <w:sz w:val="20"/>
          <w:szCs w:val="20"/>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personnel (primarily wages, benefits, payroll taxes, savings plans and travel for marine personnel);</w:t>
      </w:r>
    </w:p>
    <w:p>
      <w:pPr>
        <w:spacing w:after="0" w:line="211"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repairs and maintenance (primarily routine repairs and maintenance and main engine overhauls that are performed in accordance with planned maintenance programs);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drydocking (primarily the cost of regulatory drydockings performed in accordance with applicable regulations);</w:t>
      </w:r>
    </w:p>
    <w:p>
      <w:pPr>
        <w:spacing w:after="0" w:line="211"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insurance and loss reserves (primarily the cost of Hull and Machinery and Protection and Indemnity insurance premiums and loss deductibles);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fuel, lubes and supplies; and</w:t>
      </w:r>
    </w:p>
    <w:p>
      <w:pPr>
        <w:spacing w:after="0" w:line="211"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(communication costs, expenses incurred in mobilizing vessels between geographic regions, third-party ship management fees, freight expenses, customs and importation duties and other).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4" w:name="page45"/>
    <w:bookmarkEnd w:id="44"/>
    <w:p>
      <w:pPr>
        <w:jc w:val="both"/>
        <w:ind w:firstLine="749"/>
        <w:spacing w:after="0" w:line="263" w:lineRule="auto"/>
        <w:rPr>
          <w:sz w:val="20"/>
          <w:szCs w:val="20"/>
          <w:color w:val="auto"/>
        </w:rPr>
      </w:pPr>
      <w:r>
        <w:rPr>
          <w:rFonts w:ascii="Arial" w:cs="Arial" w:eastAsia="Arial" w:hAnsi="Arial"/>
          <w:sz w:val="18"/>
          <w:szCs w:val="18"/>
          <w:color w:val="auto"/>
        </w:rPr>
        <w:t>The Company expenses drydocking, engine overhaul and vessel mobilization costs as incurred. If a disproportionate number of drydockings, overhauls or mobilizations are undertaken in a particular fiscal year or quarter, operating expenses may vary significantly when compared with the prior year or prior quarter.</w:t>
      </w:r>
    </w:p>
    <w:p>
      <w:pPr>
        <w:spacing w:after="0" w:line="157"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b w:val="1"/>
          <w:bCs w:val="1"/>
          <w:i w:val="1"/>
          <w:iCs w:val="1"/>
          <w:color w:val="auto"/>
        </w:rPr>
        <w:t xml:space="preserve">Direct Vessel Profit. </w:t>
      </w:r>
      <w:r>
        <w:rPr>
          <w:rFonts w:ascii="Arial" w:cs="Arial" w:eastAsia="Arial" w:hAnsi="Arial"/>
          <w:sz w:val="16"/>
          <w:szCs w:val="16"/>
          <w:color w:val="auto"/>
        </w:rPr>
        <w:t>Direct vessel profit (defined as operating revenues less operating expenses excluding leased-in equipment, “DVP”) is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measure of segment profitability. DVP is a critical financial measure used by the Company to analyze and compare the operating performance of its regions, without regard to financing decisions (depreciation and interest expense for owned vessels vs. lease expense for leased-in vessels).</w:t>
      </w:r>
    </w:p>
    <w:p>
      <w:pPr>
        <w:spacing w:after="0" w:line="108" w:lineRule="exact"/>
        <w:rPr>
          <w:sz w:val="20"/>
          <w:szCs w:val="20"/>
          <w:color w:val="auto"/>
        </w:rPr>
      </w:pPr>
    </w:p>
    <w:p>
      <w:pPr>
        <w:jc w:val="both"/>
        <w:ind w:right="20" w:firstLine="749"/>
        <w:spacing w:after="0" w:line="342" w:lineRule="auto"/>
        <w:rPr>
          <w:sz w:val="20"/>
          <w:szCs w:val="20"/>
          <w:color w:val="auto"/>
        </w:rPr>
      </w:pPr>
      <w:r>
        <w:rPr>
          <w:rFonts w:ascii="Arial" w:cs="Arial" w:eastAsia="Arial" w:hAnsi="Arial"/>
          <w:sz w:val="16"/>
          <w:szCs w:val="16"/>
          <w:b w:val="1"/>
          <w:bCs w:val="1"/>
          <w:i w:val="1"/>
          <w:iCs w:val="1"/>
          <w:color w:val="auto"/>
        </w:rPr>
        <w:t xml:space="preserve">Leased-in Equipment. </w:t>
      </w:r>
      <w:r>
        <w:rPr>
          <w:rFonts w:ascii="Arial" w:cs="Arial" w:eastAsia="Arial" w:hAnsi="Arial"/>
          <w:sz w:val="16"/>
          <w:szCs w:val="16"/>
          <w:color w:val="auto"/>
        </w:rPr>
        <w:t>In addition to the Company’s owned fleet, it operates leased-in vessels from lessors under bareboat charter arrangements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currently expire in 2023. Certain of these vessels were previously owned and subject of sale and leaseback transactions with their lessors.</w:t>
      </w:r>
    </w:p>
    <w:p>
      <w:pPr>
        <w:spacing w:after="0" w:line="83"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b w:val="1"/>
          <w:bCs w:val="1"/>
          <w:i w:val="1"/>
          <w:iCs w:val="1"/>
          <w:color w:val="auto"/>
        </w:rPr>
        <w:t xml:space="preserve">Impairments. </w:t>
      </w:r>
      <w:r>
        <w:rPr>
          <w:rFonts w:ascii="Arial" w:cs="Arial" w:eastAsia="Arial" w:hAnsi="Arial"/>
          <w:sz w:val="18"/>
          <w:szCs w:val="18"/>
          <w:color w:val="auto"/>
        </w:rPr>
        <w:t>As a result of the difficult conditions experienced in the offshore oil and natural gas markets beginning in the second half of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corresponding reductions in utilization and rates per day worked of its fleet, the Company identified indicators of impairment and has over the past few years recognized impairment charges primarily associated with its AHTS fleet, its liftboat fleet, certain specialty vessels and vessels removed from service. When reviewing its fleet for impairment, the Company groups vessels with similar operating and marketing characteristics, including cold-stacked vessels expected to return to active service, into vessel classes. All other vessels, including vessels retired and removed from service, are evaluated for impairment on a vessel by vessel basis.</w:t>
      </w:r>
    </w:p>
    <w:p>
      <w:pPr>
        <w:spacing w:after="0" w:line="165"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During 2021, the Company recorded no impairment charges associated with its fleet. During 2020, the Company recorded impairment charges of $13.5 million associated with its liftboat fleet (five owned and two leased-in vessels), and one specialty vessel and recognized net losses of $5.3 million as a result of asset disposals ($4.8 million loss due to the disposal of one vessel under construction, and $0.5 million loss due to the redelivery of one leased-in AHTS vessel and one leased-in liftboat). During 2019, the Company recorded impairment charges of $12.0 million primarily associated with its AHTS fleet (four owned and one leased-in vessel), four FSVs and one leased-in specialty vessel. Estimated fair values for the Company’s owned vessels were established by independent appraisers and other market data such as recent sales of similar vessels. For information regarding the Company’s vessel fair value measurement determinations, see “Note 11. Fair Value Measurements” in the audited consolidated financial statements included elsewhere in this Annual Report on Form 10-K. If market conditions continue to decline from the presently depressed utilization and rates per day worked experienced over the last three years, fair values based on future appraisals could decline significantly.</w:t>
      </w:r>
    </w:p>
    <w:p>
      <w:pPr>
        <w:spacing w:after="0" w:line="12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The Company’s other vessel classes and other individual vessels in active service and cold-stacked status, for which no impairment was deemed necessary, have generally experienced a less severe decline in utilization and rates per day worked based on specific market factors. The market factors include vessels with more general utility to a broader range of customers (e.g., FSVs), vessels required for customers to meet regulatory mandates and operating under multiple year contracts or vessels that service customers outside of the offshore oil and natural gas market.</w:t>
      </w:r>
    </w:p>
    <w:p>
      <w:pPr>
        <w:spacing w:after="0" w:line="13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For vessel classes and individual vessels with indicators of impairment, but which were not impaired as of December 31, 2021, the Company has estimated that their future undiscounted cash flows exceed their current carrying values by more than 40%. The Company’s estimates of future undiscounted cash flows are highly subjective as utilization and rates per day worked are uncertain, including the timing of an estimated market recovery in the offshore oil and natural gas markets and the timing and cost of reactivating cold-stacked vessels. If market conditions decline further, or remain stagnant at current levels, changes in the Company’s expectations on future cash flows may result in recognizing additional impairment charges related to its long-lived assets in future periods.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For the years ended December 31, the Company’s consolidated results of operations were as follows (in thousands, except statistics):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Time Charter Statistics:</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60"/>
              <w:spacing w:after="0"/>
              <w:rPr>
                <w:sz w:val="20"/>
                <w:szCs w:val="20"/>
                <w:color w:val="auto"/>
              </w:rPr>
            </w:pPr>
            <w:r>
              <w:rPr>
                <w:rFonts w:ascii="Arial" w:cs="Arial" w:eastAsia="Arial" w:hAnsi="Arial"/>
                <w:sz w:val="18"/>
                <w:szCs w:val="18"/>
                <w:color w:val="auto"/>
              </w:rPr>
              <w:t>Average Rates Per Day</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11,712</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10,905</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10,369</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Fleet Utilization</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w:t>
            </w: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55%</w:t>
            </w: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60%</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60"/>
              <w:spacing w:after="0"/>
              <w:rPr>
                <w:sz w:val="20"/>
                <w:szCs w:val="20"/>
                <w:color w:val="auto"/>
              </w:rPr>
            </w:pPr>
            <w:r>
              <w:rPr>
                <w:rFonts w:ascii="Arial" w:cs="Arial" w:eastAsia="Arial" w:hAnsi="Arial"/>
                <w:sz w:val="18"/>
                <w:szCs w:val="18"/>
                <w:color w:val="auto"/>
              </w:rPr>
              <w:t>Fleet Available Days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20,850</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22,250</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25,306</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Time charter</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159,835</w:t>
            </w:r>
          </w:p>
        </w:tc>
        <w:tc>
          <w:tcPr>
            <w:tcW w:w="2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133,454</w:t>
            </w:r>
          </w:p>
        </w:tc>
        <w:tc>
          <w:tcPr>
            <w:tcW w:w="5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157,052</w:t>
            </w:r>
          </w:p>
        </w:tc>
        <w:tc>
          <w:tcPr>
            <w:tcW w:w="5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Bareboat charter</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4,033</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2,855</w:t>
            </w:r>
          </w:p>
        </w:tc>
        <w:tc>
          <w:tcPr>
            <w:tcW w:w="5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5,131</w:t>
            </w:r>
          </w:p>
        </w:tc>
        <w:tc>
          <w:tcPr>
            <w:tcW w:w="5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marine services</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7,073</w:t>
            </w:r>
          </w:p>
        </w:tc>
        <w:tc>
          <w:tcPr>
            <w:tcW w:w="2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5,528</w:t>
            </w:r>
          </w:p>
        </w:tc>
        <w:tc>
          <w:tcPr>
            <w:tcW w:w="5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12,270</w:t>
            </w:r>
          </w:p>
        </w:tc>
        <w:tc>
          <w:tcPr>
            <w:tcW w:w="58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4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170,941</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141,837</w:t>
            </w:r>
          </w:p>
        </w:tc>
        <w:tc>
          <w:tcPr>
            <w:tcW w:w="5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174,453</w:t>
            </w:r>
          </w:p>
        </w:tc>
        <w:tc>
          <w:tcPr>
            <w:tcW w:w="5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Costs and Expenses: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500"/>
              <w:spacing w:after="0"/>
              <w:rPr>
                <w:sz w:val="20"/>
                <w:szCs w:val="20"/>
                <w:color w:val="auto"/>
              </w:rPr>
            </w:pPr>
            <w:r>
              <w:rPr>
                <w:rFonts w:ascii="Arial" w:cs="Arial" w:eastAsia="Arial" w:hAnsi="Arial"/>
                <w:sz w:val="18"/>
                <w:szCs w:val="18"/>
                <w:color w:val="auto"/>
              </w:rPr>
              <w:t>Personnel</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59,920</w:t>
            </w:r>
          </w:p>
        </w:tc>
        <w:tc>
          <w:tcPr>
            <w:tcW w:w="2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48,348</w:t>
            </w:r>
          </w:p>
        </w:tc>
        <w:tc>
          <w:tcPr>
            <w:tcW w:w="5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55,975</w:t>
            </w:r>
          </w:p>
        </w:tc>
        <w:tc>
          <w:tcPr>
            <w:tcW w:w="5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Repairs and maintenance</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24,117</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14,661</w:t>
            </w:r>
          </w:p>
        </w:tc>
        <w:tc>
          <w:tcPr>
            <w:tcW w:w="5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21,401</w:t>
            </w:r>
          </w:p>
        </w:tc>
        <w:tc>
          <w:tcPr>
            <w:tcW w:w="5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340" w:type="dxa"/>
            <w:vAlign w:val="bottom"/>
          </w:tcPr>
          <w:p>
            <w:pPr>
              <w:ind w:left="500"/>
              <w:spacing w:after="0"/>
              <w:rPr>
                <w:sz w:val="20"/>
                <w:szCs w:val="20"/>
                <w:color w:val="auto"/>
              </w:rPr>
            </w:pPr>
            <w:r>
              <w:rPr>
                <w:rFonts w:ascii="Arial" w:cs="Arial" w:eastAsia="Arial" w:hAnsi="Arial"/>
                <w:sz w:val="18"/>
                <w:szCs w:val="18"/>
                <w:color w:val="auto"/>
              </w:rPr>
              <w:t>Drydocking</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6,347</w:t>
            </w:r>
          </w:p>
        </w:tc>
        <w:tc>
          <w:tcPr>
            <w:tcW w:w="2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4,269</w:t>
            </w:r>
          </w:p>
        </w:tc>
        <w:tc>
          <w:tcPr>
            <w:tcW w:w="5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5,848</w:t>
            </w:r>
          </w:p>
        </w:tc>
        <w:tc>
          <w:tcPr>
            <w:tcW w:w="5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Insurance and loss reserves</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8,667</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5,763</w:t>
            </w:r>
          </w:p>
        </w:tc>
        <w:tc>
          <w:tcPr>
            <w:tcW w:w="5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5,622</w:t>
            </w:r>
          </w:p>
        </w:tc>
        <w:tc>
          <w:tcPr>
            <w:tcW w:w="5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340" w:type="dxa"/>
            <w:vAlign w:val="bottom"/>
          </w:tcPr>
          <w:p>
            <w:pPr>
              <w:ind w:left="500"/>
              <w:spacing w:after="0"/>
              <w:rPr>
                <w:sz w:val="20"/>
                <w:szCs w:val="20"/>
                <w:color w:val="auto"/>
              </w:rPr>
            </w:pPr>
            <w:r>
              <w:rPr>
                <w:rFonts w:ascii="Arial" w:cs="Arial" w:eastAsia="Arial" w:hAnsi="Arial"/>
                <w:sz w:val="18"/>
                <w:szCs w:val="18"/>
                <w:color w:val="auto"/>
              </w:rPr>
              <w:t>Fuel, lubes and supplies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12,033</w:t>
            </w:r>
          </w:p>
        </w:tc>
        <w:tc>
          <w:tcPr>
            <w:tcW w:w="2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8,128</w:t>
            </w:r>
          </w:p>
        </w:tc>
        <w:tc>
          <w:tcPr>
            <w:tcW w:w="5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10,622</w:t>
            </w:r>
          </w:p>
        </w:tc>
        <w:tc>
          <w:tcPr>
            <w:tcW w:w="5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16,322</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9,976</w:t>
            </w:r>
          </w:p>
        </w:tc>
        <w:tc>
          <w:tcPr>
            <w:tcW w:w="5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10,055</w:t>
            </w:r>
          </w:p>
        </w:tc>
        <w:tc>
          <w:tcPr>
            <w:tcW w:w="5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127,406</w:t>
            </w:r>
          </w:p>
        </w:tc>
        <w:tc>
          <w:tcPr>
            <w:tcW w:w="2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91,145</w:t>
            </w:r>
          </w:p>
        </w:tc>
        <w:tc>
          <w:tcPr>
            <w:tcW w:w="5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109,523</w:t>
            </w:r>
          </w:p>
        </w:tc>
        <w:tc>
          <w:tcPr>
            <w:tcW w:w="5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expense - operating</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6,085</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7,525</w:t>
            </w:r>
          </w:p>
        </w:tc>
        <w:tc>
          <w:tcPr>
            <w:tcW w:w="5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15,840</w:t>
            </w:r>
          </w:p>
        </w:tc>
        <w:tc>
          <w:tcPr>
            <w:tcW w:w="5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Administrative and general</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37,639</w:t>
            </w:r>
          </w:p>
        </w:tc>
        <w:tc>
          <w:tcPr>
            <w:tcW w:w="2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40,051</w:t>
            </w:r>
          </w:p>
        </w:tc>
        <w:tc>
          <w:tcPr>
            <w:tcW w:w="5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39,791</w:t>
            </w:r>
          </w:p>
        </w:tc>
        <w:tc>
          <w:tcPr>
            <w:tcW w:w="5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57,395</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57,167</w:t>
            </w:r>
          </w:p>
        </w:tc>
        <w:tc>
          <w:tcPr>
            <w:tcW w:w="5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57,166</w:t>
            </w:r>
          </w:p>
        </w:tc>
        <w:tc>
          <w:tcPr>
            <w:tcW w:w="5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228,525</w:t>
            </w:r>
          </w:p>
        </w:tc>
        <w:tc>
          <w:tcPr>
            <w:tcW w:w="2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8"/>
                <w:szCs w:val="18"/>
                <w:color w:val="auto"/>
              </w:rPr>
              <w:t>134%</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195,888</w:t>
            </w:r>
          </w:p>
        </w:tc>
        <w:tc>
          <w:tcPr>
            <w:tcW w:w="5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8"/>
                <w:szCs w:val="18"/>
                <w:color w:val="auto"/>
              </w:rPr>
              <w:t>138%</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222,320</w:t>
            </w:r>
          </w:p>
        </w:tc>
        <w:tc>
          <w:tcPr>
            <w:tcW w:w="58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w w:val="96"/>
              </w:rPr>
              <w:t>Gain (Loss) on Asset Dispositions and Impairments, Net</w:t>
            </w: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20,436</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(17,588)</w:t>
            </w:r>
          </w:p>
        </w:tc>
        <w:tc>
          <w:tcPr>
            <w:tcW w:w="5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(6,461)</w:t>
            </w:r>
          </w:p>
        </w:tc>
        <w:tc>
          <w:tcPr>
            <w:tcW w:w="5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Operating Loss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(37,148)</w:t>
            </w: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(71,639)</w:t>
            </w:r>
          </w:p>
        </w:tc>
        <w:tc>
          <w:tcPr>
            <w:tcW w:w="5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(54,328)</w:t>
            </w:r>
          </w:p>
        </w:tc>
        <w:tc>
          <w:tcPr>
            <w:tcW w:w="5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43,775</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(26,468)</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(30,146)</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20"/>
                <w:szCs w:val="20"/>
                <w:color w:val="auto"/>
              </w:rPr>
            </w:pPr>
            <w:r>
              <w:rPr>
                <w:rFonts w:ascii="Arial" w:cs="Arial" w:eastAsia="Arial" w:hAnsi="Arial"/>
                <w:sz w:val="18"/>
                <w:szCs w:val="18"/>
                <w:color w:val="auto"/>
                <w:w w:val="93"/>
              </w:rPr>
              <w:t>Income (Loss) from Continuing Operations Before Income</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Tax Benefit and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40"/>
              <w:spacing w:after="0"/>
              <w:rPr>
                <w:sz w:val="20"/>
                <w:szCs w:val="20"/>
                <w:color w:val="auto"/>
              </w:rPr>
            </w:pPr>
            <w:r>
              <w:rPr>
                <w:rFonts w:ascii="Arial" w:cs="Arial" w:eastAsia="Arial" w:hAnsi="Arial"/>
                <w:sz w:val="18"/>
                <w:szCs w:val="18"/>
                <w:color w:val="auto"/>
              </w:rPr>
              <w:t>Equity in Losses of 50% or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40"/>
              <w:spacing w:after="0"/>
              <w:rPr>
                <w:sz w:val="20"/>
                <w:szCs w:val="20"/>
                <w:color w:val="auto"/>
              </w:rPr>
            </w:pPr>
            <w:r>
              <w:rPr>
                <w:rFonts w:ascii="Arial" w:cs="Arial" w:eastAsia="Arial" w:hAnsi="Arial"/>
                <w:sz w:val="18"/>
                <w:szCs w:val="18"/>
                <w:color w:val="auto"/>
              </w:rPr>
              <w:t>Less Owned Companies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6,627</w:t>
            </w:r>
          </w:p>
        </w:tc>
        <w:tc>
          <w:tcPr>
            <w:tcW w:w="2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(98,107)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(84,474)</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11,493</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(22,924)</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(7,969)</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20"/>
                <w:szCs w:val="20"/>
                <w:color w:val="auto"/>
              </w:rPr>
            </w:pPr>
            <w:r>
              <w:rPr>
                <w:rFonts w:ascii="Arial" w:cs="Arial" w:eastAsia="Arial" w:hAnsi="Arial"/>
                <w:sz w:val="18"/>
                <w:szCs w:val="18"/>
                <w:color w:val="auto"/>
                <w:w w:val="94"/>
              </w:rPr>
              <w:t>Loss from Continuing Operations Before Equity in Losses</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40"/>
              <w:spacing w:after="0"/>
              <w:rPr>
                <w:sz w:val="20"/>
                <w:szCs w:val="20"/>
                <w:color w:val="auto"/>
              </w:rPr>
            </w:pPr>
            <w:r>
              <w:rPr>
                <w:rFonts w:ascii="Arial" w:cs="Arial" w:eastAsia="Arial" w:hAnsi="Arial"/>
                <w:sz w:val="18"/>
                <w:szCs w:val="18"/>
                <w:color w:val="auto"/>
              </w:rPr>
              <w:t>of 50% or Less Owned Companies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(4,866)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(75,183)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(76,505)</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5"/>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Equity in Gains (Losses) of 50% or</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Owned Companies</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15,078</w:t>
            </w: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(8,163)</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(14,459)</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10,212</w:t>
            </w:r>
          </w:p>
        </w:tc>
        <w:tc>
          <w:tcPr>
            <w:tcW w:w="2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(83,346)</w:t>
            </w:r>
          </w:p>
        </w:tc>
        <w:tc>
          <w:tcPr>
            <w:tcW w:w="5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(90,964)</w:t>
            </w:r>
          </w:p>
        </w:tc>
        <w:tc>
          <w:tcPr>
            <w:tcW w:w="5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5"/>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Discontinued Operations, Net of</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 (including loss on disposal of $9,106)</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22,925</w:t>
            </w: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5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(7,731)</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33,137</w:t>
            </w:r>
          </w:p>
        </w:tc>
        <w:tc>
          <w:tcPr>
            <w:tcW w:w="2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(82,982)</w:t>
            </w:r>
          </w:p>
        </w:tc>
        <w:tc>
          <w:tcPr>
            <w:tcW w:w="5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(98,695)</w:t>
            </w:r>
          </w:p>
        </w:tc>
        <w:tc>
          <w:tcPr>
            <w:tcW w:w="5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5"/>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Net Gain (Loss) attributable to Noncontrolling</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Interests in Subsidiaries</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(4,067)</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(5,858)</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20"/>
                <w:szCs w:val="20"/>
                <w:color w:val="auto"/>
              </w:rPr>
            </w:pPr>
            <w:r>
              <w:rPr>
                <w:rFonts w:ascii="Arial" w:cs="Arial" w:eastAsia="Arial" w:hAnsi="Arial"/>
                <w:sz w:val="18"/>
                <w:szCs w:val="18"/>
                <w:color w:val="auto"/>
              </w:rPr>
              <w:t>Net Gain (Loss) attributable to SEACOR Marine</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40"/>
              <w:spacing w:after="0"/>
              <w:rPr>
                <w:sz w:val="20"/>
                <w:szCs w:val="20"/>
                <w:color w:val="auto"/>
              </w:rPr>
            </w:pPr>
            <w:r>
              <w:rPr>
                <w:rFonts w:ascii="Arial" w:cs="Arial" w:eastAsia="Arial" w:hAnsi="Arial"/>
                <w:sz w:val="18"/>
                <w:szCs w:val="18"/>
                <w:color w:val="auto"/>
              </w:rPr>
              <w:t>Holdings Inc.</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33,136</w:t>
            </w:r>
          </w:p>
        </w:tc>
        <w:tc>
          <w:tcPr>
            <w:tcW w:w="2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(78,915)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(92,837)</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vMerge w:val="restart"/>
          </w:tcPr>
          <w:p>
            <w:pPr>
              <w:jc w:val="right"/>
              <w:ind w:right="450"/>
              <w:spacing w:after="0"/>
              <w:rPr>
                <w:sz w:val="20"/>
                <w:szCs w:val="20"/>
                <w:color w:val="auto"/>
              </w:rPr>
            </w:pPr>
            <w:r>
              <w:rPr>
                <w:rFonts w:ascii="Arial" w:cs="Arial" w:eastAsia="Arial" w:hAnsi="Arial"/>
                <w:sz w:val="18"/>
                <w:szCs w:val="18"/>
                <w:color w:val="auto"/>
                <w:w w:val="89"/>
              </w:rPr>
              <w:t>44</w:t>
            </w: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ind w:right="20" w:firstLine="749"/>
        <w:spacing w:after="0" w:line="277" w:lineRule="auto"/>
        <w:rPr>
          <w:sz w:val="20"/>
          <w:szCs w:val="20"/>
          <w:color w:val="auto"/>
        </w:rPr>
      </w:pPr>
      <w:r>
        <w:rPr>
          <w:rFonts w:ascii="Arial" w:cs="Arial" w:eastAsia="Arial" w:hAnsi="Arial"/>
          <w:sz w:val="18"/>
          <w:szCs w:val="18"/>
          <w:color w:val="auto"/>
        </w:rPr>
        <w:t>The following tables summarize the operating results and property and equipment for the Company’s reportable segments for the periods indicated (in thousands, except statistics):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3"/>
              </w:rPr>
              <w:t>Africa and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360" w:type="dxa"/>
            <w:vAlign w:val="bottom"/>
            <w:gridSpan w:val="3"/>
            <w:vMerge w:val="restart"/>
          </w:tcPr>
          <w:p>
            <w:pPr>
              <w:ind w:left="80"/>
              <w:spacing w:after="0"/>
              <w:rPr>
                <w:sz w:val="20"/>
                <w:szCs w:val="20"/>
                <w:color w:val="auto"/>
              </w:rPr>
            </w:pPr>
            <w:r>
              <w:rPr>
                <w:rFonts w:ascii="Arial" w:cs="Arial" w:eastAsia="Arial" w:hAnsi="Arial"/>
                <w:sz w:val="17"/>
                <w:szCs w:val="17"/>
                <w:b w:val="1"/>
                <w:bCs w:val="1"/>
                <w:color w:val="auto"/>
              </w:rPr>
              <w:t>United States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1"/>
              </w:rPr>
              <w:t>Europe,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8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3"/>
          </w:tcPr>
          <w:p>
            <w:pPr>
              <w:jc w:val="center"/>
              <w:ind w:right="220"/>
              <w:spacing w:after="0" w:line="171" w:lineRule="exact"/>
              <w:rPr>
                <w:sz w:val="20"/>
                <w:szCs w:val="20"/>
                <w:color w:val="auto"/>
              </w:rPr>
            </w:pPr>
            <w:r>
              <w:rPr>
                <w:rFonts w:ascii="Arial" w:cs="Arial" w:eastAsia="Arial" w:hAnsi="Arial"/>
                <w:sz w:val="17"/>
                <w:szCs w:val="17"/>
                <w:b w:val="1"/>
                <w:bCs w:val="1"/>
                <w:color w:val="auto"/>
                <w:w w:val="93"/>
              </w:rPr>
              <w:t>Continuing</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360" w:type="dxa"/>
            <w:vAlign w:val="bottom"/>
            <w:gridSpan w:val="3"/>
          </w:tcPr>
          <w:p>
            <w:pPr>
              <w:spacing w:after="0"/>
              <w:rPr>
                <w:sz w:val="20"/>
                <w:szCs w:val="20"/>
                <w:color w:val="auto"/>
              </w:rPr>
            </w:pPr>
            <w:r>
              <w:rPr>
                <w:rFonts w:ascii="Arial" w:cs="Arial" w:eastAsia="Arial" w:hAnsi="Arial"/>
                <w:sz w:val="17"/>
                <w:szCs w:val="17"/>
                <w:b w:val="1"/>
                <w:bCs w:val="1"/>
                <w:color w:val="auto"/>
              </w:rPr>
              <w:t>(primarily Gulf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9"/>
              </w:rPr>
              <w:t>Operations</w:t>
            </w:r>
          </w:p>
        </w:tc>
        <w:tc>
          <w:tcPr>
            <w:tcW w:w="60" w:type="dxa"/>
            <w:vAlign w:val="bottom"/>
          </w:tcPr>
          <w:p>
            <w:pPr>
              <w:spacing w:after="0"/>
              <w:rPr>
                <w:sz w:val="17"/>
                <w:szCs w:val="17"/>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w w:val="97"/>
              </w:rPr>
              <w:t>Middle East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Latin</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360" w:type="dxa"/>
            <w:vAlign w:val="bottom"/>
            <w:gridSpan w:val="3"/>
          </w:tcPr>
          <w:p>
            <w:pPr>
              <w:ind w:left="80"/>
              <w:spacing w:after="0"/>
              <w:rPr>
                <w:sz w:val="20"/>
                <w:szCs w:val="20"/>
                <w:color w:val="auto"/>
              </w:rPr>
            </w:pPr>
            <w:r>
              <w:rPr>
                <w:rFonts w:ascii="Arial" w:cs="Arial" w:eastAsia="Arial" w:hAnsi="Arial"/>
                <w:sz w:val="17"/>
                <w:szCs w:val="17"/>
                <w:b w:val="1"/>
                <w:bCs w:val="1"/>
                <w:color w:val="auto"/>
              </w:rPr>
              <w:t xml:space="preserve">of Mexico) </w:t>
            </w:r>
            <w:r>
              <w:rPr>
                <w:rFonts w:ascii="Arial" w:cs="Arial" w:eastAsia="Arial" w:hAnsi="Arial"/>
                <w:sz w:val="14"/>
                <w:szCs w:val="14"/>
                <w:b w:val="1"/>
                <w:bCs w:val="1"/>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8"/>
              <w:spacing w:after="0"/>
              <w:rPr>
                <w:sz w:val="20"/>
                <w:szCs w:val="20"/>
                <w:color w:val="auto"/>
              </w:rPr>
            </w:pPr>
            <w:r>
              <w:rPr>
                <w:rFonts w:ascii="Arial" w:cs="Arial" w:eastAsia="Arial" w:hAnsi="Arial"/>
                <w:sz w:val="15"/>
                <w:szCs w:val="15"/>
                <w:b w:val="1"/>
                <w:bCs w:val="1"/>
                <w:color w:val="auto"/>
                <w:w w:val="87"/>
              </w:rPr>
              <w:t>(3)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3"/>
              </w:rPr>
              <w:t>and Asia</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w w:val="95"/>
              </w:rPr>
              <w:t>America</w:t>
            </w:r>
          </w:p>
        </w:tc>
        <w:tc>
          <w:tcPr>
            <w:tcW w:w="2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9"/>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For the year ended December 31, 2021</w:t>
            </w:r>
          </w:p>
        </w:tc>
        <w:tc>
          <w:tcPr>
            <w:tcW w:w="3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7"/>
                <w:szCs w:val="17"/>
                <w:color w:val="auto"/>
              </w:rPr>
              <w:t>Time Charter Statistics: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Average Rates Per Day</w:t>
            </w:r>
          </w:p>
        </w:tc>
        <w:tc>
          <w:tcPr>
            <w:tcW w:w="3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16,866</w:t>
            </w:r>
          </w:p>
        </w:tc>
        <w:tc>
          <w:tcPr>
            <w:tcW w:w="2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10,334</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9,631</w:t>
            </w:r>
          </w:p>
        </w:tc>
        <w:tc>
          <w:tcPr>
            <w:tcW w:w="2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7"/>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16,035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52"/>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11,712</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60"/>
              <w:spacing w:after="0"/>
              <w:rPr>
                <w:sz w:val="20"/>
                <w:szCs w:val="20"/>
                <w:color w:val="auto"/>
              </w:rPr>
            </w:pPr>
            <w:r>
              <w:rPr>
                <w:rFonts w:ascii="Arial" w:cs="Arial" w:eastAsia="Arial" w:hAnsi="Arial"/>
                <w:sz w:val="17"/>
                <w:szCs w:val="17"/>
                <w:color w:val="auto"/>
              </w:rPr>
              <w:t>Fleet Utilization</w:t>
            </w:r>
          </w:p>
        </w:tc>
        <w:tc>
          <w:tcPr>
            <w:tcW w:w="3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77%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77%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86%</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Fleet Available Days</w:t>
            </w: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4,735</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5,549</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7,168</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3,397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20,850</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7"/>
                <w:szCs w:val="17"/>
                <w:color w:val="auto"/>
              </w:rPr>
              <w:t>Operating Revenues: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Time charter</w:t>
            </w:r>
          </w:p>
        </w:tc>
        <w:tc>
          <w:tcPr>
            <w:tcW w:w="3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15,487</w:t>
            </w:r>
          </w:p>
        </w:tc>
        <w:tc>
          <w:tcPr>
            <w:tcW w:w="2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44,268</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53,146</w:t>
            </w:r>
          </w:p>
        </w:tc>
        <w:tc>
          <w:tcPr>
            <w:tcW w:w="2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7"/>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46,934</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52"/>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159,835</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60"/>
              <w:spacing w:after="0"/>
              <w:rPr>
                <w:sz w:val="20"/>
                <w:szCs w:val="20"/>
                <w:color w:val="auto"/>
              </w:rPr>
            </w:pPr>
            <w:r>
              <w:rPr>
                <w:rFonts w:ascii="Arial" w:cs="Arial" w:eastAsia="Arial" w:hAnsi="Arial"/>
                <w:sz w:val="17"/>
                <w:szCs w:val="17"/>
                <w:color w:val="auto"/>
              </w:rPr>
              <w:t>Bareboat charter</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1,549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2,484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Other marine services</w:t>
            </w: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3,607</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(1,338)</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526</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4,278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7,073</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20,643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42,930</w:t>
            </w:r>
          </w:p>
        </w:tc>
        <w:tc>
          <w:tcPr>
            <w:tcW w:w="2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53,672</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53,696</w:t>
            </w:r>
          </w:p>
        </w:tc>
        <w:tc>
          <w:tcPr>
            <w:tcW w:w="2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170,941</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spacing w:after="0"/>
              <w:rPr>
                <w:sz w:val="20"/>
                <w:szCs w:val="20"/>
                <w:color w:val="auto"/>
              </w:rPr>
            </w:pPr>
            <w:r>
              <w:rPr>
                <w:rFonts w:ascii="Arial" w:cs="Arial" w:eastAsia="Arial" w:hAnsi="Arial"/>
                <w:sz w:val="17"/>
                <w:szCs w:val="17"/>
                <w:color w:val="auto"/>
              </w:rPr>
              <w:t>Direct Costs and Expenses:</w:t>
            </w: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60"/>
              <w:spacing w:after="0"/>
              <w:rPr>
                <w:sz w:val="20"/>
                <w:szCs w:val="20"/>
                <w:color w:val="auto"/>
              </w:rPr>
            </w:pPr>
            <w:r>
              <w:rPr>
                <w:rFonts w:ascii="Arial" w:cs="Arial" w:eastAsia="Arial" w:hAnsi="Arial"/>
                <w:sz w:val="17"/>
                <w:szCs w:val="17"/>
                <w:color w:val="auto"/>
              </w:rPr>
              <w:t>Operating:</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Personnel</w:t>
            </w:r>
          </w:p>
        </w:tc>
        <w:tc>
          <w:tcPr>
            <w:tcW w:w="3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8,836</w:t>
            </w:r>
          </w:p>
        </w:tc>
        <w:tc>
          <w:tcPr>
            <w:tcW w:w="2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13,903</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22,191</w:t>
            </w:r>
          </w:p>
        </w:tc>
        <w:tc>
          <w:tcPr>
            <w:tcW w:w="2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7"/>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14,990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52"/>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59,920</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500"/>
              <w:spacing w:after="0"/>
              <w:rPr>
                <w:sz w:val="20"/>
                <w:szCs w:val="20"/>
                <w:color w:val="auto"/>
              </w:rPr>
            </w:pPr>
            <w:r>
              <w:rPr>
                <w:rFonts w:ascii="Arial" w:cs="Arial" w:eastAsia="Arial" w:hAnsi="Arial"/>
                <w:sz w:val="17"/>
                <w:szCs w:val="17"/>
                <w:color w:val="auto"/>
              </w:rPr>
              <w:t>Repairs and maintenance</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3,394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6,772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6,701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7,250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24,117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Drydocking</w:t>
            </w: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2,082</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1,159</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2,639</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6,347</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500"/>
              <w:spacing w:after="0"/>
              <w:rPr>
                <w:sz w:val="20"/>
                <w:szCs w:val="20"/>
                <w:color w:val="auto"/>
              </w:rPr>
            </w:pPr>
            <w:r>
              <w:rPr>
                <w:rFonts w:ascii="Arial" w:cs="Arial" w:eastAsia="Arial" w:hAnsi="Arial"/>
                <w:sz w:val="17"/>
                <w:szCs w:val="17"/>
                <w:color w:val="auto"/>
              </w:rPr>
              <w:t>Insurance and loss reserves</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2,632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1,353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2,481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2,201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8,667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Fuel, lubes and supplies</w:t>
            </w: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1,204</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4,109</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3,459</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3,261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12,033</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648</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5,815</w:t>
            </w:r>
          </w:p>
        </w:tc>
        <w:tc>
          <w:tcPr>
            <w:tcW w:w="2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6,158</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3,701</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16,322</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18,796</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33,111</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43,629</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31,870</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127,406</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6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Direct Vessel Profit</w:t>
            </w:r>
          </w:p>
        </w:tc>
        <w:tc>
          <w:tcPr>
            <w:tcW w:w="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1,847</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9,819</w:t>
            </w:r>
          </w:p>
        </w:tc>
        <w:tc>
          <w:tcPr>
            <w:tcW w:w="22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10,043</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21,826</w:t>
            </w:r>
          </w:p>
        </w:tc>
        <w:tc>
          <w:tcPr>
            <w:tcW w:w="2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52"/>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43,535</w:t>
            </w:r>
          </w:p>
        </w:tc>
        <w:tc>
          <w:tcPr>
            <w:tcW w:w="1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60" w:type="dxa"/>
            <w:vAlign w:val="bottom"/>
            <w:shd w:val="clear" w:color="auto" w:fill="CFF0FC"/>
          </w:tcPr>
          <w:p>
            <w:pPr>
              <w:spacing w:after="0" w:line="193" w:lineRule="exact"/>
              <w:rPr>
                <w:sz w:val="20"/>
                <w:szCs w:val="20"/>
                <w:color w:val="auto"/>
              </w:rPr>
            </w:pPr>
            <w:r>
              <w:rPr>
                <w:rFonts w:ascii="Arial" w:cs="Arial" w:eastAsia="Arial" w:hAnsi="Arial"/>
                <w:sz w:val="17"/>
                <w:szCs w:val="17"/>
                <w:color w:val="auto"/>
              </w:rPr>
              <w:t>Other Costs and Expenses:</w:t>
            </w: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60"/>
              <w:spacing w:after="0"/>
              <w:rPr>
                <w:sz w:val="20"/>
                <w:szCs w:val="20"/>
                <w:color w:val="auto"/>
              </w:rPr>
            </w:pPr>
            <w:r>
              <w:rPr>
                <w:rFonts w:ascii="Arial" w:cs="Arial" w:eastAsia="Arial" w:hAnsi="Arial"/>
                <w:sz w:val="17"/>
                <w:szCs w:val="17"/>
                <w:color w:val="auto"/>
              </w:rPr>
              <w:t>Lease expense</w:t>
            </w:r>
          </w:p>
        </w:tc>
        <w:tc>
          <w:tcPr>
            <w:tcW w:w="32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2,621</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1,281</w:t>
            </w: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472</w:t>
            </w:r>
          </w:p>
        </w:tc>
        <w:tc>
          <w:tcPr>
            <w:tcW w:w="200" w:type="dxa"/>
            <w:vAlign w:val="bottom"/>
          </w:tcPr>
          <w:p>
            <w:pPr>
              <w:spacing w:after="0"/>
              <w:rPr>
                <w:sz w:val="18"/>
                <w:szCs w:val="18"/>
                <w:color w:val="auto"/>
              </w:rPr>
            </w:pPr>
          </w:p>
        </w:tc>
        <w:tc>
          <w:tcPr>
            <w:tcW w:w="200" w:type="dxa"/>
            <w:vAlign w:val="bottom"/>
            <w:gridSpan w:val="2"/>
          </w:tcPr>
          <w:p>
            <w:pPr>
              <w:jc w:val="right"/>
              <w:ind w:right="7"/>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1,711</w:t>
            </w:r>
          </w:p>
        </w:tc>
        <w:tc>
          <w:tcPr>
            <w:tcW w:w="280" w:type="dxa"/>
            <w:vAlign w:val="bottom"/>
          </w:tcPr>
          <w:p>
            <w:pPr>
              <w:spacing w:after="0"/>
              <w:rPr>
                <w:sz w:val="18"/>
                <w:szCs w:val="18"/>
                <w:color w:val="auto"/>
              </w:rPr>
            </w:pPr>
          </w:p>
        </w:tc>
        <w:tc>
          <w:tcPr>
            <w:tcW w:w="200" w:type="dxa"/>
            <w:vAlign w:val="bottom"/>
          </w:tcPr>
          <w:p>
            <w:pPr>
              <w:jc w:val="right"/>
              <w:ind w:right="52"/>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6,085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Administrative and general</w:t>
            </w: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37,639</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Depreciation and amortization</w:t>
            </w:r>
          </w:p>
        </w:tc>
        <w:tc>
          <w:tcPr>
            <w:tcW w:w="3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15,712</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12,856</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17,985</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gridSpan w:val="2"/>
          </w:tcPr>
          <w:p>
            <w:pPr>
              <w:jc w:val="right"/>
              <w:ind w:right="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10,842</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57,395</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101,119</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860" w:type="dxa"/>
            <w:vAlign w:val="bottom"/>
          </w:tcPr>
          <w:p>
            <w:pPr>
              <w:spacing w:after="0" w:line="192" w:lineRule="exact"/>
              <w:rPr>
                <w:sz w:val="20"/>
                <w:szCs w:val="20"/>
                <w:color w:val="auto"/>
              </w:rPr>
            </w:pPr>
            <w:r>
              <w:rPr>
                <w:rFonts w:ascii="Arial" w:cs="Arial" w:eastAsia="Arial" w:hAnsi="Arial"/>
                <w:sz w:val="17"/>
                <w:szCs w:val="17"/>
                <w:color w:val="auto"/>
              </w:rPr>
              <w:t>Gain on Asset Dispositions and</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60" w:type="dxa"/>
            <w:vAlign w:val="bottom"/>
            <w:tcBorders>
              <w:bottom w:val="single" w:sz="8" w:color="CFF0FC"/>
            </w:tcBorders>
          </w:tcPr>
          <w:p>
            <w:pPr>
              <w:ind w:left="140"/>
              <w:spacing w:after="0"/>
              <w:rPr>
                <w:sz w:val="20"/>
                <w:szCs w:val="20"/>
                <w:color w:val="auto"/>
              </w:rPr>
            </w:pPr>
            <w:r>
              <w:rPr>
                <w:rFonts w:ascii="Arial" w:cs="Arial" w:eastAsia="Arial" w:hAnsi="Arial"/>
                <w:sz w:val="17"/>
                <w:szCs w:val="17"/>
                <w:color w:val="auto"/>
              </w:rPr>
              <w:t>Impairments, Net</w:t>
            </w:r>
          </w:p>
        </w:tc>
        <w:tc>
          <w:tcPr>
            <w:tcW w:w="32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20,436</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Operating Loss</w:t>
            </w:r>
          </w:p>
        </w:tc>
        <w:tc>
          <w:tcPr>
            <w:tcW w:w="3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(37,148)</w:t>
            </w:r>
          </w:p>
        </w:tc>
        <w:tc>
          <w:tcPr>
            <w:tcW w:w="1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 of December 31, 2021</w:t>
            </w: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7"/>
                <w:szCs w:val="17"/>
                <w:color w:val="auto"/>
              </w:rPr>
              <w:t>Property and Equipment:</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Historical cost</w:t>
            </w:r>
          </w:p>
        </w:tc>
        <w:tc>
          <w:tcPr>
            <w:tcW w:w="3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253,426</w:t>
            </w:r>
          </w:p>
        </w:tc>
        <w:tc>
          <w:tcPr>
            <w:tcW w:w="2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223,039</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340,225</w:t>
            </w:r>
          </w:p>
        </w:tc>
        <w:tc>
          <w:tcPr>
            <w:tcW w:w="2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7"/>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208,594</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52"/>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1,025,284</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60"/>
              <w:spacing w:after="0"/>
              <w:rPr>
                <w:sz w:val="20"/>
                <w:szCs w:val="20"/>
                <w:color w:val="auto"/>
              </w:rPr>
            </w:pPr>
            <w:r>
              <w:rPr>
                <w:rFonts w:ascii="Arial" w:cs="Arial" w:eastAsia="Arial" w:hAnsi="Arial"/>
                <w:sz w:val="17"/>
                <w:szCs w:val="17"/>
                <w:color w:val="auto"/>
              </w:rPr>
              <w:t>Accumulated depreciation</w:t>
            </w: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(127,547)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(71,820)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(85,683)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(32,247)</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(317,297)</w:t>
            </w:r>
          </w:p>
        </w:tc>
        <w:tc>
          <w:tcPr>
            <w:tcW w:w="0" w:type="dxa"/>
            <w:vAlign w:val="bottom"/>
          </w:tcPr>
          <w:p>
            <w:pPr>
              <w:spacing w:after="0"/>
              <w:rPr>
                <w:sz w:val="1"/>
                <w:szCs w:val="1"/>
                <w:color w:val="auto"/>
              </w:rPr>
            </w:pPr>
          </w:p>
        </w:tc>
      </w:tr>
      <w:tr>
        <w:trPr>
          <w:trHeight w:val="209"/>
        </w:trPr>
        <w:tc>
          <w:tcPr>
            <w:tcW w:w="486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125,879</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151,219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254,543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176,347</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707,987</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line="40" w:lineRule="exact"/>
              <w:rPr>
                <w:sz w:val="20"/>
                <w:szCs w:val="20"/>
                <w:color w:val="auto"/>
              </w:rPr>
            </w:pPr>
            <w:r>
              <w:rPr>
                <w:rFonts w:ascii="Arial" w:cs="Arial" w:eastAsia="Arial" w:hAnsi="Arial"/>
                <w:sz w:val="4"/>
                <w:szCs w:val="4"/>
                <w:color w:val="auto"/>
              </w:rPr>
              <w:t>Total Assets</w:t>
            </w: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60" w:type="dxa"/>
            <w:vAlign w:val="bottom"/>
            <w:vMerge w:val="continue"/>
          </w:tcPr>
          <w:p>
            <w:pPr>
              <w:spacing w:after="0" w:line="20" w:lineRule="exact"/>
              <w:rPr>
                <w:sz w:val="1"/>
                <w:szCs w:val="1"/>
                <w:color w:val="auto"/>
              </w:rPr>
            </w:pPr>
          </w:p>
        </w:tc>
        <w:tc>
          <w:tcPr>
            <w:tcW w:w="320" w:type="dxa"/>
            <w:vAlign w:val="bottom"/>
            <w:shd w:val="clear" w:color="auto" w:fill="000000"/>
          </w:tcPr>
          <w:p>
            <w:pPr>
              <w:spacing w:after="0" w:line="20" w:lineRule="exact"/>
              <w:rPr>
                <w:sz w:val="20"/>
                <w:szCs w:val="20"/>
                <w:color w:val="auto"/>
              </w:rPr>
            </w:pPr>
            <w:r>
              <w:rPr>
                <w:rFonts w:ascii="Arial" w:cs="Arial" w:eastAsia="Arial" w:hAnsi="Arial"/>
                <w:sz w:val="2"/>
                <w:szCs w:val="2"/>
                <w:color w:val="auto"/>
              </w:rPr>
              <w:t>$</w:t>
            </w:r>
          </w:p>
        </w:tc>
        <w:tc>
          <w:tcPr>
            <w:tcW w:w="840" w:type="dxa"/>
            <w:vAlign w:val="bottom"/>
            <w:shd w:val="clear" w:color="auto" w:fill="000000"/>
          </w:tcPr>
          <w:p>
            <w:pPr>
              <w:jc w:val="right"/>
              <w:spacing w:after="0" w:line="20" w:lineRule="exact"/>
              <w:rPr>
                <w:sz w:val="20"/>
                <w:szCs w:val="20"/>
                <w:color w:val="auto"/>
              </w:rPr>
            </w:pPr>
            <w:r>
              <w:rPr>
                <w:rFonts w:ascii="Arial" w:cs="Arial" w:eastAsia="Arial" w:hAnsi="Arial"/>
                <w:sz w:val="2"/>
                <w:szCs w:val="2"/>
                <w:color w:val="auto"/>
              </w:rPr>
              <w:t>148,753</w:t>
            </w: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jc w:val="right"/>
              <w:spacing w:after="0" w:line="20" w:lineRule="exact"/>
              <w:rPr>
                <w:sz w:val="20"/>
                <w:szCs w:val="20"/>
                <w:color w:val="auto"/>
              </w:rPr>
            </w:pPr>
            <w:r>
              <w:rPr>
                <w:rFonts w:ascii="Arial" w:cs="Arial" w:eastAsia="Arial" w:hAnsi="Arial"/>
                <w:sz w:val="2"/>
                <w:szCs w:val="2"/>
                <w:color w:val="auto"/>
              </w:rPr>
              <w:t>$</w:t>
            </w:r>
          </w:p>
        </w:tc>
        <w:tc>
          <w:tcPr>
            <w:tcW w:w="900" w:type="dxa"/>
            <w:vAlign w:val="bottom"/>
            <w:shd w:val="clear" w:color="auto" w:fill="000000"/>
          </w:tcPr>
          <w:p>
            <w:pPr>
              <w:jc w:val="right"/>
              <w:spacing w:after="0" w:line="20" w:lineRule="exact"/>
              <w:rPr>
                <w:sz w:val="20"/>
                <w:szCs w:val="20"/>
                <w:color w:val="auto"/>
              </w:rPr>
            </w:pPr>
            <w:r>
              <w:rPr>
                <w:rFonts w:ascii="Arial" w:cs="Arial" w:eastAsia="Arial" w:hAnsi="Arial"/>
                <w:sz w:val="2"/>
                <w:szCs w:val="2"/>
                <w:color w:val="auto"/>
              </w:rPr>
              <w:t>167,185</w:t>
            </w: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jc w:val="right"/>
              <w:spacing w:after="0" w:line="20" w:lineRule="exact"/>
              <w:rPr>
                <w:sz w:val="20"/>
                <w:szCs w:val="20"/>
                <w:color w:val="auto"/>
              </w:rPr>
            </w:pPr>
            <w:r>
              <w:rPr>
                <w:rFonts w:ascii="Arial" w:cs="Arial" w:eastAsia="Arial" w:hAnsi="Arial"/>
                <w:sz w:val="2"/>
                <w:szCs w:val="2"/>
                <w:color w:val="auto"/>
              </w:rPr>
              <w:t>$</w:t>
            </w:r>
          </w:p>
        </w:tc>
        <w:tc>
          <w:tcPr>
            <w:tcW w:w="880" w:type="dxa"/>
            <w:vAlign w:val="bottom"/>
            <w:shd w:val="clear" w:color="auto" w:fill="000000"/>
          </w:tcPr>
          <w:p>
            <w:pPr>
              <w:jc w:val="right"/>
              <w:spacing w:after="0" w:line="20" w:lineRule="exact"/>
              <w:rPr>
                <w:sz w:val="20"/>
                <w:szCs w:val="20"/>
                <w:color w:val="auto"/>
              </w:rPr>
            </w:pPr>
            <w:r>
              <w:rPr>
                <w:rFonts w:ascii="Arial" w:cs="Arial" w:eastAsia="Arial" w:hAnsi="Arial"/>
                <w:sz w:val="2"/>
                <w:szCs w:val="2"/>
                <w:color w:val="auto"/>
              </w:rPr>
              <w:t>256,533</w:t>
            </w: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jc w:val="right"/>
              <w:ind w:right="7"/>
              <w:spacing w:after="0" w:line="20" w:lineRule="exact"/>
              <w:rPr>
                <w:sz w:val="20"/>
                <w:szCs w:val="20"/>
                <w:color w:val="auto"/>
              </w:rPr>
            </w:pPr>
            <w:r>
              <w:rPr>
                <w:rFonts w:ascii="Arial" w:cs="Arial" w:eastAsia="Arial" w:hAnsi="Arial"/>
                <w:sz w:val="2"/>
                <w:szCs w:val="2"/>
                <w:color w:val="auto"/>
              </w:rPr>
              <w:t>$</w:t>
            </w:r>
          </w:p>
        </w:tc>
        <w:tc>
          <w:tcPr>
            <w:tcW w:w="840" w:type="dxa"/>
            <w:vAlign w:val="bottom"/>
            <w:shd w:val="clear" w:color="auto" w:fill="000000"/>
          </w:tcPr>
          <w:p>
            <w:pPr>
              <w:jc w:val="right"/>
              <w:spacing w:after="0" w:line="20" w:lineRule="exact"/>
              <w:rPr>
                <w:sz w:val="20"/>
                <w:szCs w:val="20"/>
                <w:color w:val="auto"/>
              </w:rPr>
            </w:pPr>
            <w:r>
              <w:rPr>
                <w:rFonts w:ascii="Arial" w:cs="Arial" w:eastAsia="Arial" w:hAnsi="Arial"/>
                <w:sz w:val="2"/>
                <w:szCs w:val="2"/>
                <w:color w:val="auto"/>
              </w:rPr>
              <w:t>250,594</w:t>
            </w:r>
          </w:p>
        </w:tc>
        <w:tc>
          <w:tcPr>
            <w:tcW w:w="280" w:type="dxa"/>
            <w:vAlign w:val="bottom"/>
          </w:tcPr>
          <w:p>
            <w:pPr>
              <w:spacing w:after="0" w:line="20" w:lineRule="exact"/>
              <w:rPr>
                <w:sz w:val="1"/>
                <w:szCs w:val="1"/>
                <w:color w:val="auto"/>
              </w:rPr>
            </w:pPr>
          </w:p>
        </w:tc>
        <w:tc>
          <w:tcPr>
            <w:tcW w:w="200" w:type="dxa"/>
            <w:vAlign w:val="bottom"/>
            <w:shd w:val="clear" w:color="auto" w:fill="000000"/>
          </w:tcPr>
          <w:p>
            <w:pPr>
              <w:jc w:val="right"/>
              <w:ind w:right="52"/>
              <w:spacing w:after="0" w:line="20" w:lineRule="exact"/>
              <w:rPr>
                <w:sz w:val="20"/>
                <w:szCs w:val="20"/>
                <w:color w:val="auto"/>
              </w:rPr>
            </w:pPr>
            <w:r>
              <w:rPr>
                <w:rFonts w:ascii="Arial" w:cs="Arial" w:eastAsia="Arial" w:hAnsi="Arial"/>
                <w:sz w:val="2"/>
                <w:szCs w:val="2"/>
                <w:color w:val="auto"/>
              </w:rPr>
              <w:t>$</w:t>
            </w:r>
          </w:p>
        </w:tc>
        <w:tc>
          <w:tcPr>
            <w:tcW w:w="800" w:type="dxa"/>
            <w:vAlign w:val="bottom"/>
            <w:shd w:val="clear" w:color="auto" w:fill="000000"/>
          </w:tcPr>
          <w:p>
            <w:pPr>
              <w:jc w:val="right"/>
              <w:spacing w:after="0" w:line="20" w:lineRule="exact"/>
              <w:rPr>
                <w:sz w:val="20"/>
                <w:szCs w:val="20"/>
                <w:color w:val="auto"/>
              </w:rPr>
            </w:pPr>
            <w:r>
              <w:rPr>
                <w:rFonts w:ascii="Arial" w:cs="Arial" w:eastAsia="Arial" w:hAnsi="Arial"/>
                <w:sz w:val="2"/>
                <w:szCs w:val="2"/>
                <w:color w:val="auto"/>
              </w:rPr>
              <w:t>823,065</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60" w:type="dxa"/>
            <w:vAlign w:val="bottom"/>
          </w:tcPr>
          <w:p>
            <w:pPr>
              <w:ind w:left="840"/>
              <w:spacing w:after="0"/>
              <w:rPr>
                <w:sz w:val="20"/>
                <w:szCs w:val="20"/>
                <w:color w:val="auto"/>
              </w:rPr>
            </w:pPr>
            <w:r>
              <w:rPr>
                <w:rFonts w:ascii="Arial" w:cs="Arial" w:eastAsia="Arial" w:hAnsi="Arial"/>
                <w:sz w:val="15"/>
                <w:szCs w:val="15"/>
                <w:color w:val="auto"/>
              </w:rPr>
              <w:t>(1)</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0" w:lineRule="exact"/>
        <w:rPr>
          <w:sz w:val="20"/>
          <w:szCs w:val="20"/>
          <w:color w:val="auto"/>
        </w:rPr>
      </w:pPr>
    </w:p>
    <w:p>
      <w:pPr>
        <w:ind w:left="760" w:hanging="752"/>
        <w:spacing w:after="0"/>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Total assets exclude $89.4 million of corporate assets.</w:t>
      </w:r>
    </w:p>
    <w:p>
      <w:pPr>
        <w:ind w:left="760" w:hanging="752"/>
        <w:spacing w:after="0" w:line="221" w:lineRule="auto"/>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 2021, the Company removed from service four vessels (four liftboats) in this region. Regional statistics reflect the removed from service status of these vessels.</w:t>
      </w:r>
    </w:p>
    <w:p>
      <w:pPr>
        <w:jc w:val="both"/>
        <w:ind w:left="760" w:hanging="752"/>
        <w:spacing w:after="0" w:line="255" w:lineRule="auto"/>
        <w:tabs>
          <w:tab w:leader="none" w:pos="7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 prior periods Africa and Europe were reported as separate segments. Due to the sale of Windcat Workboats, the Company’s European operations are no longer analyzed by the chief operating decision maker on a standalone basis but rather are analyzed as part of the Africa and Europe segment. As a result, for purposes of segment reporting, European operations are now analyzed with Africa and reported as a consolidated segment and prior period information has been conformed to the new consolidated reporting segment.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3"/>
              </w:rPr>
              <w:t>Africa and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360" w:type="dxa"/>
            <w:vAlign w:val="bottom"/>
            <w:gridSpan w:val="3"/>
            <w:vMerge w:val="restart"/>
          </w:tcPr>
          <w:p>
            <w:pPr>
              <w:ind w:left="80"/>
              <w:spacing w:after="0"/>
              <w:rPr>
                <w:sz w:val="20"/>
                <w:szCs w:val="20"/>
                <w:color w:val="auto"/>
              </w:rPr>
            </w:pPr>
            <w:r>
              <w:rPr>
                <w:rFonts w:ascii="Arial" w:cs="Arial" w:eastAsia="Arial" w:hAnsi="Arial"/>
                <w:sz w:val="17"/>
                <w:szCs w:val="17"/>
                <w:b w:val="1"/>
                <w:bCs w:val="1"/>
                <w:color w:val="auto"/>
              </w:rPr>
              <w:t>United States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1"/>
              </w:rPr>
              <w:t>Europe,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8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3"/>
          </w:tcPr>
          <w:p>
            <w:pPr>
              <w:jc w:val="center"/>
              <w:ind w:right="220"/>
              <w:spacing w:after="0" w:line="171" w:lineRule="exact"/>
              <w:rPr>
                <w:sz w:val="20"/>
                <w:szCs w:val="20"/>
                <w:color w:val="auto"/>
              </w:rPr>
            </w:pPr>
            <w:r>
              <w:rPr>
                <w:rFonts w:ascii="Arial" w:cs="Arial" w:eastAsia="Arial" w:hAnsi="Arial"/>
                <w:sz w:val="17"/>
                <w:szCs w:val="17"/>
                <w:b w:val="1"/>
                <w:bCs w:val="1"/>
                <w:color w:val="auto"/>
                <w:w w:val="93"/>
              </w:rPr>
              <w:t>Continuing</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360" w:type="dxa"/>
            <w:vAlign w:val="bottom"/>
            <w:gridSpan w:val="3"/>
          </w:tcPr>
          <w:p>
            <w:pPr>
              <w:spacing w:after="0"/>
              <w:rPr>
                <w:sz w:val="20"/>
                <w:szCs w:val="20"/>
                <w:color w:val="auto"/>
              </w:rPr>
            </w:pPr>
            <w:r>
              <w:rPr>
                <w:rFonts w:ascii="Arial" w:cs="Arial" w:eastAsia="Arial" w:hAnsi="Arial"/>
                <w:sz w:val="17"/>
                <w:szCs w:val="17"/>
                <w:b w:val="1"/>
                <w:bCs w:val="1"/>
                <w:color w:val="auto"/>
              </w:rPr>
              <w:t>(primarily Gulf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9"/>
              </w:rPr>
              <w:t>Operations</w:t>
            </w:r>
          </w:p>
        </w:tc>
        <w:tc>
          <w:tcPr>
            <w:tcW w:w="60" w:type="dxa"/>
            <w:vAlign w:val="bottom"/>
          </w:tcPr>
          <w:p>
            <w:pPr>
              <w:spacing w:after="0"/>
              <w:rPr>
                <w:sz w:val="17"/>
                <w:szCs w:val="17"/>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w w:val="97"/>
              </w:rPr>
              <w:t>Middle East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Latin</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5"/>
              </w:rPr>
              <w:t>of Mexico)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8"/>
              <w:spacing w:after="0"/>
              <w:rPr>
                <w:sz w:val="20"/>
                <w:szCs w:val="20"/>
                <w:color w:val="auto"/>
              </w:rPr>
            </w:pPr>
            <w:r>
              <w:rPr>
                <w:rFonts w:ascii="Arial" w:cs="Arial" w:eastAsia="Arial" w:hAnsi="Arial"/>
                <w:sz w:val="15"/>
                <w:szCs w:val="15"/>
                <w:b w:val="1"/>
                <w:bCs w:val="1"/>
                <w:color w:val="auto"/>
                <w:w w:val="87"/>
              </w:rPr>
              <w:t>(2)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3"/>
              </w:rPr>
              <w:t>and Asia</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w w:val="95"/>
              </w:rPr>
              <w:t>America</w:t>
            </w:r>
          </w:p>
        </w:tc>
        <w:tc>
          <w:tcPr>
            <w:tcW w:w="2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9"/>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For the year ended December 31, 2020</w:t>
            </w: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7"/>
                <w:szCs w:val="17"/>
                <w:color w:val="auto"/>
              </w:rPr>
              <w:t>Time Charter Statistics: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Average Rates Per Day</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19,092</w:t>
            </w:r>
          </w:p>
        </w:tc>
        <w:tc>
          <w:tcPr>
            <w:tcW w:w="2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10,856</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9,749</w:t>
            </w:r>
          </w:p>
        </w:tc>
        <w:tc>
          <w:tcPr>
            <w:tcW w:w="2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7"/>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11,989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52"/>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10,905</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60"/>
              <w:spacing w:after="0"/>
              <w:rPr>
                <w:sz w:val="20"/>
                <w:szCs w:val="20"/>
                <w:color w:val="auto"/>
              </w:rPr>
            </w:pPr>
            <w:r>
              <w:rPr>
                <w:rFonts w:ascii="Arial" w:cs="Arial" w:eastAsia="Arial" w:hAnsi="Arial"/>
                <w:sz w:val="17"/>
                <w:szCs w:val="17"/>
                <w:color w:val="auto"/>
              </w:rPr>
              <w:t>Fleet Utilization</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76%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77%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92%</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Fleet Available Days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7,374</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5,777</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6,932</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22,250</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7"/>
                <w:szCs w:val="17"/>
                <w:color w:val="auto"/>
              </w:rPr>
              <w:t>Operating Revenues: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Time charter</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9,873</w:t>
            </w:r>
          </w:p>
        </w:tc>
        <w:tc>
          <w:tcPr>
            <w:tcW w:w="2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47,723</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52,052</w:t>
            </w:r>
          </w:p>
        </w:tc>
        <w:tc>
          <w:tcPr>
            <w:tcW w:w="2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7"/>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23,806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52"/>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133,454</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60"/>
              <w:spacing w:after="0"/>
              <w:rPr>
                <w:sz w:val="20"/>
                <w:szCs w:val="20"/>
                <w:color w:val="auto"/>
              </w:rPr>
            </w:pPr>
            <w:r>
              <w:rPr>
                <w:rFonts w:ascii="Arial" w:cs="Arial" w:eastAsia="Arial" w:hAnsi="Arial"/>
                <w:sz w:val="17"/>
                <w:szCs w:val="17"/>
                <w:color w:val="auto"/>
              </w:rPr>
              <w:t>Bareboat charter</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2,910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(55)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2,422</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(135)</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2,157</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1,084</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5,528</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15,205</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47,533</w:t>
            </w:r>
          </w:p>
        </w:tc>
        <w:tc>
          <w:tcPr>
            <w:tcW w:w="2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54,209</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24,890</w:t>
            </w:r>
          </w:p>
        </w:tc>
        <w:tc>
          <w:tcPr>
            <w:tcW w:w="2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141,837</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spacing w:after="0"/>
              <w:rPr>
                <w:sz w:val="20"/>
                <w:szCs w:val="20"/>
                <w:color w:val="auto"/>
              </w:rPr>
            </w:pPr>
            <w:r>
              <w:rPr>
                <w:rFonts w:ascii="Arial" w:cs="Arial" w:eastAsia="Arial" w:hAnsi="Arial"/>
                <w:sz w:val="17"/>
                <w:szCs w:val="17"/>
                <w:color w:val="auto"/>
              </w:rPr>
              <w:t>Direct Costs and Expenses: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60"/>
              <w:spacing w:after="0"/>
              <w:rPr>
                <w:sz w:val="20"/>
                <w:szCs w:val="20"/>
                <w:color w:val="auto"/>
              </w:rPr>
            </w:pPr>
            <w:r>
              <w:rPr>
                <w:rFonts w:ascii="Arial" w:cs="Arial" w:eastAsia="Arial" w:hAnsi="Arial"/>
                <w:sz w:val="17"/>
                <w:szCs w:val="17"/>
                <w:color w:val="auto"/>
              </w:rPr>
              <w:t>Operating:</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Personnel</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10,065</w:t>
            </w:r>
          </w:p>
        </w:tc>
        <w:tc>
          <w:tcPr>
            <w:tcW w:w="2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13,397</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18,188</w:t>
            </w:r>
          </w:p>
        </w:tc>
        <w:tc>
          <w:tcPr>
            <w:tcW w:w="2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7"/>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6,698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52"/>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48,348</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500"/>
              <w:spacing w:after="0"/>
              <w:rPr>
                <w:sz w:val="20"/>
                <w:szCs w:val="20"/>
                <w:color w:val="auto"/>
              </w:rPr>
            </w:pPr>
            <w:r>
              <w:rPr>
                <w:rFonts w:ascii="Arial" w:cs="Arial" w:eastAsia="Arial" w:hAnsi="Arial"/>
                <w:sz w:val="17"/>
                <w:szCs w:val="17"/>
                <w:color w:val="auto"/>
              </w:rPr>
              <w:t>Repairs and maintenance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1,655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5,643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5,232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2,131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14,661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Drydocking</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1,167</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2,014</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759</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4,269</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500"/>
              <w:spacing w:after="0"/>
              <w:rPr>
                <w:sz w:val="20"/>
                <w:szCs w:val="20"/>
                <w:color w:val="auto"/>
              </w:rPr>
            </w:pPr>
            <w:r>
              <w:rPr>
                <w:rFonts w:ascii="Arial" w:cs="Arial" w:eastAsia="Arial" w:hAnsi="Arial"/>
                <w:sz w:val="17"/>
                <w:szCs w:val="17"/>
                <w:color w:val="auto"/>
              </w:rPr>
              <w:t>Insurance and loss reserves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1,774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1,806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1,721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462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5,763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Fuel, lubes and supplies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1,172</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3,260</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2,706</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8,128</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1,343</w:t>
            </w:r>
          </w:p>
        </w:tc>
        <w:tc>
          <w:tcPr>
            <w:tcW w:w="2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6,891</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1,369</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9,976</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16,206</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27,463</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35,497</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11,979</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91,145</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6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Direct Vessel (Loss) Profit</w:t>
            </w: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(1,001)</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20,070</w:t>
            </w:r>
          </w:p>
        </w:tc>
        <w:tc>
          <w:tcPr>
            <w:tcW w:w="22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18,712</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12,911</w:t>
            </w:r>
          </w:p>
        </w:tc>
        <w:tc>
          <w:tcPr>
            <w:tcW w:w="2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52"/>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50,692</w:t>
            </w:r>
          </w:p>
        </w:tc>
        <w:tc>
          <w:tcPr>
            <w:tcW w:w="1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60" w:type="dxa"/>
            <w:vAlign w:val="bottom"/>
            <w:shd w:val="clear" w:color="auto" w:fill="CFF0FC"/>
          </w:tcPr>
          <w:p>
            <w:pPr>
              <w:spacing w:after="0" w:line="193" w:lineRule="exact"/>
              <w:rPr>
                <w:sz w:val="20"/>
                <w:szCs w:val="20"/>
                <w:color w:val="auto"/>
              </w:rPr>
            </w:pPr>
            <w:r>
              <w:rPr>
                <w:rFonts w:ascii="Arial" w:cs="Arial" w:eastAsia="Arial" w:hAnsi="Arial"/>
                <w:sz w:val="17"/>
                <w:szCs w:val="17"/>
                <w:color w:val="auto"/>
              </w:rPr>
              <w:t>Other Costs and Expenses:</w:t>
            </w: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60"/>
              <w:spacing w:after="0"/>
              <w:rPr>
                <w:sz w:val="20"/>
                <w:szCs w:val="20"/>
                <w:color w:val="auto"/>
              </w:rPr>
            </w:pPr>
            <w:r>
              <w:rPr>
                <w:rFonts w:ascii="Arial" w:cs="Arial" w:eastAsia="Arial" w:hAnsi="Arial"/>
                <w:sz w:val="17"/>
                <w:szCs w:val="17"/>
                <w:color w:val="auto"/>
              </w:rPr>
              <w:t>Lease expense</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4,272</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3,038</w:t>
            </w: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170</w:t>
            </w:r>
          </w:p>
        </w:tc>
        <w:tc>
          <w:tcPr>
            <w:tcW w:w="200" w:type="dxa"/>
            <w:vAlign w:val="bottom"/>
          </w:tcPr>
          <w:p>
            <w:pPr>
              <w:spacing w:after="0"/>
              <w:rPr>
                <w:sz w:val="18"/>
                <w:szCs w:val="18"/>
                <w:color w:val="auto"/>
              </w:rPr>
            </w:pPr>
          </w:p>
        </w:tc>
        <w:tc>
          <w:tcPr>
            <w:tcW w:w="200" w:type="dxa"/>
            <w:vAlign w:val="bottom"/>
            <w:gridSpan w:val="2"/>
          </w:tcPr>
          <w:p>
            <w:pPr>
              <w:jc w:val="right"/>
              <w:ind w:right="7"/>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45</w:t>
            </w:r>
          </w:p>
        </w:tc>
        <w:tc>
          <w:tcPr>
            <w:tcW w:w="280" w:type="dxa"/>
            <w:vAlign w:val="bottom"/>
          </w:tcPr>
          <w:p>
            <w:pPr>
              <w:spacing w:after="0"/>
              <w:rPr>
                <w:sz w:val="18"/>
                <w:szCs w:val="18"/>
                <w:color w:val="auto"/>
              </w:rPr>
            </w:pPr>
          </w:p>
        </w:tc>
        <w:tc>
          <w:tcPr>
            <w:tcW w:w="200" w:type="dxa"/>
            <w:vAlign w:val="bottom"/>
          </w:tcPr>
          <w:p>
            <w:pPr>
              <w:jc w:val="right"/>
              <w:ind w:right="52"/>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7,525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Administrative and general</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40,051</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Depreciation and amortization</w:t>
            </w:r>
          </w:p>
        </w:tc>
        <w:tc>
          <w:tcPr>
            <w:tcW w:w="1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21,427</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13,664</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16,595</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gridSpan w:val="2"/>
          </w:tcPr>
          <w:p>
            <w:pPr>
              <w:jc w:val="right"/>
              <w:ind w:right="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5,481</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57,167</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104,743</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860" w:type="dxa"/>
            <w:vAlign w:val="bottom"/>
          </w:tcPr>
          <w:p>
            <w:pPr>
              <w:spacing w:after="0" w:line="192" w:lineRule="exact"/>
              <w:rPr>
                <w:sz w:val="20"/>
                <w:szCs w:val="20"/>
                <w:color w:val="auto"/>
              </w:rPr>
            </w:pPr>
            <w:r>
              <w:rPr>
                <w:rFonts w:ascii="Arial" w:cs="Arial" w:eastAsia="Arial" w:hAnsi="Arial"/>
                <w:sz w:val="17"/>
                <w:szCs w:val="17"/>
                <w:color w:val="auto"/>
              </w:rPr>
              <w:t>Loss on Asset Dispositions and</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60" w:type="dxa"/>
            <w:vAlign w:val="bottom"/>
          </w:tcPr>
          <w:p>
            <w:pPr>
              <w:ind w:left="140"/>
              <w:spacing w:after="0"/>
              <w:rPr>
                <w:sz w:val="20"/>
                <w:szCs w:val="20"/>
                <w:color w:val="auto"/>
              </w:rPr>
            </w:pPr>
            <w:r>
              <w:rPr>
                <w:rFonts w:ascii="Arial" w:cs="Arial" w:eastAsia="Arial" w:hAnsi="Arial"/>
                <w:sz w:val="17"/>
                <w:szCs w:val="17"/>
                <w:color w:val="auto"/>
              </w:rPr>
              <w:t>Impairments, Net</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(17,588)</w:t>
            </w:r>
          </w:p>
        </w:tc>
        <w:tc>
          <w:tcPr>
            <w:tcW w:w="0" w:type="dxa"/>
            <w:vAlign w:val="bottom"/>
          </w:tcPr>
          <w:p>
            <w:pPr>
              <w:spacing w:after="0"/>
              <w:rPr>
                <w:sz w:val="1"/>
                <w:szCs w:val="1"/>
                <w:color w:val="auto"/>
              </w:rPr>
            </w:pPr>
          </w:p>
        </w:tc>
      </w:tr>
      <w:tr>
        <w:trPr>
          <w:trHeight w:val="212"/>
        </w:trPr>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Operating Loss</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9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4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(71,639)</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 of December 31, 2020</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7"/>
                <w:szCs w:val="17"/>
                <w:color w:val="auto"/>
              </w:rPr>
              <w:t>Property and Equipment:</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Historical cost</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257,592</w:t>
            </w:r>
          </w:p>
        </w:tc>
        <w:tc>
          <w:tcPr>
            <w:tcW w:w="2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262,998</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361,514</w:t>
            </w:r>
          </w:p>
        </w:tc>
        <w:tc>
          <w:tcPr>
            <w:tcW w:w="2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7"/>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130,769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52"/>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1,012,873</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60"/>
              <w:spacing w:after="0"/>
              <w:rPr>
                <w:sz w:val="20"/>
                <w:szCs w:val="20"/>
                <w:color w:val="auto"/>
              </w:rPr>
            </w:pPr>
            <w:r>
              <w:rPr>
                <w:rFonts w:ascii="Arial" w:cs="Arial" w:eastAsia="Arial" w:hAnsi="Arial"/>
                <w:sz w:val="17"/>
                <w:szCs w:val="17"/>
                <w:color w:val="auto"/>
              </w:rPr>
              <w:t>Accumulated depreciation</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(134,391)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(68,486)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(75,349)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(13,312)</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(291,538)</w:t>
            </w:r>
          </w:p>
        </w:tc>
        <w:tc>
          <w:tcPr>
            <w:tcW w:w="0" w:type="dxa"/>
            <w:vAlign w:val="bottom"/>
          </w:tcPr>
          <w:p>
            <w:pPr>
              <w:spacing w:after="0"/>
              <w:rPr>
                <w:sz w:val="1"/>
                <w:szCs w:val="1"/>
                <w:color w:val="auto"/>
              </w:rPr>
            </w:pPr>
          </w:p>
        </w:tc>
      </w:tr>
      <w:tr>
        <w:trPr>
          <w:trHeight w:val="210"/>
        </w:trPr>
        <w:tc>
          <w:tcPr>
            <w:tcW w:w="48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123,201</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194,512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286,165</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117,457</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721,335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line="40" w:lineRule="exact"/>
              <w:rPr>
                <w:sz w:val="20"/>
                <w:szCs w:val="20"/>
                <w:color w:val="auto"/>
              </w:rPr>
            </w:pPr>
            <w:r>
              <w:rPr>
                <w:rFonts w:ascii="Arial" w:cs="Arial" w:eastAsia="Arial" w:hAnsi="Arial"/>
                <w:sz w:val="4"/>
                <w:szCs w:val="4"/>
                <w:color w:val="auto"/>
              </w:rPr>
              <w:t>Total Assets</w:t>
            </w: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60" w:type="dxa"/>
            <w:vAlign w:val="bottom"/>
            <w:vMerge w:val="continue"/>
          </w:tcPr>
          <w:p>
            <w:pPr>
              <w:spacing w:after="0" w:line="20" w:lineRule="exact"/>
              <w:rPr>
                <w:sz w:val="1"/>
                <w:szCs w:val="1"/>
                <w:color w:val="auto"/>
              </w:rPr>
            </w:pPr>
          </w:p>
        </w:tc>
        <w:tc>
          <w:tcPr>
            <w:tcW w:w="140" w:type="dxa"/>
            <w:vAlign w:val="bottom"/>
            <w:shd w:val="clear" w:color="auto" w:fill="000000"/>
          </w:tcPr>
          <w:p>
            <w:pPr>
              <w:spacing w:after="0" w:line="20" w:lineRule="exact"/>
              <w:rPr>
                <w:sz w:val="20"/>
                <w:szCs w:val="20"/>
                <w:color w:val="auto"/>
              </w:rPr>
            </w:pPr>
            <w:r>
              <w:rPr>
                <w:rFonts w:ascii="Arial" w:cs="Arial" w:eastAsia="Arial" w:hAnsi="Arial"/>
                <w:sz w:val="2"/>
                <w:szCs w:val="2"/>
                <w:color w:val="auto"/>
              </w:rPr>
              <w:t>$</w:t>
            </w:r>
          </w:p>
        </w:tc>
        <w:tc>
          <w:tcPr>
            <w:tcW w:w="1020" w:type="dxa"/>
            <w:vAlign w:val="bottom"/>
            <w:shd w:val="clear" w:color="auto" w:fill="000000"/>
          </w:tcPr>
          <w:p>
            <w:pPr>
              <w:jc w:val="right"/>
              <w:spacing w:after="0" w:line="20" w:lineRule="exact"/>
              <w:rPr>
                <w:sz w:val="20"/>
                <w:szCs w:val="20"/>
                <w:color w:val="auto"/>
              </w:rPr>
            </w:pPr>
            <w:r>
              <w:rPr>
                <w:rFonts w:ascii="Arial" w:cs="Arial" w:eastAsia="Arial" w:hAnsi="Arial"/>
                <w:sz w:val="2"/>
                <w:szCs w:val="2"/>
                <w:color w:val="auto"/>
              </w:rPr>
              <w:t>164,656</w:t>
            </w: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jc w:val="right"/>
              <w:spacing w:after="0" w:line="20" w:lineRule="exact"/>
              <w:rPr>
                <w:sz w:val="20"/>
                <w:szCs w:val="20"/>
                <w:color w:val="auto"/>
              </w:rPr>
            </w:pPr>
            <w:r>
              <w:rPr>
                <w:rFonts w:ascii="Arial" w:cs="Arial" w:eastAsia="Arial" w:hAnsi="Arial"/>
                <w:sz w:val="2"/>
                <w:szCs w:val="2"/>
                <w:color w:val="auto"/>
              </w:rPr>
              <w:t>$</w:t>
            </w:r>
          </w:p>
        </w:tc>
        <w:tc>
          <w:tcPr>
            <w:tcW w:w="900" w:type="dxa"/>
            <w:vAlign w:val="bottom"/>
            <w:shd w:val="clear" w:color="auto" w:fill="000000"/>
          </w:tcPr>
          <w:p>
            <w:pPr>
              <w:jc w:val="right"/>
              <w:spacing w:after="0" w:line="20" w:lineRule="exact"/>
              <w:rPr>
                <w:sz w:val="20"/>
                <w:szCs w:val="20"/>
                <w:color w:val="auto"/>
              </w:rPr>
            </w:pPr>
            <w:r>
              <w:rPr>
                <w:rFonts w:ascii="Arial" w:cs="Arial" w:eastAsia="Arial" w:hAnsi="Arial"/>
                <w:sz w:val="2"/>
                <w:szCs w:val="2"/>
                <w:color w:val="auto"/>
              </w:rPr>
              <w:t>227,894</w:t>
            </w: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jc w:val="right"/>
              <w:spacing w:after="0" w:line="20" w:lineRule="exact"/>
              <w:rPr>
                <w:sz w:val="20"/>
                <w:szCs w:val="20"/>
                <w:color w:val="auto"/>
              </w:rPr>
            </w:pPr>
            <w:r>
              <w:rPr>
                <w:rFonts w:ascii="Arial" w:cs="Arial" w:eastAsia="Arial" w:hAnsi="Arial"/>
                <w:sz w:val="2"/>
                <w:szCs w:val="2"/>
                <w:color w:val="auto"/>
              </w:rPr>
              <w:t>$</w:t>
            </w:r>
          </w:p>
        </w:tc>
        <w:tc>
          <w:tcPr>
            <w:tcW w:w="880" w:type="dxa"/>
            <w:vAlign w:val="bottom"/>
            <w:shd w:val="clear" w:color="auto" w:fill="000000"/>
          </w:tcPr>
          <w:p>
            <w:pPr>
              <w:jc w:val="right"/>
              <w:spacing w:after="0" w:line="20" w:lineRule="exact"/>
              <w:rPr>
                <w:sz w:val="20"/>
                <w:szCs w:val="20"/>
                <w:color w:val="auto"/>
              </w:rPr>
            </w:pPr>
            <w:r>
              <w:rPr>
                <w:rFonts w:ascii="Arial" w:cs="Arial" w:eastAsia="Arial" w:hAnsi="Arial"/>
                <w:sz w:val="2"/>
                <w:szCs w:val="2"/>
                <w:color w:val="auto"/>
              </w:rPr>
              <w:t>289,314</w:t>
            </w: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jc w:val="right"/>
              <w:ind w:right="7"/>
              <w:spacing w:after="0" w:line="20" w:lineRule="exact"/>
              <w:rPr>
                <w:sz w:val="20"/>
                <w:szCs w:val="20"/>
                <w:color w:val="auto"/>
              </w:rPr>
            </w:pPr>
            <w:r>
              <w:rPr>
                <w:rFonts w:ascii="Arial" w:cs="Arial" w:eastAsia="Arial" w:hAnsi="Arial"/>
                <w:sz w:val="2"/>
                <w:szCs w:val="2"/>
                <w:color w:val="auto"/>
              </w:rPr>
              <w:t>$</w:t>
            </w:r>
          </w:p>
        </w:tc>
        <w:tc>
          <w:tcPr>
            <w:tcW w:w="840" w:type="dxa"/>
            <w:vAlign w:val="bottom"/>
            <w:shd w:val="clear" w:color="auto" w:fill="000000"/>
          </w:tcPr>
          <w:p>
            <w:pPr>
              <w:jc w:val="right"/>
              <w:spacing w:after="0" w:line="20" w:lineRule="exact"/>
              <w:rPr>
                <w:sz w:val="20"/>
                <w:szCs w:val="20"/>
                <w:color w:val="auto"/>
              </w:rPr>
            </w:pPr>
            <w:r>
              <w:rPr>
                <w:rFonts w:ascii="Arial" w:cs="Arial" w:eastAsia="Arial" w:hAnsi="Arial"/>
                <w:sz w:val="2"/>
                <w:szCs w:val="2"/>
                <w:color w:val="auto"/>
              </w:rPr>
              <w:t>179,942</w:t>
            </w:r>
          </w:p>
        </w:tc>
        <w:tc>
          <w:tcPr>
            <w:tcW w:w="280" w:type="dxa"/>
            <w:vAlign w:val="bottom"/>
          </w:tcPr>
          <w:p>
            <w:pPr>
              <w:spacing w:after="0" w:line="20" w:lineRule="exact"/>
              <w:rPr>
                <w:sz w:val="1"/>
                <w:szCs w:val="1"/>
                <w:color w:val="auto"/>
              </w:rPr>
            </w:pPr>
          </w:p>
        </w:tc>
        <w:tc>
          <w:tcPr>
            <w:tcW w:w="200" w:type="dxa"/>
            <w:vAlign w:val="bottom"/>
            <w:shd w:val="clear" w:color="auto" w:fill="000000"/>
          </w:tcPr>
          <w:p>
            <w:pPr>
              <w:jc w:val="right"/>
              <w:ind w:right="52"/>
              <w:spacing w:after="0" w:line="20" w:lineRule="exact"/>
              <w:rPr>
                <w:sz w:val="20"/>
                <w:szCs w:val="20"/>
                <w:color w:val="auto"/>
              </w:rPr>
            </w:pPr>
            <w:r>
              <w:rPr>
                <w:rFonts w:ascii="Arial" w:cs="Arial" w:eastAsia="Arial" w:hAnsi="Arial"/>
                <w:sz w:val="2"/>
                <w:szCs w:val="2"/>
                <w:color w:val="auto"/>
              </w:rPr>
              <w:t>$</w:t>
            </w:r>
          </w:p>
        </w:tc>
        <w:tc>
          <w:tcPr>
            <w:tcW w:w="800" w:type="dxa"/>
            <w:vAlign w:val="bottom"/>
            <w:shd w:val="clear" w:color="auto" w:fill="000000"/>
          </w:tcPr>
          <w:p>
            <w:pPr>
              <w:jc w:val="right"/>
              <w:spacing w:after="0" w:line="20" w:lineRule="exact"/>
              <w:rPr>
                <w:sz w:val="20"/>
                <w:szCs w:val="20"/>
                <w:color w:val="auto"/>
              </w:rPr>
            </w:pPr>
            <w:r>
              <w:rPr>
                <w:rFonts w:ascii="Arial" w:cs="Arial" w:eastAsia="Arial" w:hAnsi="Arial"/>
                <w:sz w:val="2"/>
                <w:szCs w:val="2"/>
                <w:color w:val="auto"/>
              </w:rPr>
              <w:t>861,806</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60" w:type="dxa"/>
            <w:vAlign w:val="bottom"/>
          </w:tcPr>
          <w:p>
            <w:pPr>
              <w:ind w:left="840"/>
              <w:spacing w:after="0"/>
              <w:rPr>
                <w:sz w:val="20"/>
                <w:szCs w:val="20"/>
                <w:color w:val="auto"/>
              </w:rPr>
            </w:pPr>
            <w:r>
              <w:rPr>
                <w:rFonts w:ascii="Arial" w:cs="Arial" w:eastAsia="Arial" w:hAnsi="Arial"/>
                <w:sz w:val="15"/>
                <w:szCs w:val="15"/>
                <w:color w:val="auto"/>
              </w:rPr>
              <w:t>(1)</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760" w:hanging="752"/>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Total assets excludes $105.6 million of corporate assets, and $50.2 million of assets of discontinued operations.</w:t>
      </w:r>
    </w:p>
    <w:p>
      <w:pPr>
        <w:jc w:val="both"/>
        <w:ind w:left="760" w:hanging="752"/>
        <w:spacing w:after="0" w:line="255" w:lineRule="auto"/>
        <w:tabs>
          <w:tab w:leader="none" w:pos="7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prior periods Africa and Europe were reported as separate segments. Due to the sale of Windcat Workboats, the Company’s European operations are no longer analyzed by the chief operating decision maker on a standalone basis but rather are analyzed as part of the Africa and Europe segment. As a result, for purposes of segment reporting European operations are now analyzed with Africa and reported as a consolidated segment and prior period information has been conformed to the new consolidated reporting segment.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3"/>
              </w:rPr>
              <w:t>Africa and</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7"/>
                <w:szCs w:val="17"/>
                <w:b w:val="1"/>
                <w:bCs w:val="1"/>
                <w:color w:val="auto"/>
              </w:rPr>
              <w:t>United States</w:t>
            </w:r>
          </w:p>
        </w:tc>
        <w:tc>
          <w:tcPr>
            <w:tcW w:w="8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1"/>
              </w:rPr>
              <w:t>Europe,</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260" w:type="dxa"/>
            <w:vAlign w:val="bottom"/>
            <w:gridSpan w:val="3"/>
          </w:tcPr>
          <w:p>
            <w:pPr>
              <w:jc w:val="center"/>
              <w:ind w:right="280"/>
              <w:spacing w:after="0" w:line="171" w:lineRule="exact"/>
              <w:rPr>
                <w:sz w:val="20"/>
                <w:szCs w:val="20"/>
                <w:color w:val="auto"/>
              </w:rPr>
            </w:pPr>
            <w:r>
              <w:rPr>
                <w:rFonts w:ascii="Arial" w:cs="Arial" w:eastAsia="Arial" w:hAnsi="Arial"/>
                <w:sz w:val="17"/>
                <w:szCs w:val="17"/>
                <w:b w:val="1"/>
                <w:bCs w:val="1"/>
                <w:color w:val="auto"/>
                <w:w w:val="91"/>
              </w:rPr>
              <w:t>Continuing</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2460" w:type="dxa"/>
            <w:vAlign w:val="bottom"/>
            <w:gridSpan w:val="4"/>
          </w:tcPr>
          <w:p>
            <w:pPr>
              <w:ind w:left="1040"/>
              <w:spacing w:after="0"/>
              <w:rPr>
                <w:sz w:val="20"/>
                <w:szCs w:val="20"/>
                <w:color w:val="auto"/>
              </w:rPr>
            </w:pPr>
            <w:r>
              <w:rPr>
                <w:rFonts w:ascii="Arial" w:cs="Arial" w:eastAsia="Arial" w:hAnsi="Arial"/>
                <w:sz w:val="17"/>
                <w:szCs w:val="17"/>
                <w:b w:val="1"/>
                <w:bCs w:val="1"/>
                <w:color w:val="auto"/>
              </w:rPr>
              <w:t>(primarily Gulf</w:t>
            </w:r>
          </w:p>
        </w:tc>
        <w:tc>
          <w:tcPr>
            <w:tcW w:w="8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1"/>
              </w:rPr>
              <w:t>Operations</w:t>
            </w:r>
          </w:p>
        </w:tc>
        <w:tc>
          <w:tcPr>
            <w:tcW w:w="1280" w:type="dxa"/>
            <w:vAlign w:val="bottom"/>
            <w:gridSpan w:val="3"/>
          </w:tcPr>
          <w:p>
            <w:pPr>
              <w:jc w:val="right"/>
              <w:ind w:right="340"/>
              <w:spacing w:after="0"/>
              <w:rPr>
                <w:sz w:val="20"/>
                <w:szCs w:val="20"/>
                <w:color w:val="auto"/>
              </w:rPr>
            </w:pPr>
            <w:r>
              <w:rPr>
                <w:rFonts w:ascii="Arial" w:cs="Arial" w:eastAsia="Arial" w:hAnsi="Arial"/>
                <w:sz w:val="17"/>
                <w:szCs w:val="17"/>
                <w:b w:val="1"/>
                <w:bCs w:val="1"/>
                <w:color w:val="auto"/>
                <w:w w:val="97"/>
              </w:rPr>
              <w:t>Middle East</w:t>
            </w:r>
          </w:p>
        </w:tc>
        <w:tc>
          <w:tcPr>
            <w:tcW w:w="120" w:type="dxa"/>
            <w:vAlign w:val="bottom"/>
          </w:tcPr>
          <w:p>
            <w:pPr>
              <w:spacing w:after="0"/>
              <w:rPr>
                <w:sz w:val="17"/>
                <w:szCs w:val="17"/>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Latin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w w:val="95"/>
              </w:rPr>
              <w:t>of Mexico)</w:t>
            </w:r>
          </w:p>
        </w:tc>
        <w:tc>
          <w:tcPr>
            <w:tcW w:w="80" w:type="dxa"/>
            <w:vAlign w:val="bottom"/>
          </w:tcPr>
          <w:p>
            <w:pPr>
              <w:spacing w:after="0"/>
              <w:rPr>
                <w:sz w:val="18"/>
                <w:szCs w:val="18"/>
                <w:color w:val="auto"/>
              </w:rPr>
            </w:pPr>
          </w:p>
        </w:tc>
        <w:tc>
          <w:tcPr>
            <w:tcW w:w="920" w:type="dxa"/>
            <w:vAlign w:val="bottom"/>
          </w:tcPr>
          <w:p>
            <w:pPr>
              <w:jc w:val="center"/>
              <w:ind w:right="18"/>
              <w:spacing w:after="0"/>
              <w:rPr>
                <w:sz w:val="20"/>
                <w:szCs w:val="20"/>
                <w:color w:val="auto"/>
              </w:rPr>
            </w:pPr>
            <w:r>
              <w:rPr>
                <w:rFonts w:ascii="Arial" w:cs="Arial" w:eastAsia="Arial" w:hAnsi="Arial"/>
                <w:sz w:val="15"/>
                <w:szCs w:val="15"/>
                <w:b w:val="1"/>
                <w:bCs w:val="1"/>
                <w:color w:val="auto"/>
                <w:w w:val="97"/>
              </w:rPr>
              <w:t>(2)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w w:val="93"/>
              </w:rPr>
              <w:t>and Asia</w:t>
            </w:r>
          </w:p>
        </w:tc>
        <w:tc>
          <w:tcPr>
            <w:tcW w:w="1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8"/>
              </w:rPr>
              <w:t>America</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9"/>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For the year ended December 31, 2019</w:t>
            </w:r>
          </w:p>
        </w:tc>
        <w:tc>
          <w:tcPr>
            <w:tcW w:w="10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7"/>
                <w:szCs w:val="17"/>
                <w:color w:val="auto"/>
              </w:rPr>
              <w:t>Time Charter Statistics: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Average Rates Per Day</w:t>
            </w:r>
          </w:p>
        </w:tc>
        <w:tc>
          <w:tcPr>
            <w:tcW w:w="1180" w:type="dxa"/>
            <w:vAlign w:val="bottom"/>
            <w:gridSpan w:val="2"/>
            <w:shd w:val="clear" w:color="auto" w:fill="CFF0FC"/>
          </w:tcPr>
          <w:p>
            <w:pPr>
              <w:ind w:left="10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14,701</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10,603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8,556</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9,449</w:t>
            </w:r>
          </w:p>
        </w:tc>
        <w:tc>
          <w:tcPr>
            <w:tcW w:w="2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1"/>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10,369</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60"/>
              <w:spacing w:after="0"/>
              <w:rPr>
                <w:sz w:val="20"/>
                <w:szCs w:val="20"/>
                <w:color w:val="auto"/>
              </w:rPr>
            </w:pPr>
            <w:r>
              <w:rPr>
                <w:rFonts w:ascii="Arial" w:cs="Arial" w:eastAsia="Arial" w:hAnsi="Arial"/>
                <w:sz w:val="17"/>
                <w:szCs w:val="17"/>
                <w:color w:val="auto"/>
              </w:rPr>
              <w:t>Fleet Utilization</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84%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Fleet Available Days</w:t>
            </w: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9,663</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5,866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8,008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1,769</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25,306</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7"/>
                <w:szCs w:val="17"/>
                <w:color w:val="auto"/>
              </w:rPr>
              <w:t>Operating Revenues: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Time charter</w:t>
            </w:r>
          </w:p>
        </w:tc>
        <w:tc>
          <w:tcPr>
            <w:tcW w:w="1180" w:type="dxa"/>
            <w:vAlign w:val="bottom"/>
            <w:gridSpan w:val="2"/>
            <w:shd w:val="clear" w:color="auto" w:fill="CFF0FC"/>
          </w:tcPr>
          <w:p>
            <w:pPr>
              <w:ind w:left="10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38,955</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52,325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54,312</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11,460</w:t>
            </w:r>
          </w:p>
        </w:tc>
        <w:tc>
          <w:tcPr>
            <w:tcW w:w="2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1"/>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157,052</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60"/>
              <w:spacing w:after="0"/>
              <w:rPr>
                <w:sz w:val="20"/>
                <w:szCs w:val="20"/>
                <w:color w:val="auto"/>
              </w:rPr>
            </w:pPr>
            <w:r>
              <w:rPr>
                <w:rFonts w:ascii="Arial" w:cs="Arial" w:eastAsia="Arial" w:hAnsi="Arial"/>
                <w:sz w:val="17"/>
                <w:szCs w:val="17"/>
                <w:color w:val="auto"/>
              </w:rPr>
              <w:t>Bareboat charter</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1,562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5,131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Other</w:t>
            </w:r>
          </w:p>
        </w:tc>
        <w:tc>
          <w:tcPr>
            <w:tcW w:w="10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3,806</w:t>
            </w:r>
          </w:p>
        </w:tc>
        <w:tc>
          <w:tcPr>
            <w:tcW w:w="2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5,405</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1,669</w:t>
            </w:r>
          </w:p>
        </w:tc>
        <w:tc>
          <w:tcPr>
            <w:tcW w:w="2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1,390</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12,270</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tcBorders>
              <w:bottom w:val="single" w:sz="8" w:color="CFF0FC"/>
            </w:tcBorders>
          </w:tcPr>
          <w:p>
            <w:pPr>
              <w:spacing w:after="0"/>
              <w:rPr>
                <w:sz w:val="18"/>
                <w:szCs w:val="18"/>
                <w:color w:val="auto"/>
              </w:rPr>
            </w:pPr>
          </w:p>
        </w:tc>
        <w:tc>
          <w:tcPr>
            <w:tcW w:w="10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44,323</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57,730</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55,981</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16,419</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174,453</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FF0FC"/>
          </w:tcPr>
          <w:p>
            <w:pPr>
              <w:spacing w:after="0"/>
              <w:rPr>
                <w:sz w:val="20"/>
                <w:szCs w:val="20"/>
                <w:color w:val="auto"/>
              </w:rPr>
            </w:pPr>
            <w:r>
              <w:rPr>
                <w:rFonts w:ascii="Arial" w:cs="Arial" w:eastAsia="Arial" w:hAnsi="Arial"/>
                <w:sz w:val="17"/>
                <w:szCs w:val="17"/>
                <w:color w:val="auto"/>
              </w:rPr>
              <w:t>Direct Costs and Expenses:</w:t>
            </w: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60"/>
              <w:spacing w:after="0"/>
              <w:rPr>
                <w:sz w:val="20"/>
                <w:szCs w:val="20"/>
                <w:color w:val="auto"/>
              </w:rPr>
            </w:pPr>
            <w:r>
              <w:rPr>
                <w:rFonts w:ascii="Arial" w:cs="Arial" w:eastAsia="Arial" w:hAnsi="Arial"/>
                <w:sz w:val="17"/>
                <w:szCs w:val="17"/>
                <w:color w:val="auto"/>
              </w:rPr>
              <w:t>Operating:</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Personnel</w:t>
            </w:r>
          </w:p>
        </w:tc>
        <w:tc>
          <w:tcPr>
            <w:tcW w:w="1180" w:type="dxa"/>
            <w:vAlign w:val="bottom"/>
            <w:gridSpan w:val="2"/>
            <w:shd w:val="clear" w:color="auto" w:fill="CFF0FC"/>
          </w:tcPr>
          <w:p>
            <w:pPr>
              <w:ind w:left="10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17,491</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17,327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16,698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4,459</w:t>
            </w:r>
          </w:p>
        </w:tc>
        <w:tc>
          <w:tcPr>
            <w:tcW w:w="2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1"/>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55,975</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500"/>
              <w:spacing w:after="0"/>
              <w:rPr>
                <w:sz w:val="20"/>
                <w:szCs w:val="20"/>
                <w:color w:val="auto"/>
              </w:rPr>
            </w:pPr>
            <w:r>
              <w:rPr>
                <w:rFonts w:ascii="Arial" w:cs="Arial" w:eastAsia="Arial" w:hAnsi="Arial"/>
                <w:sz w:val="17"/>
                <w:szCs w:val="17"/>
                <w:color w:val="auto"/>
              </w:rPr>
              <w:t>Repairs and maintenance</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7,583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5,288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7,182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21,401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Drydocking</w:t>
            </w: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4,594</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5,848</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500"/>
              <w:spacing w:after="0"/>
              <w:rPr>
                <w:sz w:val="20"/>
                <w:szCs w:val="20"/>
                <w:color w:val="auto"/>
              </w:rPr>
            </w:pPr>
            <w:r>
              <w:rPr>
                <w:rFonts w:ascii="Arial" w:cs="Arial" w:eastAsia="Arial" w:hAnsi="Arial"/>
                <w:sz w:val="17"/>
                <w:szCs w:val="17"/>
                <w:color w:val="auto"/>
              </w:rPr>
              <w:t>Insurance and loss reserves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2,370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1,492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1,449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5,622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Fuel, lubes and supplies</w:t>
            </w: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2,936</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3,726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2,904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1,056</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10,622</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Other</w:t>
            </w:r>
          </w:p>
        </w:tc>
        <w:tc>
          <w:tcPr>
            <w:tcW w:w="10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5,385</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3,095</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1,182</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10,055</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35,367</w:t>
            </w:r>
          </w:p>
        </w:tc>
        <w:tc>
          <w:tcPr>
            <w:tcW w:w="2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33,711</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31,928</w:t>
            </w:r>
          </w:p>
        </w:tc>
        <w:tc>
          <w:tcPr>
            <w:tcW w:w="2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8,517</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109,523</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Direct Vessel Profit</w:t>
            </w:r>
          </w:p>
        </w:tc>
        <w:tc>
          <w:tcPr>
            <w:tcW w:w="10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8,956</w:t>
            </w:r>
          </w:p>
        </w:tc>
        <w:tc>
          <w:tcPr>
            <w:tcW w:w="28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24,019</w:t>
            </w: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24,053</w:t>
            </w:r>
          </w:p>
        </w:tc>
        <w:tc>
          <w:tcPr>
            <w:tcW w:w="2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7,902</w:t>
            </w:r>
          </w:p>
        </w:tc>
        <w:tc>
          <w:tcPr>
            <w:tcW w:w="2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64,930</w:t>
            </w:r>
          </w:p>
        </w:tc>
        <w:tc>
          <w:tcPr>
            <w:tcW w:w="1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FF0FC"/>
          </w:tcPr>
          <w:p>
            <w:pPr>
              <w:spacing w:after="0" w:line="193" w:lineRule="exact"/>
              <w:rPr>
                <w:sz w:val="20"/>
                <w:szCs w:val="20"/>
                <w:color w:val="auto"/>
              </w:rPr>
            </w:pPr>
            <w:r>
              <w:rPr>
                <w:rFonts w:ascii="Arial" w:cs="Arial" w:eastAsia="Arial" w:hAnsi="Arial"/>
                <w:sz w:val="17"/>
                <w:szCs w:val="17"/>
                <w:color w:val="auto"/>
              </w:rPr>
              <w:t>Other Costs and Expenses:</w:t>
            </w: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60"/>
              <w:spacing w:after="0"/>
              <w:rPr>
                <w:sz w:val="20"/>
                <w:szCs w:val="20"/>
                <w:color w:val="auto"/>
              </w:rPr>
            </w:pPr>
            <w:r>
              <w:rPr>
                <w:rFonts w:ascii="Arial" w:cs="Arial" w:eastAsia="Arial" w:hAnsi="Arial"/>
                <w:sz w:val="17"/>
                <w:szCs w:val="17"/>
                <w:color w:val="auto"/>
              </w:rPr>
              <w:t>Lease expense</w:t>
            </w:r>
          </w:p>
        </w:tc>
        <w:tc>
          <w:tcPr>
            <w:tcW w:w="11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10,894</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4,763</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173</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18"/>
                <w:szCs w:val="18"/>
                <w:color w:val="auto"/>
              </w:rPr>
            </w:pPr>
          </w:p>
        </w:tc>
        <w:tc>
          <w:tcPr>
            <w:tcW w:w="260" w:type="dxa"/>
            <w:vAlign w:val="bottom"/>
            <w:gridSpan w:val="2"/>
          </w:tcPr>
          <w:p>
            <w:pPr>
              <w:jc w:val="right"/>
              <w:ind w:right="41"/>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15,840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Administrative and general</w:t>
            </w: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39,791</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Depreciation and amortization</w:t>
            </w:r>
          </w:p>
        </w:tc>
        <w:tc>
          <w:tcPr>
            <w:tcW w:w="1180" w:type="dxa"/>
            <w:vAlign w:val="bottom"/>
            <w:tcBorders>
              <w:bottom w:val="single" w:sz="8" w:color="CFF0FC"/>
            </w:tcBorders>
            <w:gridSpan w:val="2"/>
          </w:tcPr>
          <w:p>
            <w:pPr>
              <w:ind w:left="104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21,947</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12,614</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16,400</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6,205</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57,166</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112,797</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840" w:type="dxa"/>
            <w:vAlign w:val="bottom"/>
          </w:tcPr>
          <w:p>
            <w:pPr>
              <w:spacing w:after="0" w:line="192" w:lineRule="exact"/>
              <w:rPr>
                <w:sz w:val="20"/>
                <w:szCs w:val="20"/>
                <w:color w:val="auto"/>
              </w:rPr>
            </w:pPr>
            <w:r>
              <w:rPr>
                <w:rFonts w:ascii="Arial" w:cs="Arial" w:eastAsia="Arial" w:hAnsi="Arial"/>
                <w:sz w:val="17"/>
                <w:szCs w:val="17"/>
                <w:color w:val="auto"/>
              </w:rPr>
              <w:t>Loss on Asset Dispositions and</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840" w:type="dxa"/>
            <w:vAlign w:val="bottom"/>
          </w:tcPr>
          <w:p>
            <w:pPr>
              <w:ind w:left="140"/>
              <w:spacing w:after="0"/>
              <w:rPr>
                <w:sz w:val="20"/>
                <w:szCs w:val="20"/>
                <w:color w:val="auto"/>
              </w:rPr>
            </w:pPr>
            <w:r>
              <w:rPr>
                <w:rFonts w:ascii="Arial" w:cs="Arial" w:eastAsia="Arial" w:hAnsi="Arial"/>
                <w:sz w:val="17"/>
                <w:szCs w:val="17"/>
                <w:color w:val="auto"/>
              </w:rPr>
              <w:t>Impairments, Net</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(6,461)</w:t>
            </w:r>
          </w:p>
        </w:tc>
        <w:tc>
          <w:tcPr>
            <w:tcW w:w="0" w:type="dxa"/>
            <w:vAlign w:val="bottom"/>
          </w:tcPr>
          <w:p>
            <w:pPr>
              <w:spacing w:after="0"/>
              <w:rPr>
                <w:sz w:val="1"/>
                <w:szCs w:val="1"/>
                <w:color w:val="auto"/>
              </w:rPr>
            </w:pPr>
          </w:p>
        </w:tc>
      </w:tr>
      <w:tr>
        <w:trPr>
          <w:trHeight w:val="212"/>
        </w:trPr>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Operating Loss</w:t>
            </w:r>
          </w:p>
        </w:tc>
        <w:tc>
          <w:tcPr>
            <w:tcW w:w="10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(54,328)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 of December 31, 2019</w:t>
            </w: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7"/>
                <w:szCs w:val="17"/>
                <w:color w:val="auto"/>
              </w:rPr>
              <w:t>Property and Equipment:</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Historical cost</w:t>
            </w:r>
          </w:p>
        </w:tc>
        <w:tc>
          <w:tcPr>
            <w:tcW w:w="1180" w:type="dxa"/>
            <w:vAlign w:val="bottom"/>
            <w:gridSpan w:val="2"/>
            <w:shd w:val="clear" w:color="auto" w:fill="CFF0FC"/>
          </w:tcPr>
          <w:p>
            <w:pPr>
              <w:ind w:left="10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297,392</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251,652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292,446</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57,534</w:t>
            </w:r>
          </w:p>
        </w:tc>
        <w:tc>
          <w:tcPr>
            <w:tcW w:w="2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1"/>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899,024</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60"/>
              <w:spacing w:after="0"/>
              <w:rPr>
                <w:sz w:val="20"/>
                <w:szCs w:val="20"/>
                <w:color w:val="auto"/>
              </w:rPr>
            </w:pPr>
            <w:r>
              <w:rPr>
                <w:rFonts w:ascii="Arial" w:cs="Arial" w:eastAsia="Arial" w:hAnsi="Arial"/>
                <w:sz w:val="17"/>
                <w:szCs w:val="17"/>
                <w:color w:val="auto"/>
              </w:rPr>
              <w:t>Accumulated depreciation</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(157,514)</w:t>
            </w:r>
          </w:p>
        </w:tc>
        <w:tc>
          <w:tcPr>
            <w:tcW w:w="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(62,125)</w:t>
            </w: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(73,039)</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(16,239)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(308,917)</w:t>
            </w:r>
          </w:p>
        </w:tc>
        <w:tc>
          <w:tcPr>
            <w:tcW w:w="0" w:type="dxa"/>
            <w:vAlign w:val="bottom"/>
          </w:tcPr>
          <w:p>
            <w:pPr>
              <w:spacing w:after="0"/>
              <w:rPr>
                <w:sz w:val="1"/>
                <w:szCs w:val="1"/>
                <w:color w:val="auto"/>
              </w:rPr>
            </w:pPr>
          </w:p>
        </w:tc>
      </w:tr>
      <w:tr>
        <w:trPr>
          <w:trHeight w:val="210"/>
        </w:trPr>
        <w:tc>
          <w:tcPr>
            <w:tcW w:w="3840" w:type="dxa"/>
            <w:vAlign w:val="bottom"/>
            <w:tcBorders>
              <w:top w:val="single" w:sz="8" w:color="CFF0FC"/>
              <w:bottom w:val="single" w:sz="8" w:color="CFF0FC"/>
            </w:tcBorders>
            <w:shd w:val="clear" w:color="auto" w:fill="CFF0FC"/>
          </w:tcPr>
          <w:p>
            <w:pPr>
              <w:spacing w:after="0"/>
              <w:rPr>
                <w:sz w:val="18"/>
                <w:szCs w:val="18"/>
                <w:color w:val="auto"/>
              </w:rPr>
            </w:pPr>
          </w:p>
        </w:tc>
        <w:tc>
          <w:tcPr>
            <w:tcW w:w="10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139,878</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189,527</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219,407</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41,295</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590,107</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line="40" w:lineRule="exact"/>
              <w:rPr>
                <w:sz w:val="20"/>
                <w:szCs w:val="20"/>
                <w:color w:val="auto"/>
              </w:rPr>
            </w:pPr>
            <w:r>
              <w:rPr>
                <w:rFonts w:ascii="Arial" w:cs="Arial" w:eastAsia="Arial" w:hAnsi="Arial"/>
                <w:sz w:val="4"/>
                <w:szCs w:val="4"/>
                <w:color w:val="auto"/>
              </w:rPr>
              <w:t>Total Assets</w:t>
            </w:r>
          </w:p>
        </w:tc>
        <w:tc>
          <w:tcPr>
            <w:tcW w:w="1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40" w:type="dxa"/>
            <w:vAlign w:val="bottom"/>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20"/>
                <w:szCs w:val="20"/>
                <w:color w:val="auto"/>
              </w:rPr>
            </w:pPr>
            <w:r>
              <w:rPr>
                <w:rFonts w:ascii="Arial" w:cs="Arial" w:eastAsia="Arial" w:hAnsi="Arial"/>
                <w:sz w:val="2"/>
                <w:szCs w:val="2"/>
                <w:color w:val="auto"/>
              </w:rPr>
              <w:t>$</w:t>
            </w:r>
          </w:p>
        </w:tc>
        <w:tc>
          <w:tcPr>
            <w:tcW w:w="1000" w:type="dxa"/>
            <w:vAlign w:val="bottom"/>
            <w:shd w:val="clear" w:color="auto" w:fill="000000"/>
          </w:tcPr>
          <w:p>
            <w:pPr>
              <w:jc w:val="right"/>
              <w:spacing w:after="0" w:line="20" w:lineRule="exact"/>
              <w:rPr>
                <w:sz w:val="20"/>
                <w:szCs w:val="20"/>
                <w:color w:val="auto"/>
              </w:rPr>
            </w:pPr>
            <w:r>
              <w:rPr>
                <w:rFonts w:ascii="Arial" w:cs="Arial" w:eastAsia="Arial" w:hAnsi="Arial"/>
                <w:sz w:val="2"/>
                <w:szCs w:val="2"/>
                <w:color w:val="auto"/>
              </w:rPr>
              <w:t>224,229</w:t>
            </w:r>
          </w:p>
        </w:tc>
        <w:tc>
          <w:tcPr>
            <w:tcW w:w="280" w:type="dxa"/>
            <w:vAlign w:val="bottom"/>
          </w:tcPr>
          <w:p>
            <w:pPr>
              <w:spacing w:after="0" w:line="20" w:lineRule="exact"/>
              <w:rPr>
                <w:sz w:val="1"/>
                <w:szCs w:val="1"/>
                <w:color w:val="auto"/>
              </w:rPr>
            </w:pPr>
          </w:p>
        </w:tc>
        <w:tc>
          <w:tcPr>
            <w:tcW w:w="80" w:type="dxa"/>
            <w:vAlign w:val="bottom"/>
            <w:shd w:val="clear" w:color="auto" w:fill="000000"/>
          </w:tcPr>
          <w:p>
            <w:pPr>
              <w:jc w:val="right"/>
              <w:spacing w:after="0" w:line="20" w:lineRule="exact"/>
              <w:rPr>
                <w:sz w:val="20"/>
                <w:szCs w:val="20"/>
                <w:color w:val="auto"/>
              </w:rPr>
            </w:pPr>
            <w:r>
              <w:rPr>
                <w:rFonts w:ascii="Arial" w:cs="Arial" w:eastAsia="Arial" w:hAnsi="Arial"/>
                <w:sz w:val="2"/>
                <w:szCs w:val="2"/>
                <w:color w:val="auto"/>
              </w:rPr>
              <w:t>$</w:t>
            </w:r>
          </w:p>
        </w:tc>
        <w:tc>
          <w:tcPr>
            <w:tcW w:w="920" w:type="dxa"/>
            <w:vAlign w:val="bottom"/>
            <w:shd w:val="clear" w:color="auto" w:fill="000000"/>
          </w:tcPr>
          <w:p>
            <w:pPr>
              <w:jc w:val="right"/>
              <w:spacing w:after="0" w:line="20" w:lineRule="exact"/>
              <w:rPr>
                <w:sz w:val="20"/>
                <w:szCs w:val="20"/>
                <w:color w:val="auto"/>
              </w:rPr>
            </w:pPr>
            <w:r>
              <w:rPr>
                <w:rFonts w:ascii="Arial" w:cs="Arial" w:eastAsia="Arial" w:hAnsi="Arial"/>
                <w:sz w:val="2"/>
                <w:szCs w:val="2"/>
                <w:color w:val="auto"/>
              </w:rPr>
              <w:t>226,071</w:t>
            </w:r>
          </w:p>
        </w:tc>
        <w:tc>
          <w:tcPr>
            <w:tcW w:w="260" w:type="dxa"/>
            <w:vAlign w:val="bottom"/>
          </w:tcPr>
          <w:p>
            <w:pPr>
              <w:spacing w:after="0" w:line="20" w:lineRule="exact"/>
              <w:rPr>
                <w:sz w:val="1"/>
                <w:szCs w:val="1"/>
                <w:color w:val="auto"/>
              </w:rPr>
            </w:pPr>
          </w:p>
        </w:tc>
        <w:tc>
          <w:tcPr>
            <w:tcW w:w="140" w:type="dxa"/>
            <w:vAlign w:val="bottom"/>
            <w:shd w:val="clear" w:color="auto" w:fill="000000"/>
          </w:tcPr>
          <w:p>
            <w:pPr>
              <w:jc w:val="right"/>
              <w:spacing w:after="0" w:line="20" w:lineRule="exact"/>
              <w:rPr>
                <w:sz w:val="20"/>
                <w:szCs w:val="20"/>
                <w:color w:val="auto"/>
              </w:rPr>
            </w:pPr>
            <w:r>
              <w:rPr>
                <w:rFonts w:ascii="Arial" w:cs="Arial" w:eastAsia="Arial" w:hAnsi="Arial"/>
                <w:sz w:val="2"/>
                <w:szCs w:val="2"/>
                <w:color w:val="auto"/>
              </w:rPr>
              <w:t>$</w:t>
            </w:r>
          </w:p>
        </w:tc>
        <w:tc>
          <w:tcPr>
            <w:tcW w:w="860" w:type="dxa"/>
            <w:vAlign w:val="bottom"/>
            <w:shd w:val="clear" w:color="auto" w:fill="000000"/>
          </w:tcPr>
          <w:p>
            <w:pPr>
              <w:jc w:val="right"/>
              <w:spacing w:after="0" w:line="20" w:lineRule="exact"/>
              <w:rPr>
                <w:sz w:val="20"/>
                <w:szCs w:val="20"/>
                <w:color w:val="auto"/>
              </w:rPr>
            </w:pPr>
            <w:r>
              <w:rPr>
                <w:rFonts w:ascii="Arial" w:cs="Arial" w:eastAsia="Arial" w:hAnsi="Arial"/>
                <w:sz w:val="2"/>
                <w:szCs w:val="2"/>
                <w:color w:val="auto"/>
              </w:rPr>
              <w:t>250,890</w:t>
            </w:r>
          </w:p>
        </w:tc>
        <w:tc>
          <w:tcPr>
            <w:tcW w:w="280" w:type="dxa"/>
            <w:vAlign w:val="bottom"/>
          </w:tcPr>
          <w:p>
            <w:pPr>
              <w:spacing w:after="0" w:line="20" w:lineRule="exact"/>
              <w:rPr>
                <w:sz w:val="1"/>
                <w:szCs w:val="1"/>
                <w:color w:val="auto"/>
              </w:rPr>
            </w:pPr>
          </w:p>
        </w:tc>
        <w:tc>
          <w:tcPr>
            <w:tcW w:w="120" w:type="dxa"/>
            <w:vAlign w:val="bottom"/>
            <w:shd w:val="clear" w:color="auto" w:fill="000000"/>
          </w:tcPr>
          <w:p>
            <w:pPr>
              <w:jc w:val="right"/>
              <w:spacing w:after="0" w:line="20" w:lineRule="exact"/>
              <w:rPr>
                <w:sz w:val="20"/>
                <w:szCs w:val="20"/>
                <w:color w:val="auto"/>
              </w:rPr>
            </w:pPr>
            <w:r>
              <w:rPr>
                <w:rFonts w:ascii="Arial" w:cs="Arial" w:eastAsia="Arial" w:hAnsi="Arial"/>
                <w:sz w:val="2"/>
                <w:szCs w:val="2"/>
                <w:color w:val="auto"/>
              </w:rPr>
              <w:t>$</w:t>
            </w:r>
          </w:p>
        </w:tc>
        <w:tc>
          <w:tcPr>
            <w:tcW w:w="860" w:type="dxa"/>
            <w:vAlign w:val="bottom"/>
            <w:shd w:val="clear" w:color="auto" w:fill="000000"/>
          </w:tcPr>
          <w:p>
            <w:pPr>
              <w:jc w:val="right"/>
              <w:spacing w:after="0" w:line="20" w:lineRule="exact"/>
              <w:rPr>
                <w:sz w:val="20"/>
                <w:szCs w:val="20"/>
                <w:color w:val="auto"/>
              </w:rPr>
            </w:pPr>
            <w:r>
              <w:rPr>
                <w:rFonts w:ascii="Arial" w:cs="Arial" w:eastAsia="Arial" w:hAnsi="Arial"/>
                <w:sz w:val="2"/>
                <w:szCs w:val="2"/>
                <w:color w:val="auto"/>
              </w:rPr>
              <w:t>116,736</w:t>
            </w: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jc w:val="right"/>
              <w:ind w:right="41"/>
              <w:spacing w:after="0" w:line="20" w:lineRule="exact"/>
              <w:rPr>
                <w:sz w:val="20"/>
                <w:szCs w:val="20"/>
                <w:color w:val="auto"/>
              </w:rPr>
            </w:pPr>
            <w:r>
              <w:rPr>
                <w:rFonts w:ascii="Arial" w:cs="Arial" w:eastAsia="Arial" w:hAnsi="Arial"/>
                <w:sz w:val="2"/>
                <w:szCs w:val="2"/>
                <w:color w:val="auto"/>
              </w:rPr>
              <w:t>$</w:t>
            </w:r>
          </w:p>
        </w:tc>
        <w:tc>
          <w:tcPr>
            <w:tcW w:w="800" w:type="dxa"/>
            <w:vAlign w:val="bottom"/>
            <w:shd w:val="clear" w:color="auto" w:fill="000000"/>
          </w:tcPr>
          <w:p>
            <w:pPr>
              <w:jc w:val="right"/>
              <w:spacing w:after="0" w:line="20" w:lineRule="exact"/>
              <w:rPr>
                <w:sz w:val="20"/>
                <w:szCs w:val="20"/>
                <w:color w:val="auto"/>
              </w:rPr>
            </w:pPr>
            <w:r>
              <w:rPr>
                <w:rFonts w:ascii="Arial" w:cs="Arial" w:eastAsia="Arial" w:hAnsi="Arial"/>
                <w:sz w:val="2"/>
                <w:szCs w:val="2"/>
                <w:color w:val="auto"/>
              </w:rPr>
              <w:t>817,926</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40" w:type="dxa"/>
            <w:vAlign w:val="bottom"/>
          </w:tcPr>
          <w:p>
            <w:pPr>
              <w:ind w:left="840"/>
              <w:spacing w:after="0"/>
              <w:rPr>
                <w:sz w:val="20"/>
                <w:szCs w:val="20"/>
                <w:color w:val="auto"/>
              </w:rPr>
            </w:pPr>
            <w:r>
              <w:rPr>
                <w:rFonts w:ascii="Arial" w:cs="Arial" w:eastAsia="Arial" w:hAnsi="Arial"/>
                <w:sz w:val="15"/>
                <w:szCs w:val="15"/>
                <w:color w:val="auto"/>
              </w:rPr>
              <w:t>(1)</w:t>
            </w:r>
          </w:p>
        </w:tc>
        <w:tc>
          <w:tcPr>
            <w:tcW w:w="1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760" w:hanging="752"/>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Total assets excludes $145.5 million of corporate assets, and $45.7 million of assets of discontinued operations.</w:t>
      </w:r>
    </w:p>
    <w:p>
      <w:pPr>
        <w:jc w:val="both"/>
        <w:ind w:left="760" w:hanging="752"/>
        <w:spacing w:after="0" w:line="255" w:lineRule="auto"/>
        <w:tabs>
          <w:tab w:leader="none" w:pos="7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 prior periods Africa and Europe were reported as separate segments. Due to the sale of Windcat Workboats, the Company’s European operations are no longer analyzed by the chief operating decision maker on a standalone basis but rather are analyzed as part of the Africa and Europe segment. As a result, for purposes of segment reporting European operations are now analyzed with Africa and reported as a consolidated segment and prior period information has been conformed to the new consolidated reporting segment.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9" w:name="page50"/>
    <w:bookmarkEnd w:id="49"/>
    <w:p>
      <w:pPr>
        <w:ind w:firstLine="749"/>
        <w:spacing w:after="0" w:line="258" w:lineRule="auto"/>
        <w:rPr>
          <w:sz w:val="20"/>
          <w:szCs w:val="20"/>
          <w:color w:val="auto"/>
        </w:rPr>
      </w:pPr>
      <w:r>
        <w:rPr>
          <w:rFonts w:ascii="Arial" w:cs="Arial" w:eastAsia="Arial" w:hAnsi="Arial"/>
          <w:sz w:val="18"/>
          <w:szCs w:val="18"/>
          <w:color w:val="auto"/>
        </w:rPr>
        <w:t>The following tables summarize the world-wide operating results and property and equipment for each of the Company’s vessel classes for the periods indicated (in thousands, except statistics):</w:t>
      </w:r>
    </w:p>
    <w:tbl>
      <w:tblPr>
        <w:tblLayout w:type="fixed"/>
        <w:tblInd w:w="0" w:type="dxa"/>
        <w:tblCellMar>
          <w:top w:w="0" w:type="dxa"/>
          <w:left w:w="0" w:type="dxa"/>
          <w:bottom w:w="0" w:type="dxa"/>
          <w:right w:w="0" w:type="dxa"/>
        </w:tblCellMar>
      </w:tblPr>
      <w:tr>
        <w:trPr>
          <w:trHeight w:val="163"/>
        </w:trPr>
        <w:tc>
          <w:tcPr>
            <w:tcW w:w="3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5"/>
                <w:szCs w:val="15"/>
                <w:b w:val="1"/>
                <w:bCs w:val="1"/>
                <w:color w:val="auto"/>
              </w:rPr>
              <w:t>AHTS</w:t>
            </w:r>
          </w:p>
        </w:tc>
        <w:tc>
          <w:tcPr>
            <w:tcW w:w="140" w:type="dxa"/>
            <w:vAlign w:val="bottom"/>
          </w:tcPr>
          <w:p>
            <w:pPr>
              <w:spacing w:after="0"/>
              <w:rPr>
                <w:sz w:val="14"/>
                <w:szCs w:val="14"/>
                <w:color w:val="auto"/>
              </w:rPr>
            </w:pPr>
          </w:p>
        </w:tc>
        <w:tc>
          <w:tcPr>
            <w:tcW w:w="820" w:type="dxa"/>
            <w:vAlign w:val="bottom"/>
            <w:gridSpan w:val="2"/>
            <w:vMerge w:val="restart"/>
          </w:tcPr>
          <w:p>
            <w:pPr>
              <w:jc w:val="right"/>
              <w:ind w:right="440"/>
              <w:spacing w:after="0"/>
              <w:rPr>
                <w:sz w:val="20"/>
                <w:szCs w:val="20"/>
                <w:color w:val="auto"/>
              </w:rPr>
            </w:pPr>
            <w:r>
              <w:rPr>
                <w:rFonts w:ascii="Arial" w:cs="Arial" w:eastAsia="Arial" w:hAnsi="Arial"/>
                <w:sz w:val="15"/>
                <w:szCs w:val="15"/>
                <w:b w:val="1"/>
                <w:bCs w:val="1"/>
                <w:color w:val="auto"/>
              </w:rPr>
              <w:t>FSV</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5"/>
                <w:szCs w:val="15"/>
                <w:b w:val="1"/>
                <w:bCs w:val="1"/>
                <w:color w:val="auto"/>
                <w:w w:val="95"/>
              </w:rPr>
              <w:t>Supply</w:t>
            </w:r>
          </w:p>
        </w:tc>
        <w:tc>
          <w:tcPr>
            <w:tcW w:w="100" w:type="dxa"/>
            <w:vAlign w:val="bottom"/>
          </w:tcPr>
          <w:p>
            <w:pPr>
              <w:spacing w:after="0"/>
              <w:rPr>
                <w:sz w:val="14"/>
                <w:szCs w:val="14"/>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5"/>
                <w:szCs w:val="15"/>
                <w:b w:val="1"/>
                <w:bCs w:val="1"/>
                <w:color w:val="auto"/>
                <w:w w:val="87"/>
              </w:rPr>
              <w:t>Specialty</w:t>
            </w:r>
          </w:p>
        </w:tc>
        <w:tc>
          <w:tcPr>
            <w:tcW w:w="100" w:type="dxa"/>
            <w:vAlign w:val="bottom"/>
          </w:tcPr>
          <w:p>
            <w:pPr>
              <w:spacing w:after="0"/>
              <w:rPr>
                <w:sz w:val="14"/>
                <w:szCs w:val="14"/>
                <w:color w:val="auto"/>
              </w:rPr>
            </w:pPr>
          </w:p>
        </w:tc>
        <w:tc>
          <w:tcPr>
            <w:tcW w:w="940" w:type="dxa"/>
            <w:vAlign w:val="bottom"/>
            <w:gridSpan w:val="2"/>
          </w:tcPr>
          <w:p>
            <w:pPr>
              <w:jc w:val="right"/>
              <w:ind w:right="340"/>
              <w:spacing w:after="0" w:line="164" w:lineRule="exact"/>
              <w:rPr>
                <w:sz w:val="20"/>
                <w:szCs w:val="20"/>
                <w:color w:val="auto"/>
              </w:rPr>
            </w:pPr>
            <w:r>
              <w:rPr>
                <w:rFonts w:ascii="Arial" w:cs="Arial" w:eastAsia="Arial" w:hAnsi="Arial"/>
                <w:sz w:val="15"/>
                <w:szCs w:val="15"/>
                <w:b w:val="1"/>
                <w:bCs w:val="1"/>
                <w:color w:val="auto"/>
                <w:w w:val="91"/>
              </w:rPr>
              <w:t>Liftboats</w:t>
            </w:r>
          </w:p>
        </w:tc>
        <w:tc>
          <w:tcPr>
            <w:tcW w:w="120" w:type="dxa"/>
            <w:vAlign w:val="bottom"/>
          </w:tcPr>
          <w:p>
            <w:pPr>
              <w:spacing w:after="0"/>
              <w:rPr>
                <w:sz w:val="14"/>
                <w:szCs w:val="14"/>
                <w:color w:val="auto"/>
              </w:rPr>
            </w:pPr>
          </w:p>
        </w:tc>
        <w:tc>
          <w:tcPr>
            <w:tcW w:w="920" w:type="dxa"/>
            <w:vAlign w:val="bottom"/>
            <w:gridSpan w:val="2"/>
          </w:tcPr>
          <w:p>
            <w:pPr>
              <w:jc w:val="right"/>
              <w:ind w:right="460"/>
              <w:spacing w:after="0" w:line="164" w:lineRule="exact"/>
              <w:rPr>
                <w:sz w:val="20"/>
                <w:szCs w:val="20"/>
                <w:color w:val="auto"/>
              </w:rPr>
            </w:pPr>
            <w:r>
              <w:rPr>
                <w:rFonts w:ascii="Arial" w:cs="Arial" w:eastAsia="Arial" w:hAnsi="Arial"/>
                <w:sz w:val="15"/>
                <w:szCs w:val="15"/>
                <w:b w:val="1"/>
                <w:bCs w:val="1"/>
                <w:color w:val="auto"/>
              </w:rPr>
              <w:t>Other</w:t>
            </w:r>
          </w:p>
        </w:tc>
        <w:tc>
          <w:tcPr>
            <w:tcW w:w="12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76"/>
        </w:trPr>
        <w:tc>
          <w:tcPr>
            <w:tcW w:w="3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44"/>
              <w:spacing w:after="0"/>
              <w:rPr>
                <w:sz w:val="20"/>
                <w:szCs w:val="20"/>
                <w:color w:val="auto"/>
              </w:rPr>
            </w:pPr>
            <w:r>
              <w:rPr>
                <w:rFonts w:ascii="Arial" w:cs="Arial" w:eastAsia="Arial" w:hAnsi="Arial"/>
                <w:sz w:val="13"/>
                <w:szCs w:val="13"/>
                <w:b w:val="1"/>
                <w:bCs w:val="1"/>
                <w:color w:val="auto"/>
              </w:rPr>
              <w:t>(1)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95"/>
              </w:rPr>
              <w:t>Activity</w:t>
            </w: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For the year ended December 31, 2021</w:t>
            </w:r>
          </w:p>
        </w:tc>
        <w:tc>
          <w:tcPr>
            <w:tcW w:w="6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4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10,349</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8,213</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11,792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1,732</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24,574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11,712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64%</w:t>
            </w:r>
          </w:p>
        </w:tc>
        <w:tc>
          <w:tcPr>
            <w:tcW w:w="14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70%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75%</w:t>
            </w: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46%</w:t>
            </w: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2,190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8,722</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5,344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365</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4,229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20,850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tcPr>
          <w:p>
            <w:pPr>
              <w:spacing w:after="0"/>
              <w:rPr>
                <w:sz w:val="20"/>
                <w:szCs w:val="20"/>
                <w:color w:val="auto"/>
              </w:rPr>
            </w:pPr>
            <w:r>
              <w:rPr>
                <w:rFonts w:ascii="Arial" w:cs="Arial" w:eastAsia="Arial" w:hAnsi="Arial"/>
                <w:sz w:val="15"/>
                <w:szCs w:val="15"/>
                <w:color w:val="auto"/>
              </w:rPr>
              <w:t>Operating Revenues: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14,591</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50,348</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47,253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301</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47,342</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159,835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2,484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4,033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(567)</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(968)</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3,603</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3,876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7,073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4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14,024</w:t>
            </w:r>
          </w:p>
        </w:tc>
        <w:tc>
          <w:tcPr>
            <w:tcW w:w="26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50,929</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48,347</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336</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53,429</w:t>
            </w:r>
          </w:p>
        </w:tc>
        <w:tc>
          <w:tcPr>
            <w:tcW w:w="24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3,876</w:t>
            </w:r>
          </w:p>
        </w:tc>
        <w:tc>
          <w:tcPr>
            <w:tcW w:w="24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170,941</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5,470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19,012</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19,081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229</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15,823</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305</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59,920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2,364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9,617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7,443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4,573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24,117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3,815</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6,347</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634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1,691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1,785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4,711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(167)</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8,667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1,192</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4,625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4,256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1,930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12,033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500"/>
              <w:spacing w:after="0"/>
              <w:rPr>
                <w:sz w:val="20"/>
                <w:szCs w:val="20"/>
                <w:color w:val="auto"/>
              </w:rPr>
            </w:pPr>
            <w:r>
              <w:rPr>
                <w:rFonts w:ascii="Arial" w:cs="Arial" w:eastAsia="Arial" w:hAnsi="Arial"/>
                <w:sz w:val="15"/>
                <w:szCs w:val="15"/>
                <w:color w:val="auto"/>
              </w:rPr>
              <w:t>Other</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1,678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6,958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4,709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3,147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(275)</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16,322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4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12,498</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45,718</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37,587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459</w:t>
            </w: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31,243</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(99)</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127,406</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40" w:type="dxa"/>
            <w:vAlign w:val="bottom"/>
          </w:tcPr>
          <w:p>
            <w:pPr>
              <w:ind w:left="260"/>
              <w:spacing w:after="0" w:line="169" w:lineRule="exact"/>
              <w:rPr>
                <w:sz w:val="20"/>
                <w:szCs w:val="20"/>
                <w:color w:val="auto"/>
              </w:rPr>
            </w:pPr>
            <w:r>
              <w:rPr>
                <w:rFonts w:ascii="Arial" w:cs="Arial" w:eastAsia="Arial" w:hAnsi="Arial"/>
                <w:sz w:val="15"/>
                <w:szCs w:val="15"/>
                <w:color w:val="auto"/>
              </w:rPr>
              <w:t>Other Costs and Expenses:</w:t>
            </w:r>
          </w:p>
        </w:tc>
        <w:tc>
          <w:tcPr>
            <w:tcW w:w="6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Lease expense</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1,469</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1,750</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1,586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1,280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6,085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500"/>
              <w:spacing w:after="0"/>
              <w:rPr>
                <w:sz w:val="20"/>
                <w:szCs w:val="20"/>
                <w:color w:val="auto"/>
              </w:rPr>
            </w:pPr>
            <w:r>
              <w:rPr>
                <w:rFonts w:ascii="Arial" w:cs="Arial" w:eastAsia="Arial" w:hAnsi="Arial"/>
                <w:sz w:val="15"/>
                <w:szCs w:val="15"/>
                <w:color w:val="auto"/>
              </w:rPr>
              <w:t>Administrative and general</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37,639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Depreciation and amortization</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1,978</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19,885</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12,217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21,171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2,144</w:t>
            </w:r>
          </w:p>
        </w:tc>
        <w:tc>
          <w:tcPr>
            <w:tcW w:w="24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57,395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4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101,119</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4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Gain on Asset Dispositions and</w:t>
            </w: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Impairments, Net</w:t>
            </w: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20,436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line="169" w:lineRule="exact"/>
              <w:rPr>
                <w:sz w:val="20"/>
                <w:szCs w:val="20"/>
                <w:color w:val="auto"/>
              </w:rPr>
            </w:pPr>
            <w:r>
              <w:rPr>
                <w:rFonts w:ascii="Arial" w:cs="Arial" w:eastAsia="Arial" w:hAnsi="Arial"/>
                <w:sz w:val="15"/>
                <w:szCs w:val="15"/>
                <w:color w:val="auto"/>
              </w:rPr>
              <w:t>Operating Loss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(37,148)</w:t>
            </w:r>
          </w:p>
        </w:tc>
        <w:tc>
          <w:tcPr>
            <w:tcW w:w="0" w:type="dxa"/>
            <w:vAlign w:val="bottom"/>
          </w:tcPr>
          <w:p>
            <w:pPr>
              <w:spacing w:after="0"/>
              <w:rPr>
                <w:sz w:val="1"/>
                <w:szCs w:val="1"/>
                <w:color w:val="auto"/>
              </w:rPr>
            </w:pPr>
          </w:p>
        </w:tc>
      </w:tr>
      <w:tr>
        <w:trPr>
          <w:trHeight w:val="156"/>
        </w:trPr>
        <w:tc>
          <w:tcPr>
            <w:tcW w:w="344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40" w:type="dxa"/>
            <w:vAlign w:val="bottom"/>
          </w:tcPr>
          <w:p>
            <w:pPr>
              <w:spacing w:after="0"/>
              <w:rPr>
                <w:sz w:val="20"/>
                <w:szCs w:val="20"/>
                <w:color w:val="auto"/>
              </w:rPr>
            </w:pPr>
            <w:r>
              <w:rPr>
                <w:rFonts w:ascii="Arial" w:cs="Arial" w:eastAsia="Arial" w:hAnsi="Arial"/>
                <w:sz w:val="15"/>
                <w:szCs w:val="15"/>
                <w:b w:val="1"/>
                <w:bCs w:val="1"/>
                <w:color w:val="auto"/>
              </w:rPr>
              <w:t>As of December 31, 2021</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w:t>
            </w: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260"/>
              <w:spacing w:after="0"/>
              <w:rPr>
                <w:sz w:val="20"/>
                <w:szCs w:val="20"/>
                <w:color w:val="auto"/>
              </w:rPr>
            </w:pPr>
            <w:r>
              <w:rPr>
                <w:rFonts w:ascii="Arial" w:cs="Arial" w:eastAsia="Arial" w:hAnsi="Arial"/>
                <w:sz w:val="15"/>
                <w:szCs w:val="15"/>
                <w:color w:val="auto"/>
              </w:rPr>
              <w:t>Historical cost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50,189</w:t>
            </w:r>
          </w:p>
        </w:tc>
        <w:tc>
          <w:tcPr>
            <w:tcW w:w="260" w:type="dxa"/>
            <w:vAlign w:val="bottom"/>
          </w:tcPr>
          <w:p>
            <w:pPr>
              <w:spacing w:after="0"/>
              <w:rPr>
                <w:sz w:val="15"/>
                <w:szCs w:val="15"/>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362,952</w:t>
            </w:r>
          </w:p>
        </w:tc>
        <w:tc>
          <w:tcPr>
            <w:tcW w:w="18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282,305</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3,163</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303,277</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23,398</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5"/>
              </w:rPr>
              <w:t>1,025,284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Accumulated depreciation</w:t>
            </w: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(33,757)</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(117,085)</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(20,656)</w:t>
            </w:r>
          </w:p>
        </w:tc>
        <w:tc>
          <w:tcPr>
            <w:tcW w:w="100" w:type="dxa"/>
            <w:vAlign w:val="bottom"/>
            <w:shd w:val="clear" w:color="auto" w:fill="CFF0FC"/>
          </w:tcPr>
          <w:p>
            <w:pPr>
              <w:spacing w:after="0"/>
              <w:rPr>
                <w:sz w:val="15"/>
                <w:szCs w:val="15"/>
                <w:color w:val="auto"/>
              </w:rPr>
            </w:pP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(3,138)</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(122,015)</w:t>
            </w: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(20,646)</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(317,297)</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tcPr>
          <w:p>
            <w:pPr>
              <w:spacing w:after="0"/>
              <w:rPr>
                <w:sz w:val="14"/>
                <w:szCs w:val="14"/>
                <w:color w:val="auto"/>
              </w:rPr>
            </w:pPr>
          </w:p>
        </w:tc>
        <w:tc>
          <w:tcPr>
            <w:tcW w:w="7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16,432</w:t>
            </w:r>
          </w:p>
        </w:tc>
        <w:tc>
          <w:tcPr>
            <w:tcW w:w="26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245,867</w:t>
            </w:r>
          </w:p>
        </w:tc>
        <w:tc>
          <w:tcPr>
            <w:tcW w:w="180" w:type="dxa"/>
            <w:vAlign w:val="bottom"/>
          </w:tcPr>
          <w:p>
            <w:pPr>
              <w:spacing w:after="0"/>
              <w:rPr>
                <w:sz w:val="14"/>
                <w:szCs w:val="14"/>
                <w:color w:val="auto"/>
              </w:rPr>
            </w:pPr>
          </w:p>
        </w:tc>
        <w:tc>
          <w:tcPr>
            <w:tcW w:w="1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261,649</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25</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181,262</w:t>
            </w:r>
          </w:p>
        </w:tc>
        <w:tc>
          <w:tcPr>
            <w:tcW w:w="24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2,752</w:t>
            </w:r>
          </w:p>
        </w:tc>
        <w:tc>
          <w:tcPr>
            <w:tcW w:w="24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707,987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0" w:lineRule="exact"/>
        <w:rPr>
          <w:sz w:val="20"/>
          <w:szCs w:val="20"/>
          <w:color w:val="auto"/>
        </w:rPr>
      </w:pPr>
    </w:p>
    <w:p>
      <w:pPr>
        <w:ind w:left="760" w:hanging="752"/>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2021, the Company removed from service four vessels (four liftboats) in this class. Liftboats statistics reflect the removed from service status of these vessels.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72"/>
        </w:trPr>
        <w:tc>
          <w:tcPr>
            <w:tcW w:w="3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Other</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AHTS</w:t>
            </w:r>
          </w:p>
        </w:tc>
        <w:tc>
          <w:tcPr>
            <w:tcW w:w="14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FSV</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w w:val="95"/>
              </w:rPr>
              <w:t>Supply</w:t>
            </w:r>
          </w:p>
        </w:tc>
        <w:tc>
          <w:tcPr>
            <w:tcW w:w="10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87"/>
              </w:rPr>
              <w:t>Specialty</w:t>
            </w:r>
          </w:p>
        </w:tc>
        <w:tc>
          <w:tcPr>
            <w:tcW w:w="10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1"/>
              </w:rPr>
              <w:t>Liftboats</w:t>
            </w:r>
          </w:p>
        </w:tc>
        <w:tc>
          <w:tcPr>
            <w:tcW w:w="12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95"/>
              </w:rPr>
              <w:t>Activity</w:t>
            </w:r>
          </w:p>
        </w:tc>
        <w:tc>
          <w:tcPr>
            <w:tcW w:w="12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0"/>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For the year ended December 31, 2020</w:t>
            </w:r>
          </w:p>
        </w:tc>
        <w:tc>
          <w:tcPr>
            <w:tcW w:w="6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4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7,910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8,408</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10,335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2,014</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26,180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10,905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45%</w:t>
            </w:r>
          </w:p>
        </w:tc>
        <w:tc>
          <w:tcPr>
            <w:tcW w:w="14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28%</w:t>
            </w: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76"/>
        </w:trPr>
        <w:tc>
          <w:tcPr>
            <w:tcW w:w="3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2,661</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9,547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3,576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650</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5,816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22,250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tcPr>
          <w:p>
            <w:pPr>
              <w:spacing w:after="0"/>
              <w:rPr>
                <w:sz w:val="20"/>
                <w:szCs w:val="20"/>
                <w:color w:val="auto"/>
              </w:rPr>
            </w:pPr>
            <w:r>
              <w:rPr>
                <w:rFonts w:ascii="Arial" w:cs="Arial" w:eastAsia="Arial" w:hAnsi="Arial"/>
                <w:sz w:val="15"/>
                <w:szCs w:val="15"/>
                <w:color w:val="auto"/>
              </w:rPr>
              <w:t>Operating Revenues: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9,438</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54,725</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26,488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738</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42,065</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133,454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2,910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2,855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708</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(1,266)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1,267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4,396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5,528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4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10,146</w:t>
            </w:r>
          </w:p>
        </w:tc>
        <w:tc>
          <w:tcPr>
            <w:tcW w:w="26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56,369</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26,885</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709</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43,332</w:t>
            </w:r>
          </w:p>
        </w:tc>
        <w:tc>
          <w:tcPr>
            <w:tcW w:w="24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4,396</w:t>
            </w:r>
          </w:p>
        </w:tc>
        <w:tc>
          <w:tcPr>
            <w:tcW w:w="24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141,837</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3,844</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17,414</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9,982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273</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15,347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1,488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48,348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2,061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7,446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2,426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289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2,205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234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14,661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848</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1,809</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4,269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542</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1,460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641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3,317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(244)</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5,763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3,896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1,561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1,552</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8,128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500"/>
              <w:spacing w:after="0"/>
              <w:rPr>
                <w:sz w:val="20"/>
                <w:szCs w:val="20"/>
                <w:color w:val="auto"/>
              </w:rPr>
            </w:pPr>
            <w:r>
              <w:rPr>
                <w:rFonts w:ascii="Arial" w:cs="Arial" w:eastAsia="Arial" w:hAnsi="Arial"/>
                <w:sz w:val="15"/>
                <w:szCs w:val="15"/>
                <w:color w:val="auto"/>
              </w:rPr>
              <w:t>Other</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1,505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5,777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2,870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275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2,546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(2,997)</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9,976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4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9,590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37,802</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17,675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919</w:t>
            </w: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26,384</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(1,225)</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91,145</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40" w:type="dxa"/>
            <w:vAlign w:val="bottom"/>
          </w:tcPr>
          <w:p>
            <w:pPr>
              <w:ind w:left="260"/>
              <w:spacing w:after="0" w:line="169" w:lineRule="exact"/>
              <w:rPr>
                <w:sz w:val="20"/>
                <w:szCs w:val="20"/>
                <w:color w:val="auto"/>
              </w:rPr>
            </w:pPr>
            <w:r>
              <w:rPr>
                <w:rFonts w:ascii="Arial" w:cs="Arial" w:eastAsia="Arial" w:hAnsi="Arial"/>
                <w:sz w:val="15"/>
                <w:szCs w:val="15"/>
                <w:color w:val="auto"/>
              </w:rPr>
              <w:t>Other Costs and Expenses:</w:t>
            </w:r>
          </w:p>
        </w:tc>
        <w:tc>
          <w:tcPr>
            <w:tcW w:w="6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Lease expense</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3,366</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1,407</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7,525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260"/>
              <w:spacing w:after="0"/>
              <w:rPr>
                <w:sz w:val="20"/>
                <w:szCs w:val="20"/>
                <w:color w:val="auto"/>
              </w:rPr>
            </w:pPr>
            <w:r>
              <w:rPr>
                <w:rFonts w:ascii="Arial" w:cs="Arial" w:eastAsia="Arial" w:hAnsi="Arial"/>
                <w:sz w:val="15"/>
                <w:szCs w:val="15"/>
                <w:color w:val="auto"/>
              </w:rPr>
              <w:t>Administrative and general</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40,051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Depreciation and amortization</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2,050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20,741</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7,520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1,978</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24,198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680</w:t>
            </w:r>
          </w:p>
        </w:tc>
        <w:tc>
          <w:tcPr>
            <w:tcW w:w="24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57,167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4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104,743</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4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Loss on Asset Dispositions and</w:t>
            </w: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Impairments, Net</w:t>
            </w: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(17,588)</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5"/>
                <w:szCs w:val="15"/>
                <w:color w:val="auto"/>
              </w:rPr>
              <w:t>Operating Loss</w:t>
            </w: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4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(71,639)</w:t>
            </w:r>
          </w:p>
        </w:tc>
        <w:tc>
          <w:tcPr>
            <w:tcW w:w="0" w:type="dxa"/>
            <w:vAlign w:val="bottom"/>
          </w:tcPr>
          <w:p>
            <w:pPr>
              <w:spacing w:after="0"/>
              <w:rPr>
                <w:sz w:val="1"/>
                <w:szCs w:val="1"/>
                <w:color w:val="auto"/>
              </w:rPr>
            </w:pPr>
          </w:p>
        </w:tc>
      </w:tr>
      <w:tr>
        <w:trPr>
          <w:trHeight w:val="156"/>
        </w:trPr>
        <w:tc>
          <w:tcPr>
            <w:tcW w:w="344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7"/>
                <w:szCs w:val="17"/>
                <w:b w:val="1"/>
                <w:bCs w:val="1"/>
                <w:color w:val="auto"/>
              </w:rPr>
              <w:t>As of December 31, 2020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4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w:t>
            </w: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260"/>
              <w:spacing w:after="0"/>
              <w:rPr>
                <w:sz w:val="20"/>
                <w:szCs w:val="20"/>
                <w:color w:val="auto"/>
              </w:rPr>
            </w:pPr>
            <w:r>
              <w:rPr>
                <w:rFonts w:ascii="Arial" w:cs="Arial" w:eastAsia="Arial" w:hAnsi="Arial"/>
                <w:sz w:val="15"/>
                <w:szCs w:val="15"/>
                <w:color w:val="auto"/>
              </w:rPr>
              <w:t>Historical cost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50,189</w:t>
            </w:r>
          </w:p>
        </w:tc>
        <w:tc>
          <w:tcPr>
            <w:tcW w:w="260" w:type="dxa"/>
            <w:vAlign w:val="bottom"/>
          </w:tcPr>
          <w:p>
            <w:pPr>
              <w:spacing w:after="0"/>
              <w:rPr>
                <w:sz w:val="15"/>
                <w:szCs w:val="15"/>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375,746</w:t>
            </w:r>
          </w:p>
        </w:tc>
        <w:tc>
          <w:tcPr>
            <w:tcW w:w="18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238,624</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3,163</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321,751</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23,400</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5"/>
              </w:rPr>
              <w:t>1,012,873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Accumulated depreciation</w:t>
            </w: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(31,778)</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(104,739)</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(15,991)</w:t>
            </w:r>
          </w:p>
        </w:tc>
        <w:tc>
          <w:tcPr>
            <w:tcW w:w="100" w:type="dxa"/>
            <w:vAlign w:val="bottom"/>
            <w:shd w:val="clear" w:color="auto" w:fill="CFF0FC"/>
          </w:tcPr>
          <w:p>
            <w:pPr>
              <w:spacing w:after="0"/>
              <w:rPr>
                <w:sz w:val="15"/>
                <w:szCs w:val="15"/>
                <w:color w:val="auto"/>
              </w:rPr>
            </w:pP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(3,138)</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(117,364)</w:t>
            </w: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(18,528)</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(291,538)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tcPr>
          <w:p>
            <w:pPr>
              <w:spacing w:after="0"/>
              <w:rPr>
                <w:sz w:val="14"/>
                <w:szCs w:val="14"/>
                <w:color w:val="auto"/>
              </w:rPr>
            </w:pPr>
          </w:p>
        </w:tc>
        <w:tc>
          <w:tcPr>
            <w:tcW w:w="7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18,411</w:t>
            </w:r>
          </w:p>
        </w:tc>
        <w:tc>
          <w:tcPr>
            <w:tcW w:w="26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271,007</w:t>
            </w:r>
          </w:p>
        </w:tc>
        <w:tc>
          <w:tcPr>
            <w:tcW w:w="180" w:type="dxa"/>
            <w:vAlign w:val="bottom"/>
          </w:tcPr>
          <w:p>
            <w:pPr>
              <w:spacing w:after="0"/>
              <w:rPr>
                <w:sz w:val="14"/>
                <w:szCs w:val="14"/>
                <w:color w:val="auto"/>
              </w:rPr>
            </w:pPr>
          </w:p>
        </w:tc>
        <w:tc>
          <w:tcPr>
            <w:tcW w:w="1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222,633</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25</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204,387</w:t>
            </w:r>
          </w:p>
        </w:tc>
        <w:tc>
          <w:tcPr>
            <w:tcW w:w="24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4,872</w:t>
            </w:r>
          </w:p>
        </w:tc>
        <w:tc>
          <w:tcPr>
            <w:tcW w:w="24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721,335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2"/>
        </w:trPr>
        <w:tc>
          <w:tcPr>
            <w:tcW w:w="3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Other</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AHTS</w:t>
            </w:r>
          </w:p>
        </w:tc>
        <w:tc>
          <w:tcPr>
            <w:tcW w:w="14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FSV</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w w:val="95"/>
              </w:rPr>
              <w:t>Supply</w:t>
            </w:r>
          </w:p>
        </w:tc>
        <w:tc>
          <w:tcPr>
            <w:tcW w:w="10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87"/>
              </w:rPr>
              <w:t>Specialty</w:t>
            </w:r>
          </w:p>
        </w:tc>
        <w:tc>
          <w:tcPr>
            <w:tcW w:w="10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1"/>
              </w:rPr>
              <w:t>Liftboats</w:t>
            </w:r>
          </w:p>
        </w:tc>
        <w:tc>
          <w:tcPr>
            <w:tcW w:w="12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95"/>
              </w:rPr>
              <w:t>Activity</w:t>
            </w:r>
          </w:p>
        </w:tc>
        <w:tc>
          <w:tcPr>
            <w:tcW w:w="16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0"/>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For the year ended December 31, 2019</w:t>
            </w:r>
          </w:p>
        </w:tc>
        <w:tc>
          <w:tcPr>
            <w:tcW w:w="6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4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7,961</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7,910</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6,948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1,957</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22,509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10,369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46%</w:t>
            </w:r>
          </w:p>
        </w:tc>
        <w:tc>
          <w:tcPr>
            <w:tcW w:w="14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74%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42%</w:t>
            </w: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3,251</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12,661</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1,723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1,095</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6,576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25,306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260"/>
              <w:spacing w:after="0"/>
              <w:rPr>
                <w:sz w:val="20"/>
                <w:szCs w:val="20"/>
                <w:color w:val="auto"/>
              </w:rPr>
            </w:pPr>
            <w:r>
              <w:rPr>
                <w:rFonts w:ascii="Arial" w:cs="Arial" w:eastAsia="Arial" w:hAnsi="Arial"/>
                <w:sz w:val="15"/>
                <w:szCs w:val="15"/>
                <w:color w:val="auto"/>
              </w:rPr>
              <w:t>Operating Revenues: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12,008</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73,748</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8,672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610</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62,014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157,052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1,562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3,569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5,131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1,652</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(670)</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3,025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(3)</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5,088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3,178</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12,270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4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13,660</w:t>
            </w:r>
          </w:p>
        </w:tc>
        <w:tc>
          <w:tcPr>
            <w:tcW w:w="26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74,640</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15,266</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607</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67,102</w:t>
            </w:r>
          </w:p>
        </w:tc>
        <w:tc>
          <w:tcPr>
            <w:tcW w:w="24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3,178</w:t>
            </w:r>
          </w:p>
        </w:tc>
        <w:tc>
          <w:tcPr>
            <w:tcW w:w="24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174,453</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6,021</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21,864</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5,930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411</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19,869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1,880</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55,975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2,116</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9,096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2,139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242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7,449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359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21,401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179</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4,465</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5,848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775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1,599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314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3,000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(139)</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5,622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721</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5,197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3,530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10,622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500"/>
              <w:spacing w:after="0"/>
              <w:rPr>
                <w:sz w:val="20"/>
                <w:szCs w:val="20"/>
                <w:color w:val="auto"/>
              </w:rPr>
            </w:pPr>
            <w:r>
              <w:rPr>
                <w:rFonts w:ascii="Arial" w:cs="Arial" w:eastAsia="Arial" w:hAnsi="Arial"/>
                <w:sz w:val="15"/>
                <w:szCs w:val="15"/>
                <w:color w:val="auto"/>
              </w:rPr>
              <w:t>Other</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1,773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6,482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2,357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432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1,254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(2,243)</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10,055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4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11,585</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45,054</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12,206</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1,190</w:t>
            </w: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39,567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(79)</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109,523</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line="169" w:lineRule="exact"/>
              <w:rPr>
                <w:sz w:val="20"/>
                <w:szCs w:val="20"/>
                <w:color w:val="auto"/>
              </w:rPr>
            </w:pPr>
            <w:r>
              <w:rPr>
                <w:rFonts w:ascii="Arial" w:cs="Arial" w:eastAsia="Arial" w:hAnsi="Arial"/>
                <w:sz w:val="15"/>
                <w:szCs w:val="15"/>
                <w:color w:val="auto"/>
              </w:rPr>
              <w:t>Other Costs and Expenses:</w:t>
            </w:r>
          </w:p>
        </w:tc>
        <w:tc>
          <w:tcPr>
            <w:tcW w:w="6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Lease expense</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5,295</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1,407</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1,649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5,990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1,499</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15,840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260"/>
              <w:spacing w:after="0"/>
              <w:rPr>
                <w:sz w:val="20"/>
                <w:szCs w:val="20"/>
                <w:color w:val="auto"/>
              </w:rPr>
            </w:pPr>
            <w:r>
              <w:rPr>
                <w:rFonts w:ascii="Arial" w:cs="Arial" w:eastAsia="Arial" w:hAnsi="Arial"/>
                <w:sz w:val="15"/>
                <w:szCs w:val="15"/>
                <w:color w:val="auto"/>
              </w:rPr>
              <w:t>Administrative and general</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39,791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Depreciation and amortization</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2,240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22,966</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4,249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1,305</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24,491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1,915</w:t>
            </w:r>
          </w:p>
        </w:tc>
        <w:tc>
          <w:tcPr>
            <w:tcW w:w="24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57,166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4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112,797</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4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Loss on Asset Dispositions and</w:t>
            </w: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Impairments, Net</w:t>
            </w: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(6,461)</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5"/>
                <w:szCs w:val="15"/>
                <w:color w:val="auto"/>
              </w:rPr>
              <w:t>Operating Loss</w:t>
            </w: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4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(54,328)</w:t>
            </w:r>
          </w:p>
        </w:tc>
        <w:tc>
          <w:tcPr>
            <w:tcW w:w="0" w:type="dxa"/>
            <w:vAlign w:val="bottom"/>
          </w:tcPr>
          <w:p>
            <w:pPr>
              <w:spacing w:after="0"/>
              <w:rPr>
                <w:sz w:val="1"/>
                <w:szCs w:val="1"/>
                <w:color w:val="auto"/>
              </w:rPr>
            </w:pPr>
          </w:p>
        </w:tc>
      </w:tr>
      <w:tr>
        <w:trPr>
          <w:trHeight w:val="156"/>
        </w:trPr>
        <w:tc>
          <w:tcPr>
            <w:tcW w:w="344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440" w:type="dxa"/>
            <w:vAlign w:val="bottom"/>
          </w:tcPr>
          <w:p>
            <w:pPr>
              <w:spacing w:after="0"/>
              <w:rPr>
                <w:sz w:val="20"/>
                <w:szCs w:val="20"/>
                <w:color w:val="auto"/>
              </w:rPr>
            </w:pPr>
            <w:r>
              <w:rPr>
                <w:rFonts w:ascii="Arial" w:cs="Arial" w:eastAsia="Arial" w:hAnsi="Arial"/>
                <w:sz w:val="15"/>
                <w:szCs w:val="15"/>
                <w:b w:val="1"/>
                <w:bCs w:val="1"/>
                <w:color w:val="auto"/>
              </w:rPr>
              <w:t>As of December 31, 2019</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w:t>
            </w: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260"/>
              <w:spacing w:after="0"/>
              <w:rPr>
                <w:sz w:val="20"/>
                <w:szCs w:val="20"/>
                <w:color w:val="auto"/>
              </w:rPr>
            </w:pPr>
            <w:r>
              <w:rPr>
                <w:rFonts w:ascii="Arial" w:cs="Arial" w:eastAsia="Arial" w:hAnsi="Arial"/>
                <w:sz w:val="15"/>
                <w:szCs w:val="15"/>
                <w:color w:val="auto"/>
              </w:rPr>
              <w:t>Historical cost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94,078</w:t>
            </w:r>
          </w:p>
        </w:tc>
        <w:tc>
          <w:tcPr>
            <w:tcW w:w="260" w:type="dxa"/>
            <w:vAlign w:val="bottom"/>
          </w:tcPr>
          <w:p>
            <w:pPr>
              <w:spacing w:after="0"/>
              <w:rPr>
                <w:sz w:val="15"/>
                <w:szCs w:val="15"/>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388,460</w:t>
            </w:r>
          </w:p>
        </w:tc>
        <w:tc>
          <w:tcPr>
            <w:tcW w:w="18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44,958</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19,837</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327,028</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24,663</w:t>
            </w:r>
          </w:p>
        </w:tc>
        <w:tc>
          <w:tcPr>
            <w:tcW w:w="24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899,024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Accumulated depreciation</w:t>
            </w: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(73,095)</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(101,295)</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(8,471)</w:t>
            </w:r>
          </w:p>
        </w:tc>
        <w:tc>
          <w:tcPr>
            <w:tcW w:w="100" w:type="dxa"/>
            <w:vAlign w:val="bottom"/>
            <w:shd w:val="clear" w:color="auto" w:fill="CFF0FC"/>
          </w:tcPr>
          <w:p>
            <w:pPr>
              <w:spacing w:after="0"/>
              <w:rPr>
                <w:sz w:val="15"/>
                <w:szCs w:val="15"/>
                <w:color w:val="auto"/>
              </w:rPr>
            </w:pP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(14,984)</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(93,166)</w:t>
            </w: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(17,906)</w:t>
            </w:r>
          </w:p>
        </w:tc>
        <w:tc>
          <w:tcPr>
            <w:tcW w:w="1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(308,917)</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tcPr>
          <w:p>
            <w:pPr>
              <w:spacing w:after="0"/>
              <w:rPr>
                <w:sz w:val="14"/>
                <w:szCs w:val="14"/>
                <w:color w:val="auto"/>
              </w:rPr>
            </w:pPr>
          </w:p>
        </w:tc>
        <w:tc>
          <w:tcPr>
            <w:tcW w:w="7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20,983</w:t>
            </w:r>
          </w:p>
        </w:tc>
        <w:tc>
          <w:tcPr>
            <w:tcW w:w="26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287,165</w:t>
            </w:r>
          </w:p>
        </w:tc>
        <w:tc>
          <w:tcPr>
            <w:tcW w:w="180" w:type="dxa"/>
            <w:vAlign w:val="bottom"/>
          </w:tcPr>
          <w:p>
            <w:pPr>
              <w:spacing w:after="0"/>
              <w:rPr>
                <w:sz w:val="14"/>
                <w:szCs w:val="14"/>
                <w:color w:val="auto"/>
              </w:rPr>
            </w:pPr>
          </w:p>
        </w:tc>
        <w:tc>
          <w:tcPr>
            <w:tcW w:w="1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36,487</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4,853</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233,862</w:t>
            </w:r>
          </w:p>
        </w:tc>
        <w:tc>
          <w:tcPr>
            <w:tcW w:w="24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6,757</w:t>
            </w:r>
          </w:p>
        </w:tc>
        <w:tc>
          <w:tcPr>
            <w:tcW w:w="240" w:type="dxa"/>
            <w:vAlign w:val="bottom"/>
          </w:tcPr>
          <w:p>
            <w:pPr>
              <w:spacing w:after="0"/>
              <w:rPr>
                <w:sz w:val="14"/>
                <w:szCs w:val="14"/>
                <w:color w:val="auto"/>
              </w:rPr>
            </w:pPr>
          </w:p>
        </w:tc>
        <w:tc>
          <w:tcPr>
            <w:tcW w:w="160" w:type="dxa"/>
            <w:vAlign w:val="bottom"/>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590,107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2" w:name="page53"/>
    <w:bookmarkEnd w:id="52"/>
    <w:p>
      <w:pPr>
        <w:ind w:left="760"/>
        <w:spacing w:after="0"/>
        <w:rPr>
          <w:sz w:val="20"/>
          <w:szCs w:val="20"/>
          <w:color w:val="auto"/>
        </w:rPr>
      </w:pPr>
      <w:r>
        <w:rPr>
          <w:rFonts w:ascii="Arial" w:cs="Arial" w:eastAsia="Arial" w:hAnsi="Arial"/>
          <w:sz w:val="18"/>
          <w:szCs w:val="18"/>
          <w:b w:val="1"/>
          <w:bCs w:val="1"/>
          <w:color w:val="auto"/>
        </w:rPr>
        <w:t>Operating Income (Loss)</w:t>
      </w:r>
    </w:p>
    <w:p>
      <w:pPr>
        <w:spacing w:after="0" w:line="202"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b w:val="1"/>
          <w:bCs w:val="1"/>
          <w:i w:val="1"/>
          <w:iCs w:val="1"/>
          <w:color w:val="auto"/>
        </w:rPr>
        <w:t xml:space="preserve">United States, primarily Gulf of Mexico. </w:t>
      </w:r>
      <w:r>
        <w:rPr>
          <w:rFonts w:ascii="Arial" w:cs="Arial" w:eastAsia="Arial" w:hAnsi="Arial"/>
          <w:sz w:val="18"/>
          <w:szCs w:val="18"/>
          <w:color w:val="auto"/>
        </w:rPr>
        <w:t>For the years ended December 31, the Company’s direct vessel profit (loss) in the U.S.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 except statistics):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Borders>
              <w:bottom w:val="single" w:sz="8" w:color="CFF0FC"/>
            </w:tcBorders>
          </w:tcPr>
          <w:p>
            <w:pPr>
              <w:spacing w:after="0"/>
              <w:rPr>
                <w:sz w:val="20"/>
                <w:szCs w:val="20"/>
                <w:color w:val="auto"/>
              </w:rPr>
            </w:pPr>
          </w:p>
        </w:tc>
        <w:tc>
          <w:tcPr>
            <w:tcW w:w="29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r>
      <w:tr>
        <w:trPr>
          <w:trHeight w:val="223"/>
        </w:trPr>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Time Charter Statistics: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4440" w:type="dxa"/>
            <w:vAlign w:val="bottom"/>
            <w:gridSpan w:val="2"/>
          </w:tcPr>
          <w:p>
            <w:pPr>
              <w:ind w:left="260"/>
              <w:spacing w:after="0"/>
              <w:rPr>
                <w:sz w:val="20"/>
                <w:szCs w:val="20"/>
                <w:color w:val="auto"/>
              </w:rPr>
            </w:pPr>
            <w:r>
              <w:rPr>
                <w:rFonts w:ascii="Arial" w:cs="Arial" w:eastAsia="Arial" w:hAnsi="Arial"/>
                <w:sz w:val="18"/>
                <w:szCs w:val="18"/>
                <w:color w:val="auto"/>
              </w:rPr>
              <w:t>Rates Per Day Worked:</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4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AHTS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31,134</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521"/>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7,155</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4440" w:type="dxa"/>
            <w:vAlign w:val="bottom"/>
            <w:gridSpan w:val="2"/>
          </w:tcPr>
          <w:p>
            <w:pPr>
              <w:ind w:left="500"/>
              <w:spacing w:after="0"/>
              <w:rPr>
                <w:sz w:val="20"/>
                <w:szCs w:val="20"/>
                <w:color w:val="auto"/>
              </w:rPr>
            </w:pPr>
            <w:r>
              <w:rPr>
                <w:rFonts w:ascii="Arial" w:cs="Arial" w:eastAsia="Arial" w:hAnsi="Arial"/>
                <w:sz w:val="18"/>
                <w:szCs w:val="18"/>
                <w:color w:val="auto"/>
              </w:rPr>
              <w:t>FSV</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10,243</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7,375</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8,768</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4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Supply</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7,380</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440" w:type="dxa"/>
            <w:vAlign w:val="bottom"/>
            <w:gridSpan w:val="2"/>
          </w:tcPr>
          <w:p>
            <w:pPr>
              <w:ind w:left="500"/>
              <w:spacing w:after="0"/>
              <w:rPr>
                <w:sz w:val="20"/>
                <w:szCs w:val="20"/>
                <w:color w:val="auto"/>
              </w:rPr>
            </w:pPr>
            <w:r>
              <w:rPr>
                <w:rFonts w:ascii="Arial" w:cs="Arial" w:eastAsia="Arial" w:hAnsi="Arial"/>
                <w:sz w:val="18"/>
                <w:szCs w:val="18"/>
                <w:color w:val="auto"/>
              </w:rPr>
              <w:t>Liftboats</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14,980</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22,844</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19,563</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4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Specialty</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521"/>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4440" w:type="dxa"/>
            <w:vAlign w:val="bottom"/>
            <w:gridSpan w:val="2"/>
          </w:tcPr>
          <w:p>
            <w:pPr>
              <w:ind w:left="500"/>
              <w:spacing w:after="0"/>
              <w:rPr>
                <w:sz w:val="20"/>
                <w:szCs w:val="20"/>
                <w:color w:val="auto"/>
              </w:rPr>
            </w:pPr>
            <w:r>
              <w:rPr>
                <w:rFonts w:ascii="Arial" w:cs="Arial" w:eastAsia="Arial" w:hAnsi="Arial"/>
                <w:sz w:val="18"/>
                <w:szCs w:val="18"/>
                <w:color w:val="auto"/>
              </w:rPr>
              <w:t>Overall</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16,866</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19,092</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14,701</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Utilization:</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4440" w:type="dxa"/>
            <w:vAlign w:val="bottom"/>
            <w:gridSpan w:val="2"/>
          </w:tcPr>
          <w:p>
            <w:pPr>
              <w:ind w:left="500"/>
              <w:spacing w:after="0"/>
              <w:rPr>
                <w:sz w:val="20"/>
                <w:szCs w:val="20"/>
                <w:color w:val="auto"/>
              </w:rPr>
            </w:pPr>
            <w:r>
              <w:rPr>
                <w:rFonts w:ascii="Arial" w:cs="Arial" w:eastAsia="Arial" w:hAnsi="Arial"/>
                <w:sz w:val="18"/>
                <w:szCs w:val="18"/>
                <w:color w:val="auto"/>
              </w:rPr>
              <w:t>AHTS</w:t>
            </w:r>
          </w:p>
        </w:tc>
        <w:tc>
          <w:tcPr>
            <w:tcW w:w="22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5"/>
                <w:szCs w:val="15"/>
                <w:color w:val="auto"/>
              </w:rPr>
              <w:t>18%</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381"/>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4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FSV</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8%</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61"/>
              <w:spacing w:after="0"/>
              <w:rPr>
                <w:sz w:val="20"/>
                <w:szCs w:val="20"/>
                <w:color w:val="auto"/>
              </w:rPr>
            </w:pPr>
            <w:r>
              <w:rPr>
                <w:rFonts w:ascii="Arial" w:cs="Arial" w:eastAsia="Arial" w:hAnsi="Arial"/>
                <w:sz w:val="18"/>
                <w:szCs w:val="18"/>
                <w:color w:val="auto"/>
              </w:rPr>
              <w:t>8%</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39%</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4440" w:type="dxa"/>
            <w:vAlign w:val="bottom"/>
            <w:gridSpan w:val="2"/>
          </w:tcPr>
          <w:p>
            <w:pPr>
              <w:ind w:left="500"/>
              <w:spacing w:after="0"/>
              <w:rPr>
                <w:sz w:val="20"/>
                <w:szCs w:val="20"/>
                <w:color w:val="auto"/>
              </w:rPr>
            </w:pPr>
            <w:r>
              <w:rPr>
                <w:rFonts w:ascii="Arial" w:cs="Arial" w:eastAsia="Arial" w:hAnsi="Arial"/>
                <w:sz w:val="18"/>
                <w:szCs w:val="18"/>
                <w:color w:val="auto"/>
              </w:rPr>
              <w:t>Supply</w:t>
            </w:r>
          </w:p>
        </w:tc>
        <w:tc>
          <w:tcPr>
            <w:tcW w:w="22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381"/>
              <w:spacing w:after="0"/>
              <w:rPr>
                <w:sz w:val="20"/>
                <w:szCs w:val="20"/>
                <w:color w:val="auto"/>
              </w:rPr>
            </w:pPr>
            <w:r>
              <w:rPr>
                <w:rFonts w:ascii="Arial" w:cs="Arial" w:eastAsia="Arial" w:hAnsi="Arial"/>
                <w:sz w:val="15"/>
                <w:szCs w:val="15"/>
                <w:color w:val="auto"/>
              </w:rPr>
              <w:t>10%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4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 xml:space="preserve">Liftboats </w:t>
            </w:r>
            <w:r>
              <w:rPr>
                <w:rFonts w:ascii="Arial" w:cs="Arial" w:eastAsia="Arial" w:hAnsi="Arial"/>
                <w:sz w:val="15"/>
                <w:szCs w:val="15"/>
                <w:color w:val="auto"/>
              </w:rPr>
              <w:t>(1)</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60"/>
              <w:spacing w:after="0"/>
              <w:rPr>
                <w:sz w:val="20"/>
                <w:szCs w:val="20"/>
                <w:color w:val="auto"/>
              </w:rPr>
            </w:pPr>
            <w:r>
              <w:rPr>
                <w:rFonts w:ascii="Arial" w:cs="Arial" w:eastAsia="Arial" w:hAnsi="Arial"/>
                <w:sz w:val="15"/>
                <w:szCs w:val="15"/>
                <w:color w:val="auto"/>
              </w:rPr>
              <w:t>25%</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81"/>
              <w:spacing w:after="0"/>
              <w:rPr>
                <w:sz w:val="20"/>
                <w:szCs w:val="20"/>
                <w:color w:val="auto"/>
              </w:rPr>
            </w:pPr>
            <w:r>
              <w:rPr>
                <w:rFonts w:ascii="Arial" w:cs="Arial" w:eastAsia="Arial" w:hAnsi="Arial"/>
                <w:sz w:val="15"/>
                <w:szCs w:val="15"/>
                <w:color w:val="auto"/>
              </w:rPr>
              <w:t>9%</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29%</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440" w:type="dxa"/>
            <w:vAlign w:val="bottom"/>
            <w:gridSpan w:val="2"/>
          </w:tcPr>
          <w:p>
            <w:pPr>
              <w:ind w:left="500"/>
              <w:spacing w:after="0"/>
              <w:rPr>
                <w:sz w:val="20"/>
                <w:szCs w:val="20"/>
                <w:color w:val="auto"/>
              </w:rPr>
            </w:pPr>
            <w:r>
              <w:rPr>
                <w:rFonts w:ascii="Arial" w:cs="Arial" w:eastAsia="Arial" w:hAnsi="Arial"/>
                <w:sz w:val="18"/>
                <w:szCs w:val="18"/>
                <w:color w:val="auto"/>
              </w:rPr>
              <w:t>Specialty</w:t>
            </w:r>
          </w:p>
        </w:tc>
        <w:tc>
          <w:tcPr>
            <w:tcW w:w="22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381"/>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4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Overall</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19%</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61"/>
              <w:spacing w:after="0"/>
              <w:rPr>
                <w:sz w:val="20"/>
                <w:szCs w:val="20"/>
                <w:color w:val="auto"/>
              </w:rPr>
            </w:pPr>
            <w:r>
              <w:rPr>
                <w:rFonts w:ascii="Arial" w:cs="Arial" w:eastAsia="Arial" w:hAnsi="Arial"/>
                <w:sz w:val="18"/>
                <w:szCs w:val="18"/>
                <w:color w:val="auto"/>
              </w:rPr>
              <w:t>7%</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27%</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4440" w:type="dxa"/>
            <w:vAlign w:val="bottom"/>
            <w:gridSpan w:val="2"/>
          </w:tcPr>
          <w:p>
            <w:pPr>
              <w:ind w:left="260"/>
              <w:spacing w:after="0"/>
              <w:rPr>
                <w:sz w:val="20"/>
                <w:szCs w:val="20"/>
                <w:color w:val="auto"/>
              </w:rPr>
            </w:pPr>
            <w:r>
              <w:rPr>
                <w:rFonts w:ascii="Arial" w:cs="Arial" w:eastAsia="Arial" w:hAnsi="Arial"/>
                <w:sz w:val="18"/>
                <w:szCs w:val="18"/>
                <w:color w:val="auto"/>
              </w:rPr>
              <w:t>Available Days:</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4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AHTS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4440" w:type="dxa"/>
            <w:vAlign w:val="bottom"/>
            <w:gridSpan w:val="2"/>
          </w:tcPr>
          <w:p>
            <w:pPr>
              <w:ind w:left="500"/>
              <w:spacing w:after="0"/>
              <w:rPr>
                <w:sz w:val="20"/>
                <w:szCs w:val="20"/>
                <w:color w:val="auto"/>
              </w:rPr>
            </w:pPr>
            <w:r>
              <w:rPr>
                <w:rFonts w:ascii="Arial" w:cs="Arial" w:eastAsia="Arial" w:hAnsi="Arial"/>
                <w:sz w:val="18"/>
                <w:szCs w:val="18"/>
                <w:color w:val="auto"/>
              </w:rPr>
              <w:t>FSV</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1,057</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1,486</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2,689</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4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Supply</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4440" w:type="dxa"/>
            <w:vAlign w:val="bottom"/>
            <w:gridSpan w:val="2"/>
          </w:tcPr>
          <w:p>
            <w:pPr>
              <w:ind w:left="500"/>
              <w:spacing w:after="0"/>
              <w:rPr>
                <w:sz w:val="20"/>
                <w:szCs w:val="20"/>
                <w:color w:val="auto"/>
              </w:rPr>
            </w:pPr>
            <w:r>
              <w:rPr>
                <w:rFonts w:ascii="Arial" w:cs="Arial" w:eastAsia="Arial" w:hAnsi="Arial"/>
                <w:sz w:val="18"/>
                <w:szCs w:val="18"/>
                <w:color w:val="auto"/>
              </w:rPr>
              <w:t>Specialty</w:t>
            </w:r>
          </w:p>
        </w:tc>
        <w:tc>
          <w:tcPr>
            <w:tcW w:w="22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224</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365</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4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 xml:space="preserve">Liftboats </w:t>
            </w:r>
            <w:r>
              <w:rPr>
                <w:rFonts w:ascii="Arial" w:cs="Arial" w:eastAsia="Arial" w:hAnsi="Arial"/>
                <w:sz w:val="15"/>
                <w:szCs w:val="15"/>
                <w:color w:val="auto"/>
              </w:rPr>
              <w:t>(1)</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2,833</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4,526</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5,152</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63"/>
        </w:trPr>
        <w:tc>
          <w:tcPr>
            <w:tcW w:w="444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Overall</w:t>
            </w: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w:t>
            </w:r>
          </w:p>
        </w:tc>
        <w:tc>
          <w:tcPr>
            <w:tcW w:w="58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tcPr>
          <w:p>
            <w:pPr>
              <w:spacing w:after="0"/>
              <w:rPr>
                <w:sz w:val="22"/>
                <w:szCs w:val="22"/>
                <w:color w:val="auto"/>
              </w:rPr>
            </w:pPr>
          </w:p>
        </w:tc>
        <w:tc>
          <w:tcPr>
            <w:tcW w:w="3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7,374</w:t>
            </w:r>
          </w:p>
        </w:tc>
        <w:tc>
          <w:tcPr>
            <w:tcW w:w="60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9,663</w:t>
            </w:r>
          </w:p>
        </w:tc>
        <w:tc>
          <w:tcPr>
            <w:tcW w:w="58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r>
      <w:tr>
        <w:trPr>
          <w:trHeight w:val="210"/>
        </w:trPr>
        <w:tc>
          <w:tcPr>
            <w:tcW w:w="1500" w:type="dxa"/>
            <w:vAlign w:val="bottom"/>
            <w:shd w:val="clear" w:color="auto" w:fill="CFF0FC"/>
          </w:tcPr>
          <w:p>
            <w:pPr>
              <w:spacing w:after="0"/>
              <w:rPr>
                <w:sz w:val="18"/>
                <w:szCs w:val="18"/>
                <w:color w:val="auto"/>
              </w:rPr>
            </w:pPr>
          </w:p>
        </w:tc>
        <w:tc>
          <w:tcPr>
            <w:tcW w:w="2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Time charter</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15,487</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9,873</w:t>
            </w:r>
          </w:p>
        </w:tc>
        <w:tc>
          <w:tcPr>
            <w:tcW w:w="6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w:t>
            </w:r>
          </w:p>
        </w:tc>
        <w:tc>
          <w:tcPr>
            <w:tcW w:w="2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38,955</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w:t>
            </w:r>
          </w:p>
        </w:tc>
      </w:tr>
      <w:tr>
        <w:trPr>
          <w:trHeight w:val="230"/>
        </w:trPr>
        <w:tc>
          <w:tcPr>
            <w:tcW w:w="4440" w:type="dxa"/>
            <w:vAlign w:val="bottom"/>
            <w:gridSpan w:val="2"/>
          </w:tcPr>
          <w:p>
            <w:pPr>
              <w:ind w:left="260"/>
              <w:spacing w:after="0"/>
              <w:rPr>
                <w:sz w:val="20"/>
                <w:szCs w:val="20"/>
                <w:color w:val="auto"/>
              </w:rPr>
            </w:pPr>
            <w:r>
              <w:rPr>
                <w:rFonts w:ascii="Arial" w:cs="Arial" w:eastAsia="Arial" w:hAnsi="Arial"/>
                <w:sz w:val="18"/>
                <w:szCs w:val="18"/>
                <w:color w:val="auto"/>
              </w:rPr>
              <w:t>Bareboat charter</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1,549</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2,910</w:t>
            </w:r>
          </w:p>
        </w:tc>
        <w:tc>
          <w:tcPr>
            <w:tcW w:w="6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1,562</w:t>
            </w:r>
          </w:p>
        </w:tc>
        <w:tc>
          <w:tcPr>
            <w:tcW w:w="5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3%</w:t>
            </w:r>
          </w:p>
        </w:tc>
      </w:tr>
      <w:tr>
        <w:trPr>
          <w:trHeight w:val="230"/>
        </w:trPr>
        <w:tc>
          <w:tcPr>
            <w:tcW w:w="4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marine services</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3,607</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2,422</w:t>
            </w:r>
          </w:p>
        </w:tc>
        <w:tc>
          <w:tcPr>
            <w:tcW w:w="6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3,806</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r>
      <w:tr>
        <w:trPr>
          <w:trHeight w:val="223"/>
        </w:trPr>
        <w:tc>
          <w:tcPr>
            <w:tcW w:w="1500" w:type="dxa"/>
            <w:vAlign w:val="bottom"/>
            <w:tcBorders>
              <w:bottom w:val="single" w:sz="8" w:color="CFF0FC"/>
            </w:tcBorders>
          </w:tcPr>
          <w:p>
            <w:pPr>
              <w:spacing w:after="0"/>
              <w:rPr>
                <w:sz w:val="19"/>
                <w:szCs w:val="19"/>
                <w:color w:val="auto"/>
              </w:rPr>
            </w:pPr>
          </w:p>
        </w:tc>
        <w:tc>
          <w:tcPr>
            <w:tcW w:w="29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20,643</w:t>
            </w:r>
          </w:p>
        </w:tc>
        <w:tc>
          <w:tcPr>
            <w:tcW w:w="5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15,205</w:t>
            </w:r>
          </w:p>
        </w:tc>
        <w:tc>
          <w:tcPr>
            <w:tcW w:w="6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100%</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44,323</w:t>
            </w:r>
          </w:p>
        </w:tc>
        <w:tc>
          <w:tcPr>
            <w:tcW w:w="58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23"/>
        </w:trPr>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Direct operating expenses: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440" w:type="dxa"/>
            <w:vAlign w:val="bottom"/>
            <w:gridSpan w:val="2"/>
          </w:tcPr>
          <w:p>
            <w:pPr>
              <w:ind w:left="260"/>
              <w:spacing w:after="0"/>
              <w:rPr>
                <w:sz w:val="20"/>
                <w:szCs w:val="20"/>
                <w:color w:val="auto"/>
              </w:rPr>
            </w:pPr>
            <w:r>
              <w:rPr>
                <w:rFonts w:ascii="Arial" w:cs="Arial" w:eastAsia="Arial" w:hAnsi="Arial"/>
                <w:sz w:val="18"/>
                <w:szCs w:val="18"/>
                <w:color w:val="auto"/>
              </w:rPr>
              <w:t>Personnel</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8,836</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10,065</w:t>
            </w:r>
          </w:p>
        </w:tc>
        <w:tc>
          <w:tcPr>
            <w:tcW w:w="6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17,491</w:t>
            </w:r>
          </w:p>
        </w:tc>
        <w:tc>
          <w:tcPr>
            <w:tcW w:w="5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230"/>
        </w:trPr>
        <w:tc>
          <w:tcPr>
            <w:tcW w:w="4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Repairs and maintenance</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3,394</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w:t>
            </w:r>
          </w:p>
        </w:tc>
        <w:tc>
          <w:tcPr>
            <w:tcW w:w="6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7,583</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r>
      <w:tr>
        <w:trPr>
          <w:trHeight w:val="230"/>
        </w:trPr>
        <w:tc>
          <w:tcPr>
            <w:tcW w:w="4440" w:type="dxa"/>
            <w:vAlign w:val="bottom"/>
            <w:gridSpan w:val="2"/>
          </w:tcPr>
          <w:p>
            <w:pPr>
              <w:ind w:left="260"/>
              <w:spacing w:after="0"/>
              <w:rPr>
                <w:sz w:val="20"/>
                <w:szCs w:val="20"/>
                <w:color w:val="auto"/>
              </w:rPr>
            </w:pPr>
            <w:r>
              <w:rPr>
                <w:rFonts w:ascii="Arial" w:cs="Arial" w:eastAsia="Arial" w:hAnsi="Arial"/>
                <w:sz w:val="18"/>
                <w:szCs w:val="18"/>
                <w:color w:val="auto"/>
              </w:rPr>
              <w:t>Drydocking</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2,082</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1,167</w:t>
            </w:r>
          </w:p>
        </w:tc>
        <w:tc>
          <w:tcPr>
            <w:tcW w:w="6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4,594</w:t>
            </w:r>
          </w:p>
        </w:tc>
        <w:tc>
          <w:tcPr>
            <w:tcW w:w="5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29"/>
        </w:trPr>
        <w:tc>
          <w:tcPr>
            <w:tcW w:w="4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Insurance and loss reserves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w:t>
            </w:r>
          </w:p>
        </w:tc>
        <w:tc>
          <w:tcPr>
            <w:tcW w:w="6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r>
      <w:tr>
        <w:trPr>
          <w:trHeight w:val="230"/>
        </w:trPr>
        <w:tc>
          <w:tcPr>
            <w:tcW w:w="4440" w:type="dxa"/>
            <w:vAlign w:val="bottom"/>
            <w:gridSpan w:val="2"/>
          </w:tcPr>
          <w:p>
            <w:pPr>
              <w:ind w:left="260"/>
              <w:spacing w:after="0"/>
              <w:rPr>
                <w:sz w:val="20"/>
                <w:szCs w:val="20"/>
                <w:color w:val="auto"/>
              </w:rPr>
            </w:pPr>
            <w:r>
              <w:rPr>
                <w:rFonts w:ascii="Arial" w:cs="Arial" w:eastAsia="Arial" w:hAnsi="Arial"/>
                <w:sz w:val="18"/>
                <w:szCs w:val="18"/>
                <w:color w:val="auto"/>
              </w:rPr>
              <w:t>Fuel, lubes and supplies</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1,204</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1,172</w:t>
            </w:r>
          </w:p>
        </w:tc>
        <w:tc>
          <w:tcPr>
            <w:tcW w:w="6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2,936</w:t>
            </w:r>
          </w:p>
        </w:tc>
        <w:tc>
          <w:tcPr>
            <w:tcW w:w="5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30"/>
        </w:trPr>
        <w:tc>
          <w:tcPr>
            <w:tcW w:w="4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6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r>
        <w:trPr>
          <w:trHeight w:val="223"/>
        </w:trPr>
        <w:tc>
          <w:tcPr>
            <w:tcW w:w="1500" w:type="dxa"/>
            <w:vAlign w:val="bottom"/>
            <w:tcBorders>
              <w:bottom w:val="single" w:sz="8" w:color="CFF0FC"/>
            </w:tcBorders>
          </w:tcPr>
          <w:p>
            <w:pPr>
              <w:spacing w:after="0"/>
              <w:rPr>
                <w:sz w:val="19"/>
                <w:szCs w:val="19"/>
                <w:color w:val="auto"/>
              </w:rPr>
            </w:pPr>
          </w:p>
        </w:tc>
        <w:tc>
          <w:tcPr>
            <w:tcW w:w="29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18,796</w:t>
            </w:r>
          </w:p>
        </w:tc>
        <w:tc>
          <w:tcPr>
            <w:tcW w:w="5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16,206</w:t>
            </w:r>
          </w:p>
        </w:tc>
        <w:tc>
          <w:tcPr>
            <w:tcW w:w="6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107%</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35,367</w:t>
            </w:r>
          </w:p>
        </w:tc>
        <w:tc>
          <w:tcPr>
            <w:tcW w:w="58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23"/>
        </w:trPr>
        <w:tc>
          <w:tcPr>
            <w:tcW w:w="44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Direct Vessel (Loss) Profit</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1,847</w:t>
            </w:r>
          </w:p>
        </w:tc>
        <w:tc>
          <w:tcPr>
            <w:tcW w:w="5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600" w:type="dxa"/>
            <w:vAlign w:val="bottom"/>
            <w:tcBorders>
              <w:bottom w:val="single" w:sz="8" w:color="CFF0FC"/>
            </w:tcBorders>
            <w:shd w:val="clear" w:color="auto" w:fill="CFF0FC"/>
          </w:tcPr>
          <w:p>
            <w:pPr>
              <w:jc w:val="right"/>
              <w:ind w:right="461"/>
              <w:spacing w:after="0"/>
              <w:rPr>
                <w:sz w:val="20"/>
                <w:szCs w:val="20"/>
                <w:color w:val="auto"/>
              </w:rPr>
            </w:pPr>
            <w:r>
              <w:rPr>
                <w:rFonts w:ascii="Arial" w:cs="Arial" w:eastAsia="Arial" w:hAnsi="Arial"/>
                <w:sz w:val="16"/>
                <w:szCs w:val="16"/>
                <w:color w:val="auto"/>
                <w:w w:val="74"/>
              </w:rPr>
              <w:t>)</w:t>
            </w:r>
          </w:p>
        </w:tc>
        <w:tc>
          <w:tcPr>
            <w:tcW w:w="7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8,956</w:t>
            </w:r>
          </w:p>
        </w:tc>
        <w:tc>
          <w:tcPr>
            <w:tcW w:w="5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r>
      <w:tr>
        <w:trPr>
          <w:trHeight w:val="20"/>
        </w:trPr>
        <w:tc>
          <w:tcPr>
            <w:tcW w:w="1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2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22" w:lineRule="exact"/>
        <w:rPr>
          <w:sz w:val="20"/>
          <w:szCs w:val="20"/>
          <w:color w:val="auto"/>
        </w:rPr>
      </w:pPr>
    </w:p>
    <w:p>
      <w:pPr>
        <w:ind w:left="760" w:hanging="752"/>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 2021, the Company removed from service four vessels (four liftboats) in this region. Regional statistics reflect the removed from service status of these vessels.</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2021 compared with 2020</w:t>
      </w:r>
    </w:p>
    <w:p>
      <w:pPr>
        <w:spacing w:after="0" w:line="189"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Charter revenues were $4.3 million higher in 2021 compared with 2020. Charter revenues were $7.9 million higher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utilization of the core fleet. Charter revenues were $3.1 million lower due to the repositioning of vessels between geographic regions and $0.5 million lower due to net fleet dispositions. Other marine services were $1.2 million higher primarily due to higher management fees and liftboat catering revenues. As of December 31, 2021, the Company had four of 14 owned and leased-in vessels (one AHTS vessels, one FSV, and two liftboats) cold-stacked in this region compared with 15 of 20 vessels as of December 31, 2020. In addition, the Company had four liftboats removed from service in this region as of December 31, 2021.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3" w:name="page54"/>
    <w:bookmarkEnd w:id="53"/>
    <w:p>
      <w:pPr>
        <w:jc w:val="both"/>
        <w:ind w:firstLine="749"/>
        <w:spacing w:after="0" w:line="303" w:lineRule="auto"/>
        <w:rPr>
          <w:sz w:val="20"/>
          <w:szCs w:val="20"/>
          <w:color w:val="auto"/>
        </w:rPr>
      </w:pPr>
      <w:r>
        <w:rPr>
          <w:rFonts w:ascii="Arial" w:cs="Arial" w:eastAsia="Arial" w:hAnsi="Arial"/>
          <w:sz w:val="17"/>
          <w:szCs w:val="17"/>
          <w:i w:val="1"/>
          <w:iCs w:val="1"/>
          <w:color w:val="auto"/>
        </w:rPr>
        <w:t xml:space="preserve">Direct Operating Expenses. </w:t>
      </w:r>
      <w:r>
        <w:rPr>
          <w:rFonts w:ascii="Arial" w:cs="Arial" w:eastAsia="Arial" w:hAnsi="Arial"/>
          <w:sz w:val="17"/>
          <w:szCs w:val="17"/>
          <w:color w:val="auto"/>
        </w:rPr>
        <w:t>Direct operating expenses were $2.6 million higher in 2021 compared with 2020. Direct operating expenses were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$4.6 million higher for the core fleet, primarily due to reactivation of vessels from cold-stacked status. Direct operating expenses were $1.6 million lower due to net fleet dispositions, and $0.4 million lower due </w:t>
      </w:r>
      <w:r>
        <w:rPr>
          <w:rFonts w:ascii="Arial" w:cs="Arial" w:eastAsia="Arial" w:hAnsi="Arial"/>
          <w:sz w:val="13"/>
          <w:szCs w:val="13"/>
          <w:color w:val="auto"/>
        </w:rPr>
        <w:t>to</w:t>
      </w:r>
      <w:r>
        <w:rPr>
          <w:rFonts w:ascii="Arial" w:cs="Arial" w:eastAsia="Arial" w:hAnsi="Arial"/>
          <w:sz w:val="17"/>
          <w:szCs w:val="17"/>
          <w:color w:val="auto"/>
        </w:rPr>
        <w:t xml:space="preserve"> the repositioning of vessels between geographic regions.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2020 compared with 2019</w:t>
      </w:r>
    </w:p>
    <w:p>
      <w:pPr>
        <w:spacing w:after="0" w:line="202"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i w:val="1"/>
          <w:iCs w:val="1"/>
          <w:color w:val="auto"/>
        </w:rPr>
        <w:t xml:space="preserve">Operating Revenues. </w:t>
      </w:r>
      <w:r>
        <w:rPr>
          <w:rFonts w:ascii="Arial" w:cs="Arial" w:eastAsia="Arial" w:hAnsi="Arial"/>
          <w:sz w:val="16"/>
          <w:szCs w:val="16"/>
          <w:color w:val="auto"/>
        </w:rPr>
        <w:t>Time charter and bareboat charter revenues were $27.7 million lower in 2020 compared with 2019. On an overall basis,</w:t>
      </w:r>
      <w:r>
        <w:rPr>
          <w:rFonts w:ascii="Arial" w:cs="Arial" w:eastAsia="Arial" w:hAnsi="Arial"/>
          <w:sz w:val="16"/>
          <w:szCs w:val="16"/>
          <w:i w:val="1"/>
          <w:iCs w:val="1"/>
          <w:color w:val="auto"/>
        </w:rPr>
        <w:t xml:space="preserve"> </w:t>
      </w:r>
      <w:r>
        <w:rPr>
          <w:rFonts w:ascii="Arial" w:cs="Arial" w:eastAsia="Arial" w:hAnsi="Arial"/>
          <w:sz w:val="16"/>
          <w:szCs w:val="16"/>
          <w:color w:val="auto"/>
        </w:rPr>
        <w:t>charter revenues were $21.5 million lower due to lower utilization of the core fleet and $6.2 million lower due to net fleet dispositions. Other marine services were $1.4 million lower primarily due to lower liftboat catering revenues. As of December 31, 2020, the Company had 15 of 20 owned and leased-in vessels cold-stacked in this region (two AHTS, four FSVs, and nine liftboats) compared with 14 of 25 vessels as of December 31, 2019.</w:t>
      </w:r>
    </w:p>
    <w:p>
      <w:pPr>
        <w:spacing w:after="0" w:line="117" w:lineRule="exact"/>
        <w:rPr>
          <w:sz w:val="20"/>
          <w:szCs w:val="20"/>
          <w:color w:val="auto"/>
        </w:rPr>
      </w:pPr>
    </w:p>
    <w:p>
      <w:pPr>
        <w:jc w:val="both"/>
        <w:ind w:right="20" w:firstLine="749"/>
        <w:spacing w:after="0" w:line="342" w:lineRule="auto"/>
        <w:rPr>
          <w:sz w:val="20"/>
          <w:szCs w:val="20"/>
          <w:color w:val="auto"/>
        </w:rPr>
      </w:pPr>
      <w:r>
        <w:rPr>
          <w:rFonts w:ascii="Arial" w:cs="Arial" w:eastAsia="Arial" w:hAnsi="Arial"/>
          <w:sz w:val="16"/>
          <w:szCs w:val="16"/>
          <w:i w:val="1"/>
          <w:iCs w:val="1"/>
          <w:color w:val="auto"/>
        </w:rPr>
        <w:t xml:space="preserve">Direct Operating Expenses. </w:t>
      </w:r>
      <w:r>
        <w:rPr>
          <w:rFonts w:ascii="Arial" w:cs="Arial" w:eastAsia="Arial" w:hAnsi="Arial"/>
          <w:sz w:val="16"/>
          <w:szCs w:val="16"/>
          <w:color w:val="auto"/>
        </w:rPr>
        <w:t>Direct operating expenses were $19.2 million lower in 2020 compared with 2019. Direct operating expenses were</w:t>
      </w:r>
      <w:r>
        <w:rPr>
          <w:rFonts w:ascii="Arial" w:cs="Arial" w:eastAsia="Arial" w:hAnsi="Arial"/>
          <w:sz w:val="16"/>
          <w:szCs w:val="16"/>
          <w:i w:val="1"/>
          <w:iCs w:val="1"/>
          <w:color w:val="auto"/>
        </w:rPr>
        <w:t xml:space="preserve"> </w:t>
      </w:r>
      <w:r>
        <w:rPr>
          <w:rFonts w:ascii="Arial" w:cs="Arial" w:eastAsia="Arial" w:hAnsi="Arial"/>
          <w:sz w:val="16"/>
          <w:szCs w:val="16"/>
          <w:color w:val="auto"/>
        </w:rPr>
        <w:t>$15.4 million lower for the core fleet, primarily due to reduced personnel, repair and drydocking cost, and $3.8 million lower due to net fleet dispositions.</w:t>
      </w:r>
    </w:p>
    <w:p>
      <w:pPr>
        <w:spacing w:after="0" w:line="12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Africa and Europe, continuing operations. </w:t>
      </w:r>
      <w:r>
        <w:rPr>
          <w:rFonts w:ascii="Arial" w:cs="Arial" w:eastAsia="Arial" w:hAnsi="Arial"/>
          <w:sz w:val="18"/>
          <w:szCs w:val="18"/>
          <w:color w:val="auto"/>
        </w:rPr>
        <w:t>For the years ended December 31, the Company’s direct vessel profit in Africa and Europe was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 (in thousands, except statistics):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Time Charter Statistics: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3340" w:type="dxa"/>
            <w:vAlign w:val="bottom"/>
          </w:tcPr>
          <w:p>
            <w:pPr>
              <w:ind w:left="260"/>
              <w:spacing w:after="0"/>
              <w:rPr>
                <w:sz w:val="20"/>
                <w:szCs w:val="20"/>
                <w:color w:val="auto"/>
              </w:rPr>
            </w:pPr>
            <w:r>
              <w:rPr>
                <w:rFonts w:ascii="Arial" w:cs="Arial" w:eastAsia="Arial" w:hAnsi="Arial"/>
                <w:sz w:val="18"/>
                <w:szCs w:val="18"/>
                <w:color w:val="auto"/>
              </w:rPr>
              <w:t>Rates Per Day Worked:</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AHTS</w:t>
            </w:r>
          </w:p>
        </w:tc>
        <w:tc>
          <w:tcPr>
            <w:tcW w:w="1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8,649</w:t>
            </w: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8,208</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8,753</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340" w:type="dxa"/>
            <w:vAlign w:val="bottom"/>
          </w:tcPr>
          <w:p>
            <w:pPr>
              <w:ind w:left="500"/>
              <w:spacing w:after="0"/>
              <w:rPr>
                <w:sz w:val="20"/>
                <w:szCs w:val="20"/>
                <w:color w:val="auto"/>
              </w:rPr>
            </w:pPr>
            <w:r>
              <w:rPr>
                <w:rFonts w:ascii="Arial" w:cs="Arial" w:eastAsia="Arial" w:hAnsi="Arial"/>
                <w:sz w:val="18"/>
                <w:szCs w:val="18"/>
                <w:color w:val="auto"/>
              </w:rPr>
              <w:t>FSV</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9,107</w:t>
            </w: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9,108</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9,840</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Supply</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10,508</w:t>
            </w: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8,726</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8,429</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340" w:type="dxa"/>
            <w:vAlign w:val="bottom"/>
          </w:tcPr>
          <w:p>
            <w:pPr>
              <w:ind w:left="500"/>
              <w:spacing w:after="0"/>
              <w:rPr>
                <w:sz w:val="20"/>
                <w:szCs w:val="20"/>
                <w:color w:val="auto"/>
              </w:rPr>
            </w:pPr>
            <w:r>
              <w:rPr>
                <w:rFonts w:ascii="Arial" w:cs="Arial" w:eastAsia="Arial" w:hAnsi="Arial"/>
                <w:sz w:val="18"/>
                <w:szCs w:val="18"/>
                <w:color w:val="auto"/>
              </w:rPr>
              <w:t>Specialty</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Liftboat</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34,856</w:t>
            </w: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34,015</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35,001</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3340" w:type="dxa"/>
            <w:vAlign w:val="bottom"/>
          </w:tcPr>
          <w:p>
            <w:pPr>
              <w:ind w:left="500"/>
              <w:spacing w:after="0"/>
              <w:rPr>
                <w:sz w:val="20"/>
                <w:szCs w:val="20"/>
                <w:color w:val="auto"/>
              </w:rPr>
            </w:pPr>
            <w:r>
              <w:rPr>
                <w:rFonts w:ascii="Arial" w:cs="Arial" w:eastAsia="Arial" w:hAnsi="Arial"/>
                <w:sz w:val="18"/>
                <w:szCs w:val="18"/>
                <w:color w:val="auto"/>
              </w:rPr>
              <w:t>Overall</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10,334</w:t>
            </w: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10,856</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10,603</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Utilization:</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3340" w:type="dxa"/>
            <w:vAlign w:val="bottom"/>
          </w:tcPr>
          <w:p>
            <w:pPr>
              <w:ind w:left="500"/>
              <w:spacing w:after="0"/>
              <w:rPr>
                <w:sz w:val="20"/>
                <w:szCs w:val="20"/>
                <w:color w:val="auto"/>
              </w:rPr>
            </w:pPr>
            <w:r>
              <w:rPr>
                <w:rFonts w:ascii="Arial" w:cs="Arial" w:eastAsia="Arial" w:hAnsi="Arial"/>
                <w:sz w:val="18"/>
                <w:szCs w:val="18"/>
                <w:color w:val="auto"/>
              </w:rPr>
              <w:t>AHTS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98%</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85%</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94%</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FSV</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75%</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78%</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85%</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340" w:type="dxa"/>
            <w:vAlign w:val="bottom"/>
          </w:tcPr>
          <w:p>
            <w:pPr>
              <w:ind w:left="500"/>
              <w:spacing w:after="0"/>
              <w:rPr>
                <w:sz w:val="20"/>
                <w:szCs w:val="20"/>
                <w:color w:val="auto"/>
              </w:rPr>
            </w:pPr>
            <w:r>
              <w:rPr>
                <w:rFonts w:ascii="Arial" w:cs="Arial" w:eastAsia="Arial" w:hAnsi="Arial"/>
                <w:sz w:val="18"/>
                <w:szCs w:val="18"/>
                <w:color w:val="auto"/>
              </w:rPr>
              <w:t>Supply</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59%</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88%</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Specialty</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500"/>
              <w:spacing w:after="0"/>
              <w:rPr>
                <w:sz w:val="20"/>
                <w:szCs w:val="20"/>
                <w:color w:val="auto"/>
              </w:rPr>
            </w:pPr>
            <w:r>
              <w:rPr>
                <w:rFonts w:ascii="Arial" w:cs="Arial" w:eastAsia="Arial" w:hAnsi="Arial"/>
                <w:sz w:val="15"/>
                <w:szCs w:val="15"/>
                <w:color w:val="auto"/>
              </w:rPr>
              <w:t>—%</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6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6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340" w:type="dxa"/>
            <w:vAlign w:val="bottom"/>
          </w:tcPr>
          <w:p>
            <w:pPr>
              <w:ind w:left="500"/>
              <w:spacing w:after="0"/>
              <w:rPr>
                <w:sz w:val="20"/>
                <w:szCs w:val="20"/>
                <w:color w:val="auto"/>
              </w:rPr>
            </w:pPr>
            <w:r>
              <w:rPr>
                <w:rFonts w:ascii="Arial" w:cs="Arial" w:eastAsia="Arial" w:hAnsi="Arial"/>
                <w:sz w:val="18"/>
                <w:szCs w:val="18"/>
                <w:color w:val="auto"/>
              </w:rPr>
              <w:t>Liftboat</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78%</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95%</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80%</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Overall</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77%</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76%</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84%</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340" w:type="dxa"/>
            <w:vAlign w:val="bottom"/>
          </w:tcPr>
          <w:p>
            <w:pPr>
              <w:ind w:left="260"/>
              <w:spacing w:after="0"/>
              <w:rPr>
                <w:sz w:val="20"/>
                <w:szCs w:val="20"/>
                <w:color w:val="auto"/>
              </w:rPr>
            </w:pPr>
            <w:r>
              <w:rPr>
                <w:rFonts w:ascii="Arial" w:cs="Arial" w:eastAsia="Arial" w:hAnsi="Arial"/>
                <w:sz w:val="18"/>
                <w:szCs w:val="18"/>
                <w:color w:val="auto"/>
              </w:rPr>
              <w:t>Available Days: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AHTS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340" w:type="dxa"/>
            <w:vAlign w:val="bottom"/>
          </w:tcPr>
          <w:p>
            <w:pPr>
              <w:ind w:left="500"/>
              <w:spacing w:after="0"/>
              <w:rPr>
                <w:sz w:val="20"/>
                <w:szCs w:val="20"/>
                <w:color w:val="auto"/>
              </w:rPr>
            </w:pPr>
            <w:r>
              <w:rPr>
                <w:rFonts w:ascii="Arial" w:cs="Arial" w:eastAsia="Arial" w:hAnsi="Arial"/>
                <w:sz w:val="18"/>
                <w:szCs w:val="18"/>
                <w:color w:val="auto"/>
              </w:rPr>
              <w:t>FSV</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3,322</w:t>
            </w: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3,661</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3,518</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Supply</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340" w:type="dxa"/>
            <w:vAlign w:val="bottom"/>
          </w:tcPr>
          <w:p>
            <w:pPr>
              <w:ind w:left="500"/>
              <w:spacing w:after="0"/>
              <w:rPr>
                <w:sz w:val="20"/>
                <w:szCs w:val="20"/>
                <w:color w:val="auto"/>
              </w:rPr>
            </w:pPr>
            <w:r>
              <w:rPr>
                <w:rFonts w:ascii="Arial" w:cs="Arial" w:eastAsia="Arial" w:hAnsi="Arial"/>
                <w:sz w:val="18"/>
                <w:szCs w:val="18"/>
                <w:color w:val="auto"/>
              </w:rPr>
              <w:t>Specialty</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Liftboat</w:t>
            </w:r>
          </w:p>
        </w:tc>
        <w:tc>
          <w:tcPr>
            <w:tcW w:w="1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63"/>
        </w:trPr>
        <w:tc>
          <w:tcPr>
            <w:tcW w:w="33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Overall</w:t>
            </w:r>
          </w:p>
        </w:tc>
        <w:tc>
          <w:tcPr>
            <w:tcW w:w="1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5,549</w:t>
            </w:r>
          </w:p>
        </w:tc>
        <w:tc>
          <w:tcPr>
            <w:tcW w:w="620" w:type="dxa"/>
            <w:vAlign w:val="bottom"/>
            <w:tcBorders>
              <w:bottom w:val="single" w:sz="8" w:color="CFF0FC"/>
            </w:tcBorders>
          </w:tcPr>
          <w:p>
            <w:pPr>
              <w:spacing w:after="0"/>
              <w:rPr>
                <w:sz w:val="22"/>
                <w:szCs w:val="22"/>
                <w:color w:val="auto"/>
              </w:rPr>
            </w:pPr>
          </w:p>
        </w:tc>
        <w:tc>
          <w:tcPr>
            <w:tcW w:w="52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w:t>
            </w:r>
          </w:p>
        </w:tc>
        <w:tc>
          <w:tcPr>
            <w:tcW w:w="60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5,866</w:t>
            </w:r>
          </w:p>
        </w:tc>
        <w:tc>
          <w:tcPr>
            <w:tcW w:w="58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r>
      <w:tr>
        <w:trPr>
          <w:trHeight w:val="21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29"/>
        </w:trPr>
        <w:tc>
          <w:tcPr>
            <w:tcW w:w="3340" w:type="dxa"/>
            <w:vAlign w:val="bottom"/>
          </w:tcPr>
          <w:p>
            <w:pPr>
              <w:ind w:left="260"/>
              <w:spacing w:after="0"/>
              <w:rPr>
                <w:sz w:val="20"/>
                <w:szCs w:val="20"/>
                <w:color w:val="auto"/>
              </w:rPr>
            </w:pPr>
            <w:r>
              <w:rPr>
                <w:rFonts w:ascii="Arial" w:cs="Arial" w:eastAsia="Arial" w:hAnsi="Arial"/>
                <w:sz w:val="18"/>
                <w:szCs w:val="18"/>
                <w:color w:val="auto"/>
              </w:rPr>
              <w:t>Time charter</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44,268</w:t>
            </w:r>
          </w:p>
        </w:tc>
        <w:tc>
          <w:tcPr>
            <w:tcW w:w="6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47,723</w:t>
            </w:r>
          </w:p>
        </w:tc>
        <w:tc>
          <w:tcPr>
            <w:tcW w:w="6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52,325</w:t>
            </w:r>
          </w:p>
        </w:tc>
        <w:tc>
          <w:tcPr>
            <w:tcW w:w="5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r>
      <w:tr>
        <w:trPr>
          <w:trHeight w:val="230"/>
        </w:trPr>
        <w:tc>
          <w:tcPr>
            <w:tcW w:w="3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Bareboat charter</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(55)</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3340" w:type="dxa"/>
            <w:vAlign w:val="bottom"/>
          </w:tcPr>
          <w:p>
            <w:pPr>
              <w:ind w:left="260"/>
              <w:spacing w:after="0"/>
              <w:rPr>
                <w:sz w:val="20"/>
                <w:szCs w:val="20"/>
                <w:color w:val="auto"/>
              </w:rPr>
            </w:pPr>
            <w:r>
              <w:rPr>
                <w:rFonts w:ascii="Arial" w:cs="Arial" w:eastAsia="Arial" w:hAnsi="Arial"/>
                <w:sz w:val="18"/>
                <w:szCs w:val="18"/>
                <w:color w:val="auto"/>
              </w:rPr>
              <w:t>Other marine services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(1,338)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(135)</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5,405</w:t>
            </w:r>
          </w:p>
        </w:tc>
        <w:tc>
          <w:tcPr>
            <w:tcW w:w="5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23"/>
        </w:trPr>
        <w:tc>
          <w:tcPr>
            <w:tcW w:w="33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42,930</w:t>
            </w:r>
          </w:p>
        </w:tc>
        <w:tc>
          <w:tcPr>
            <w:tcW w:w="6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47,533</w:t>
            </w:r>
          </w:p>
        </w:tc>
        <w:tc>
          <w:tcPr>
            <w:tcW w:w="6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57,730</w:t>
            </w:r>
          </w:p>
        </w:tc>
        <w:tc>
          <w:tcPr>
            <w:tcW w:w="5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Direct operating expenses: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Personnel</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13,903</w:t>
            </w:r>
          </w:p>
        </w:tc>
        <w:tc>
          <w:tcPr>
            <w:tcW w:w="6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13,397</w:t>
            </w:r>
          </w:p>
        </w:tc>
        <w:tc>
          <w:tcPr>
            <w:tcW w:w="6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17,327</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r>
      <w:tr>
        <w:trPr>
          <w:trHeight w:val="230"/>
        </w:trPr>
        <w:tc>
          <w:tcPr>
            <w:tcW w:w="3340" w:type="dxa"/>
            <w:vAlign w:val="bottom"/>
          </w:tcPr>
          <w:p>
            <w:pPr>
              <w:ind w:left="260"/>
              <w:spacing w:after="0"/>
              <w:rPr>
                <w:sz w:val="20"/>
                <w:szCs w:val="20"/>
                <w:color w:val="auto"/>
              </w:rPr>
            </w:pPr>
            <w:r>
              <w:rPr>
                <w:rFonts w:ascii="Arial" w:cs="Arial" w:eastAsia="Arial" w:hAnsi="Arial"/>
                <w:sz w:val="18"/>
                <w:szCs w:val="18"/>
                <w:color w:val="auto"/>
              </w:rPr>
              <w:t>Repairs and maintenance</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6,772</w:t>
            </w:r>
          </w:p>
        </w:tc>
        <w:tc>
          <w:tcPr>
            <w:tcW w:w="6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5,643</w:t>
            </w:r>
          </w:p>
        </w:tc>
        <w:tc>
          <w:tcPr>
            <w:tcW w:w="6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5,288</w:t>
            </w:r>
          </w:p>
        </w:tc>
        <w:tc>
          <w:tcPr>
            <w:tcW w:w="5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29"/>
        </w:trPr>
        <w:tc>
          <w:tcPr>
            <w:tcW w:w="3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Drydocking</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6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w:t>
            </w:r>
          </w:p>
        </w:tc>
        <w:tc>
          <w:tcPr>
            <w:tcW w:w="6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r>
        <w:trPr>
          <w:trHeight w:val="230"/>
        </w:trPr>
        <w:tc>
          <w:tcPr>
            <w:tcW w:w="3340" w:type="dxa"/>
            <w:vAlign w:val="bottom"/>
          </w:tcPr>
          <w:p>
            <w:pPr>
              <w:ind w:left="260"/>
              <w:spacing w:after="0"/>
              <w:rPr>
                <w:sz w:val="20"/>
                <w:szCs w:val="20"/>
                <w:color w:val="auto"/>
              </w:rPr>
            </w:pPr>
            <w:r>
              <w:rPr>
                <w:rFonts w:ascii="Arial" w:cs="Arial" w:eastAsia="Arial" w:hAnsi="Arial"/>
                <w:sz w:val="18"/>
                <w:szCs w:val="18"/>
                <w:color w:val="auto"/>
              </w:rPr>
              <w:t>Insurance and loss reserves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1,353</w:t>
            </w:r>
          </w:p>
        </w:tc>
        <w:tc>
          <w:tcPr>
            <w:tcW w:w="6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1,806</w:t>
            </w:r>
          </w:p>
        </w:tc>
        <w:tc>
          <w:tcPr>
            <w:tcW w:w="6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1,492</w:t>
            </w:r>
          </w:p>
        </w:tc>
        <w:tc>
          <w:tcPr>
            <w:tcW w:w="5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30"/>
        </w:trPr>
        <w:tc>
          <w:tcPr>
            <w:tcW w:w="3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Fuel, lubes and supplies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4,109</w:t>
            </w:r>
          </w:p>
        </w:tc>
        <w:tc>
          <w:tcPr>
            <w:tcW w:w="6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3,260</w:t>
            </w:r>
          </w:p>
        </w:tc>
        <w:tc>
          <w:tcPr>
            <w:tcW w:w="6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3,726</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r>
      <w:tr>
        <w:trPr>
          <w:trHeight w:val="229"/>
        </w:trPr>
        <w:tc>
          <w:tcPr>
            <w:tcW w:w="3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5,815</w:t>
            </w:r>
          </w:p>
        </w:tc>
        <w:tc>
          <w:tcPr>
            <w:tcW w:w="62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6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w:t>
            </w:r>
          </w:p>
        </w:tc>
        <w:tc>
          <w:tcPr>
            <w:tcW w:w="58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23"/>
        </w:trPr>
        <w:tc>
          <w:tcPr>
            <w:tcW w:w="3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33,111</w:t>
            </w:r>
          </w:p>
        </w:tc>
        <w:tc>
          <w:tcPr>
            <w:tcW w:w="6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27,463</w:t>
            </w:r>
          </w:p>
        </w:tc>
        <w:tc>
          <w:tcPr>
            <w:tcW w:w="6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33,711</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Direct Vessel Profit</w:t>
            </w:r>
          </w:p>
        </w:tc>
        <w:tc>
          <w:tcPr>
            <w:tcW w:w="1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9,819</w:t>
            </w:r>
          </w:p>
        </w:tc>
        <w:tc>
          <w:tcPr>
            <w:tcW w:w="6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20,070</w:t>
            </w:r>
          </w:p>
        </w:tc>
        <w:tc>
          <w:tcPr>
            <w:tcW w:w="6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24,019</w:t>
            </w:r>
          </w:p>
        </w:tc>
        <w:tc>
          <w:tcPr>
            <w:tcW w:w="5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0"/>
        </w:trPr>
        <w:tc>
          <w:tcPr>
            <w:tcW w:w="3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3"/>
        </w:trPr>
        <w:tc>
          <w:tcPr>
            <w:tcW w:w="3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4" w:name="page55"/>
    <w:bookmarkEnd w:id="54"/>
    <w:p>
      <w:pPr>
        <w:ind w:left="760"/>
        <w:spacing w:after="0"/>
        <w:rPr>
          <w:sz w:val="20"/>
          <w:szCs w:val="20"/>
          <w:color w:val="auto"/>
        </w:rPr>
      </w:pPr>
      <w:r>
        <w:rPr>
          <w:rFonts w:ascii="Arial" w:cs="Arial" w:eastAsia="Arial" w:hAnsi="Arial"/>
          <w:sz w:val="18"/>
          <w:szCs w:val="18"/>
          <w:b w:val="1"/>
          <w:bCs w:val="1"/>
          <w:u w:val="single" w:color="auto"/>
          <w:color w:val="auto"/>
        </w:rPr>
        <w:t>2021 compared with 2020</w:t>
      </w:r>
    </w:p>
    <w:p>
      <w:pPr>
        <w:spacing w:after="0" w:line="18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Charter revenues were $3.4 million lower in 2021 compared with 2020. Charter revenues were $5.4 million lower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repositioning of vessels between geographic regions and $2.0 million higher due to net fleet additions. Other marine services were $1.2 million lower primarily due to commission charges. As of December 31, 2021, the Company had no owned and leased-in vessels cold stacked in this region, compared with 4 of 16 vessels as of December 31, 2020.</w:t>
      </w:r>
    </w:p>
    <w:p>
      <w:pPr>
        <w:spacing w:after="0" w:line="16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Direct operating expenses were $5.6 million higher in 2021 compared with 2020, primarily due to higher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in West Africa and the reactivation of vessels from cold-stacked status.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2020 compared with 2019</w:t>
      </w:r>
    </w:p>
    <w:p>
      <w:pPr>
        <w:spacing w:after="0" w:line="189"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i w:val="1"/>
          <w:iCs w:val="1"/>
          <w:color w:val="auto"/>
        </w:rPr>
        <w:t xml:space="preserve">Operating Revenues. </w:t>
      </w:r>
      <w:r>
        <w:rPr>
          <w:rFonts w:ascii="Arial" w:cs="Arial" w:eastAsia="Arial" w:hAnsi="Arial"/>
          <w:sz w:val="17"/>
          <w:szCs w:val="17"/>
          <w:color w:val="auto"/>
        </w:rPr>
        <w:t>Time charter revenues were $4.7 million lower in 2020 compared with 2019. On an overall basis, time charter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were $3.9 million lower due to the effect of cold-stacking vessels, $3.5 million lower due to net fleet dispositions, $1.2 million higher due to the repositioning of vessels between geographic regions, and $1.1 million lower for the core fleet primarily due to reduced utilization. Charter revenues were $2.6 million higher and other marine services were $1.9 million lower, primarily due to one vessel commencing a time charter after previously having revenues recognized only on receipt of cash (and therefore included in other marine services) due to collection concerns. Also, other marine services were $3.6 million lower in 2020 compared with 2019, primarily due to the termination of a charter of a PSV from a joint venture. As of December 31, 2020, the Company had four of 16 owned and leased-in vessels cold stacked in this region (two PSVs, two FSVs).</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Direct operating expenses were $6.2 million lower in 2020 compared with 2019. Direct operating expenses were</w:t>
      </w:r>
      <w:r>
        <w:rPr>
          <w:rFonts w:ascii="Arial" w:cs="Arial" w:eastAsia="Arial" w:hAnsi="Arial"/>
          <w:sz w:val="18"/>
          <w:szCs w:val="18"/>
          <w:i w:val="1"/>
          <w:iCs w:val="1"/>
          <w:color w:val="auto"/>
        </w:rPr>
        <w:t xml:space="preserve"> </w:t>
      </w:r>
      <w:r>
        <w:rPr>
          <w:rFonts w:ascii="Arial" w:cs="Arial" w:eastAsia="Arial" w:hAnsi="Arial"/>
          <w:sz w:val="18"/>
          <w:szCs w:val="18"/>
          <w:color w:val="auto"/>
        </w:rPr>
        <w:t>$4.2 million lower due to net fleet dispositions and $1.4 million lower due to the repositioning of vessels between geographic regions, and $0.4 million higher for the core fleet primarily due to the timing of dry dockings and certain repair expenditures. Vessel operating expenses were $1.0 million lower in 2020 compared to 2019, primarily due to the termination of a charter-in of a PSV from a joint venture.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5" w:name="page56"/>
    <w:bookmarkEnd w:id="55"/>
    <w:p>
      <w:pPr>
        <w:jc w:val="both"/>
        <w:ind w:firstLine="749"/>
        <w:spacing w:after="0" w:line="277" w:lineRule="auto"/>
        <w:rPr>
          <w:sz w:val="20"/>
          <w:szCs w:val="20"/>
          <w:color w:val="auto"/>
        </w:rPr>
      </w:pPr>
      <w:r>
        <w:rPr>
          <w:rFonts w:ascii="Arial" w:cs="Arial" w:eastAsia="Arial" w:hAnsi="Arial"/>
          <w:sz w:val="18"/>
          <w:szCs w:val="18"/>
          <w:b w:val="1"/>
          <w:bCs w:val="1"/>
          <w:i w:val="1"/>
          <w:iCs w:val="1"/>
          <w:color w:val="auto"/>
        </w:rPr>
        <w:t xml:space="preserve">Middle East and Asia. </w:t>
      </w:r>
      <w:r>
        <w:rPr>
          <w:rFonts w:ascii="Arial" w:cs="Arial" w:eastAsia="Arial" w:hAnsi="Arial"/>
          <w:sz w:val="18"/>
          <w:szCs w:val="18"/>
          <w:color w:val="auto"/>
        </w:rPr>
        <w:t>For the years ended December 31, the Company’s direct vessel profit (loss) in the Middle East and Asia was as follows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thousands, except statistics):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FF0FC"/>
            </w:tcBorders>
          </w:tcPr>
          <w:p>
            <w:pPr>
              <w:spacing w:after="0"/>
              <w:rPr>
                <w:sz w:val="20"/>
                <w:szCs w:val="20"/>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Time Charter Statistics: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Rates Per Day Worked:</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AHTS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5,732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6,153</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5,873</w:t>
            </w:r>
          </w:p>
        </w:tc>
        <w:tc>
          <w:tcPr>
            <w:tcW w:w="180" w:type="dxa"/>
            <w:vAlign w:val="bottom"/>
            <w:shd w:val="clear" w:color="auto" w:fill="CFF0FC"/>
          </w:tcPr>
          <w:p>
            <w:pPr>
              <w:spacing w:after="0"/>
              <w:rPr>
                <w:sz w:val="19"/>
                <w:szCs w:val="19"/>
                <w:color w:val="auto"/>
              </w:rPr>
            </w:pPr>
          </w:p>
        </w:tc>
      </w:tr>
      <w:tr>
        <w:trPr>
          <w:trHeight w:val="229"/>
        </w:trPr>
        <w:tc>
          <w:tcPr>
            <w:tcW w:w="4440" w:type="dxa"/>
            <w:vAlign w:val="bottom"/>
          </w:tcPr>
          <w:p>
            <w:pPr>
              <w:ind w:left="500"/>
              <w:spacing w:after="0"/>
              <w:rPr>
                <w:sz w:val="20"/>
                <w:szCs w:val="20"/>
                <w:color w:val="auto"/>
              </w:rPr>
            </w:pPr>
            <w:r>
              <w:rPr>
                <w:rFonts w:ascii="Arial" w:cs="Arial" w:eastAsia="Arial" w:hAnsi="Arial"/>
                <w:sz w:val="18"/>
                <w:szCs w:val="18"/>
                <w:color w:val="auto"/>
              </w:rPr>
              <w:t>FSV</w:t>
            </w:r>
          </w:p>
        </w:tc>
        <w:tc>
          <w:tcPr>
            <w:tcW w:w="220" w:type="dxa"/>
            <w:vAlign w:val="bottom"/>
          </w:tcPr>
          <w:p>
            <w:pPr>
              <w:spacing w:after="0"/>
              <w:rPr>
                <w:sz w:val="19"/>
                <w:szCs w:val="19"/>
                <w:color w:val="auto"/>
              </w:rPr>
            </w:pPr>
          </w:p>
        </w:tc>
        <w:tc>
          <w:tcPr>
            <w:tcW w:w="1780" w:type="dxa"/>
            <w:vAlign w:val="bottom"/>
          </w:tcPr>
          <w:p>
            <w:pPr>
              <w:jc w:val="right"/>
              <w:ind w:right="1070"/>
              <w:spacing w:after="0"/>
              <w:rPr>
                <w:sz w:val="20"/>
                <w:szCs w:val="20"/>
                <w:color w:val="auto"/>
              </w:rPr>
            </w:pPr>
            <w:r>
              <w:rPr>
                <w:rFonts w:ascii="Arial" w:cs="Arial" w:eastAsia="Arial" w:hAnsi="Arial"/>
                <w:sz w:val="18"/>
                <w:szCs w:val="18"/>
                <w:color w:val="auto"/>
              </w:rPr>
              <w:t>7,493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ind w:right="1070"/>
              <w:spacing w:after="0"/>
              <w:rPr>
                <w:sz w:val="20"/>
                <w:szCs w:val="20"/>
                <w:color w:val="auto"/>
              </w:rPr>
            </w:pPr>
            <w:r>
              <w:rPr>
                <w:rFonts w:ascii="Arial" w:cs="Arial" w:eastAsia="Arial" w:hAnsi="Arial"/>
                <w:sz w:val="18"/>
                <w:szCs w:val="18"/>
                <w:color w:val="auto"/>
              </w:rPr>
              <w:t>8,014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ind w:right="1070"/>
              <w:spacing w:after="0"/>
              <w:rPr>
                <w:sz w:val="20"/>
                <w:szCs w:val="20"/>
                <w:color w:val="auto"/>
              </w:rPr>
            </w:pPr>
            <w:r>
              <w:rPr>
                <w:rFonts w:ascii="Arial" w:cs="Arial" w:eastAsia="Arial" w:hAnsi="Arial"/>
                <w:sz w:val="18"/>
                <w:szCs w:val="18"/>
                <w:color w:val="auto"/>
              </w:rPr>
              <w:t>6,582</w:t>
            </w:r>
          </w:p>
        </w:tc>
        <w:tc>
          <w:tcPr>
            <w:tcW w:w="180" w:type="dxa"/>
            <w:vAlign w:val="bottom"/>
          </w:tcPr>
          <w:p>
            <w:pPr>
              <w:spacing w:after="0"/>
              <w:rPr>
                <w:sz w:val="19"/>
                <w:szCs w:val="19"/>
                <w:color w:val="auto"/>
              </w:rPr>
            </w:pPr>
          </w:p>
        </w:tc>
      </w:tr>
      <w:tr>
        <w:trPr>
          <w:trHeight w:val="229"/>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Supply</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7,595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7,215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5,087</w:t>
            </w:r>
          </w:p>
        </w:tc>
        <w:tc>
          <w:tcPr>
            <w:tcW w:w="180" w:type="dxa"/>
            <w:vAlign w:val="bottom"/>
            <w:shd w:val="clear" w:color="auto" w:fill="CFF0FC"/>
          </w:tcPr>
          <w:p>
            <w:pPr>
              <w:spacing w:after="0"/>
              <w:rPr>
                <w:sz w:val="19"/>
                <w:szCs w:val="19"/>
                <w:color w:val="auto"/>
              </w:rPr>
            </w:pPr>
          </w:p>
        </w:tc>
      </w:tr>
      <w:tr>
        <w:trPr>
          <w:trHeight w:val="230"/>
        </w:trPr>
        <w:tc>
          <w:tcPr>
            <w:tcW w:w="4440" w:type="dxa"/>
            <w:vAlign w:val="bottom"/>
          </w:tcPr>
          <w:p>
            <w:pPr>
              <w:ind w:left="500"/>
              <w:spacing w:after="0"/>
              <w:rPr>
                <w:sz w:val="20"/>
                <w:szCs w:val="20"/>
                <w:color w:val="auto"/>
              </w:rPr>
            </w:pPr>
            <w:r>
              <w:rPr>
                <w:rFonts w:ascii="Arial" w:cs="Arial" w:eastAsia="Arial" w:hAnsi="Arial"/>
                <w:sz w:val="18"/>
                <w:szCs w:val="18"/>
                <w:color w:val="auto"/>
              </w:rPr>
              <w:t>Specialty</w:t>
            </w:r>
          </w:p>
        </w:tc>
        <w:tc>
          <w:tcPr>
            <w:tcW w:w="220" w:type="dxa"/>
            <w:vAlign w:val="bottom"/>
          </w:tcPr>
          <w:p>
            <w:pPr>
              <w:spacing w:after="0"/>
              <w:rPr>
                <w:sz w:val="19"/>
                <w:szCs w:val="19"/>
                <w:color w:val="auto"/>
              </w:rPr>
            </w:pPr>
          </w:p>
        </w:tc>
        <w:tc>
          <w:tcPr>
            <w:tcW w:w="1780" w:type="dxa"/>
            <w:vAlign w:val="bottom"/>
          </w:tcPr>
          <w:p>
            <w:pPr>
              <w:jc w:val="right"/>
              <w:ind w:right="1070"/>
              <w:spacing w:after="0"/>
              <w:rPr>
                <w:sz w:val="20"/>
                <w:szCs w:val="20"/>
                <w:color w:val="auto"/>
              </w:rPr>
            </w:pPr>
            <w:r>
              <w:rPr>
                <w:rFonts w:ascii="Arial" w:cs="Arial" w:eastAsia="Arial" w:hAnsi="Arial"/>
                <w:sz w:val="18"/>
                <w:szCs w:val="18"/>
                <w:color w:val="auto"/>
              </w:rPr>
              <w:t>1,732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ind w:right="107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ind w:right="1070"/>
              <w:spacing w:after="0"/>
              <w:rPr>
                <w:sz w:val="20"/>
                <w:szCs w:val="20"/>
                <w:color w:val="auto"/>
              </w:rPr>
            </w:pPr>
            <w:r>
              <w:rPr>
                <w:rFonts w:ascii="Arial" w:cs="Arial" w:eastAsia="Arial" w:hAnsi="Arial"/>
                <w:sz w:val="18"/>
                <w:szCs w:val="18"/>
                <w:color w:val="auto"/>
              </w:rPr>
              <w:t>1,957</w:t>
            </w:r>
          </w:p>
        </w:tc>
        <w:tc>
          <w:tcPr>
            <w:tcW w:w="180" w:type="dxa"/>
            <w:vAlign w:val="bottom"/>
          </w:tcPr>
          <w:p>
            <w:pPr>
              <w:spacing w:after="0"/>
              <w:rPr>
                <w:sz w:val="19"/>
                <w:szCs w:val="19"/>
                <w:color w:val="auto"/>
              </w:rPr>
            </w:pPr>
          </w:p>
        </w:tc>
      </w:tr>
      <w:tr>
        <w:trPr>
          <w:trHeight w:val="229"/>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Liftboats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25,298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26,855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27,177</w:t>
            </w:r>
          </w:p>
        </w:tc>
        <w:tc>
          <w:tcPr>
            <w:tcW w:w="180" w:type="dxa"/>
            <w:vAlign w:val="bottom"/>
            <w:shd w:val="clear" w:color="auto" w:fill="CFF0FC"/>
          </w:tcPr>
          <w:p>
            <w:pPr>
              <w:spacing w:after="0"/>
              <w:rPr>
                <w:sz w:val="19"/>
                <w:szCs w:val="19"/>
                <w:color w:val="auto"/>
              </w:rPr>
            </w:pPr>
          </w:p>
        </w:tc>
      </w:tr>
      <w:tr>
        <w:trPr>
          <w:trHeight w:val="230"/>
        </w:trPr>
        <w:tc>
          <w:tcPr>
            <w:tcW w:w="4440" w:type="dxa"/>
            <w:vAlign w:val="bottom"/>
          </w:tcPr>
          <w:p>
            <w:pPr>
              <w:ind w:left="500"/>
              <w:spacing w:after="0"/>
              <w:rPr>
                <w:sz w:val="20"/>
                <w:szCs w:val="20"/>
                <w:color w:val="auto"/>
              </w:rPr>
            </w:pPr>
            <w:r>
              <w:rPr>
                <w:rFonts w:ascii="Arial" w:cs="Arial" w:eastAsia="Arial" w:hAnsi="Arial"/>
                <w:sz w:val="18"/>
                <w:szCs w:val="18"/>
                <w:color w:val="auto"/>
              </w:rPr>
              <w:t>Overall</w:t>
            </w:r>
          </w:p>
        </w:tc>
        <w:tc>
          <w:tcPr>
            <w:tcW w:w="220" w:type="dxa"/>
            <w:vAlign w:val="bottom"/>
          </w:tcPr>
          <w:p>
            <w:pPr>
              <w:spacing w:after="0"/>
              <w:rPr>
                <w:sz w:val="19"/>
                <w:szCs w:val="19"/>
                <w:color w:val="auto"/>
              </w:rPr>
            </w:pPr>
          </w:p>
        </w:tc>
        <w:tc>
          <w:tcPr>
            <w:tcW w:w="1780" w:type="dxa"/>
            <w:vAlign w:val="bottom"/>
          </w:tcPr>
          <w:p>
            <w:pPr>
              <w:jc w:val="right"/>
              <w:ind w:right="1070"/>
              <w:spacing w:after="0"/>
              <w:rPr>
                <w:sz w:val="20"/>
                <w:szCs w:val="20"/>
                <w:color w:val="auto"/>
              </w:rPr>
            </w:pPr>
            <w:r>
              <w:rPr>
                <w:rFonts w:ascii="Arial" w:cs="Arial" w:eastAsia="Arial" w:hAnsi="Arial"/>
                <w:sz w:val="18"/>
                <w:szCs w:val="18"/>
                <w:color w:val="auto"/>
              </w:rPr>
              <w:t>9,631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ind w:right="1070"/>
              <w:spacing w:after="0"/>
              <w:rPr>
                <w:sz w:val="20"/>
                <w:szCs w:val="20"/>
                <w:color w:val="auto"/>
              </w:rPr>
            </w:pPr>
            <w:r>
              <w:rPr>
                <w:rFonts w:ascii="Arial" w:cs="Arial" w:eastAsia="Arial" w:hAnsi="Arial"/>
                <w:sz w:val="18"/>
                <w:szCs w:val="18"/>
                <w:color w:val="auto"/>
              </w:rPr>
              <w:t>9,749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ind w:right="1070"/>
              <w:spacing w:after="0"/>
              <w:rPr>
                <w:sz w:val="20"/>
                <w:szCs w:val="20"/>
                <w:color w:val="auto"/>
              </w:rPr>
            </w:pPr>
            <w:r>
              <w:rPr>
                <w:rFonts w:ascii="Arial" w:cs="Arial" w:eastAsia="Arial" w:hAnsi="Arial"/>
                <w:sz w:val="18"/>
                <w:szCs w:val="18"/>
                <w:color w:val="auto"/>
              </w:rPr>
              <w:t>8,556</w:t>
            </w:r>
          </w:p>
        </w:tc>
        <w:tc>
          <w:tcPr>
            <w:tcW w:w="180" w:type="dxa"/>
            <w:vAlign w:val="bottom"/>
          </w:tcPr>
          <w:p>
            <w:pPr>
              <w:spacing w:after="0"/>
              <w:rPr>
                <w:sz w:val="19"/>
                <w:szCs w:val="19"/>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Utilization:</w:t>
            </w:r>
          </w:p>
        </w:tc>
        <w:tc>
          <w:tcPr>
            <w:tcW w:w="334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r>
      <w:tr>
        <w:trPr>
          <w:trHeight w:val="229"/>
        </w:trPr>
        <w:tc>
          <w:tcPr>
            <w:tcW w:w="3100" w:type="dxa"/>
            <w:vAlign w:val="bottom"/>
          </w:tcPr>
          <w:p>
            <w:pPr>
              <w:ind w:left="500"/>
              <w:spacing w:after="0"/>
              <w:rPr>
                <w:sz w:val="20"/>
                <w:szCs w:val="20"/>
                <w:color w:val="auto"/>
              </w:rPr>
            </w:pPr>
            <w:r>
              <w:rPr>
                <w:rFonts w:ascii="Arial" w:cs="Arial" w:eastAsia="Arial" w:hAnsi="Arial"/>
                <w:sz w:val="18"/>
                <w:szCs w:val="18"/>
                <w:color w:val="auto"/>
              </w:rPr>
              <w:t>AHTS</w:t>
            </w:r>
          </w:p>
        </w:tc>
        <w:tc>
          <w:tcPr>
            <w:tcW w:w="3340" w:type="dxa"/>
            <w:vAlign w:val="bottom"/>
          </w:tcPr>
          <w:p>
            <w:pPr>
              <w:jc w:val="right"/>
              <w:ind w:right="892"/>
              <w:spacing w:after="0"/>
              <w:rPr>
                <w:sz w:val="20"/>
                <w:szCs w:val="20"/>
                <w:color w:val="auto"/>
              </w:rPr>
            </w:pPr>
            <w:r>
              <w:rPr>
                <w:rFonts w:ascii="Arial" w:cs="Arial" w:eastAsia="Arial" w:hAnsi="Arial"/>
                <w:sz w:val="18"/>
                <w:szCs w:val="18"/>
                <w:color w:val="auto"/>
              </w:rPr>
              <w:t>56%</w:t>
            </w:r>
          </w:p>
        </w:tc>
        <w:tc>
          <w:tcPr>
            <w:tcW w:w="2260" w:type="dxa"/>
            <w:vAlign w:val="bottom"/>
          </w:tcPr>
          <w:p>
            <w:pPr>
              <w:jc w:val="right"/>
              <w:ind w:right="850"/>
              <w:spacing w:after="0"/>
              <w:rPr>
                <w:sz w:val="20"/>
                <w:szCs w:val="20"/>
                <w:color w:val="auto"/>
              </w:rPr>
            </w:pPr>
            <w:r>
              <w:rPr>
                <w:rFonts w:ascii="Arial" w:cs="Arial" w:eastAsia="Arial" w:hAnsi="Arial"/>
                <w:sz w:val="18"/>
                <w:szCs w:val="18"/>
                <w:color w:val="auto"/>
              </w:rPr>
              <w:t>47%</w:t>
            </w:r>
          </w:p>
        </w:tc>
        <w:tc>
          <w:tcPr>
            <w:tcW w:w="2540" w:type="dxa"/>
            <w:vAlign w:val="bottom"/>
          </w:tcPr>
          <w:p>
            <w:pPr>
              <w:jc w:val="right"/>
              <w:ind w:right="1090"/>
              <w:spacing w:after="0"/>
              <w:rPr>
                <w:sz w:val="20"/>
                <w:szCs w:val="20"/>
                <w:color w:val="auto"/>
              </w:rPr>
            </w:pPr>
            <w:r>
              <w:rPr>
                <w:rFonts w:ascii="Arial" w:cs="Arial" w:eastAsia="Arial" w:hAnsi="Arial"/>
                <w:sz w:val="18"/>
                <w:szCs w:val="18"/>
                <w:color w:val="auto"/>
              </w:rPr>
              <w:t>49%</w:t>
            </w:r>
          </w:p>
        </w:tc>
      </w:tr>
      <w:tr>
        <w:trPr>
          <w:trHeight w:val="230"/>
        </w:trPr>
        <w:tc>
          <w:tcPr>
            <w:tcW w:w="3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FSV</w:t>
            </w:r>
          </w:p>
        </w:tc>
        <w:tc>
          <w:tcPr>
            <w:tcW w:w="3340" w:type="dxa"/>
            <w:vAlign w:val="bottom"/>
            <w:shd w:val="clear" w:color="auto" w:fill="CFF0FC"/>
          </w:tcPr>
          <w:p>
            <w:pPr>
              <w:jc w:val="right"/>
              <w:ind w:right="892"/>
              <w:spacing w:after="0"/>
              <w:rPr>
                <w:sz w:val="20"/>
                <w:szCs w:val="20"/>
                <w:color w:val="auto"/>
              </w:rPr>
            </w:pPr>
            <w:r>
              <w:rPr>
                <w:rFonts w:ascii="Arial" w:cs="Arial" w:eastAsia="Arial" w:hAnsi="Arial"/>
                <w:sz w:val="18"/>
                <w:szCs w:val="18"/>
                <w:color w:val="auto"/>
              </w:rPr>
              <w:t>80%</w:t>
            </w:r>
          </w:p>
        </w:tc>
        <w:tc>
          <w:tcPr>
            <w:tcW w:w="226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rPr>
              <w:t>78%</w:t>
            </w:r>
          </w:p>
        </w:tc>
        <w:tc>
          <w:tcPr>
            <w:tcW w:w="254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rPr>
              <w:t>87%</w:t>
            </w:r>
          </w:p>
        </w:tc>
      </w:tr>
      <w:tr>
        <w:trPr>
          <w:trHeight w:val="229"/>
        </w:trPr>
        <w:tc>
          <w:tcPr>
            <w:tcW w:w="3100" w:type="dxa"/>
            <w:vAlign w:val="bottom"/>
          </w:tcPr>
          <w:p>
            <w:pPr>
              <w:ind w:left="500"/>
              <w:spacing w:after="0"/>
              <w:rPr>
                <w:sz w:val="20"/>
                <w:szCs w:val="20"/>
                <w:color w:val="auto"/>
              </w:rPr>
            </w:pPr>
            <w:r>
              <w:rPr>
                <w:rFonts w:ascii="Arial" w:cs="Arial" w:eastAsia="Arial" w:hAnsi="Arial"/>
                <w:sz w:val="18"/>
                <w:szCs w:val="18"/>
                <w:color w:val="auto"/>
              </w:rPr>
              <w:t>Supply</w:t>
            </w:r>
          </w:p>
        </w:tc>
        <w:tc>
          <w:tcPr>
            <w:tcW w:w="3340" w:type="dxa"/>
            <w:vAlign w:val="bottom"/>
          </w:tcPr>
          <w:p>
            <w:pPr>
              <w:jc w:val="right"/>
              <w:ind w:right="892"/>
              <w:spacing w:after="0"/>
              <w:rPr>
                <w:sz w:val="20"/>
                <w:szCs w:val="20"/>
                <w:color w:val="auto"/>
              </w:rPr>
            </w:pPr>
            <w:r>
              <w:rPr>
                <w:rFonts w:ascii="Arial" w:cs="Arial" w:eastAsia="Arial" w:hAnsi="Arial"/>
                <w:sz w:val="18"/>
                <w:szCs w:val="18"/>
                <w:color w:val="auto"/>
              </w:rPr>
              <w:t>73%</w:t>
            </w:r>
          </w:p>
        </w:tc>
        <w:tc>
          <w:tcPr>
            <w:tcW w:w="2260" w:type="dxa"/>
            <w:vAlign w:val="bottom"/>
          </w:tcPr>
          <w:p>
            <w:pPr>
              <w:jc w:val="right"/>
              <w:ind w:right="850"/>
              <w:spacing w:after="0"/>
              <w:rPr>
                <w:sz w:val="20"/>
                <w:szCs w:val="20"/>
                <w:color w:val="auto"/>
              </w:rPr>
            </w:pPr>
            <w:r>
              <w:rPr>
                <w:rFonts w:ascii="Arial" w:cs="Arial" w:eastAsia="Arial" w:hAnsi="Arial"/>
                <w:sz w:val="18"/>
                <w:szCs w:val="18"/>
                <w:color w:val="auto"/>
              </w:rPr>
              <w:t>73%</w:t>
            </w:r>
          </w:p>
        </w:tc>
        <w:tc>
          <w:tcPr>
            <w:tcW w:w="2540" w:type="dxa"/>
            <w:vAlign w:val="bottom"/>
          </w:tcPr>
          <w:p>
            <w:pPr>
              <w:jc w:val="right"/>
              <w:ind w:right="1090"/>
              <w:spacing w:after="0"/>
              <w:rPr>
                <w:sz w:val="20"/>
                <w:szCs w:val="20"/>
                <w:color w:val="auto"/>
              </w:rPr>
            </w:pPr>
            <w:r>
              <w:rPr>
                <w:rFonts w:ascii="Arial" w:cs="Arial" w:eastAsia="Arial" w:hAnsi="Arial"/>
                <w:sz w:val="18"/>
                <w:szCs w:val="18"/>
                <w:color w:val="auto"/>
              </w:rPr>
              <w:t>73%</w:t>
            </w:r>
          </w:p>
        </w:tc>
      </w:tr>
      <w:tr>
        <w:trPr>
          <w:trHeight w:val="230"/>
        </w:trPr>
        <w:tc>
          <w:tcPr>
            <w:tcW w:w="3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Specialty</w:t>
            </w:r>
          </w:p>
        </w:tc>
        <w:tc>
          <w:tcPr>
            <w:tcW w:w="3340" w:type="dxa"/>
            <w:vAlign w:val="bottom"/>
            <w:shd w:val="clear" w:color="auto" w:fill="CFF0FC"/>
          </w:tcPr>
          <w:p>
            <w:pPr>
              <w:jc w:val="right"/>
              <w:ind w:right="932"/>
              <w:spacing w:after="0"/>
              <w:rPr>
                <w:sz w:val="20"/>
                <w:szCs w:val="20"/>
                <w:color w:val="auto"/>
              </w:rPr>
            </w:pPr>
            <w:r>
              <w:rPr>
                <w:rFonts w:ascii="Arial" w:cs="Arial" w:eastAsia="Arial" w:hAnsi="Arial"/>
                <w:sz w:val="15"/>
                <w:szCs w:val="15"/>
                <w:color w:val="auto"/>
              </w:rPr>
              <w:t>48%</w:t>
            </w:r>
          </w:p>
        </w:tc>
        <w:tc>
          <w:tcPr>
            <w:tcW w:w="226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rPr>
              <w:t>86%</w:t>
            </w:r>
          </w:p>
        </w:tc>
        <w:tc>
          <w:tcPr>
            <w:tcW w:w="254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rPr>
              <w:t>43%</w:t>
            </w:r>
          </w:p>
        </w:tc>
      </w:tr>
      <w:tr>
        <w:trPr>
          <w:trHeight w:val="229"/>
        </w:trPr>
        <w:tc>
          <w:tcPr>
            <w:tcW w:w="3100" w:type="dxa"/>
            <w:vAlign w:val="bottom"/>
          </w:tcPr>
          <w:p>
            <w:pPr>
              <w:ind w:left="500"/>
              <w:spacing w:after="0"/>
              <w:rPr>
                <w:sz w:val="20"/>
                <w:szCs w:val="20"/>
                <w:color w:val="auto"/>
              </w:rPr>
            </w:pPr>
            <w:r>
              <w:rPr>
                <w:rFonts w:ascii="Arial" w:cs="Arial" w:eastAsia="Arial" w:hAnsi="Arial"/>
                <w:sz w:val="18"/>
                <w:szCs w:val="18"/>
                <w:color w:val="auto"/>
              </w:rPr>
              <w:t>Liftboats</w:t>
            </w:r>
          </w:p>
        </w:tc>
        <w:tc>
          <w:tcPr>
            <w:tcW w:w="3340" w:type="dxa"/>
            <w:vAlign w:val="bottom"/>
          </w:tcPr>
          <w:p>
            <w:pPr>
              <w:jc w:val="right"/>
              <w:ind w:right="892"/>
              <w:spacing w:after="0"/>
              <w:rPr>
                <w:sz w:val="20"/>
                <w:szCs w:val="20"/>
                <w:color w:val="auto"/>
              </w:rPr>
            </w:pPr>
            <w:r>
              <w:rPr>
                <w:rFonts w:ascii="Arial" w:cs="Arial" w:eastAsia="Arial" w:hAnsi="Arial"/>
                <w:sz w:val="18"/>
                <w:szCs w:val="18"/>
                <w:color w:val="auto"/>
              </w:rPr>
              <w:t>100%</w:t>
            </w:r>
          </w:p>
        </w:tc>
        <w:tc>
          <w:tcPr>
            <w:tcW w:w="2260" w:type="dxa"/>
            <w:vAlign w:val="bottom"/>
          </w:tcPr>
          <w:p>
            <w:pPr>
              <w:jc w:val="right"/>
              <w:ind w:right="850"/>
              <w:spacing w:after="0"/>
              <w:rPr>
                <w:sz w:val="20"/>
                <w:szCs w:val="20"/>
                <w:color w:val="auto"/>
              </w:rPr>
            </w:pPr>
            <w:r>
              <w:rPr>
                <w:rFonts w:ascii="Arial" w:cs="Arial" w:eastAsia="Arial" w:hAnsi="Arial"/>
                <w:sz w:val="18"/>
                <w:szCs w:val="18"/>
                <w:color w:val="auto"/>
              </w:rPr>
              <w:t>93%</w:t>
            </w:r>
          </w:p>
        </w:tc>
        <w:tc>
          <w:tcPr>
            <w:tcW w:w="2540" w:type="dxa"/>
            <w:vAlign w:val="bottom"/>
          </w:tcPr>
          <w:p>
            <w:pPr>
              <w:jc w:val="right"/>
              <w:ind w:right="1090"/>
              <w:spacing w:after="0"/>
              <w:rPr>
                <w:sz w:val="20"/>
                <w:szCs w:val="20"/>
                <w:color w:val="auto"/>
              </w:rPr>
            </w:pPr>
            <w:r>
              <w:rPr>
                <w:rFonts w:ascii="Arial" w:cs="Arial" w:eastAsia="Arial" w:hAnsi="Arial"/>
                <w:sz w:val="18"/>
                <w:szCs w:val="18"/>
                <w:color w:val="auto"/>
              </w:rPr>
              <w:t>100%</w:t>
            </w:r>
          </w:p>
        </w:tc>
      </w:tr>
      <w:tr>
        <w:trPr>
          <w:trHeight w:val="229"/>
        </w:trPr>
        <w:tc>
          <w:tcPr>
            <w:tcW w:w="3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Overall</w:t>
            </w:r>
          </w:p>
        </w:tc>
        <w:tc>
          <w:tcPr>
            <w:tcW w:w="3340" w:type="dxa"/>
            <w:vAlign w:val="bottom"/>
            <w:shd w:val="clear" w:color="auto" w:fill="CFF0FC"/>
          </w:tcPr>
          <w:p>
            <w:pPr>
              <w:jc w:val="right"/>
              <w:ind w:right="892"/>
              <w:spacing w:after="0"/>
              <w:rPr>
                <w:sz w:val="20"/>
                <w:szCs w:val="20"/>
                <w:color w:val="auto"/>
              </w:rPr>
            </w:pPr>
            <w:r>
              <w:rPr>
                <w:rFonts w:ascii="Arial" w:cs="Arial" w:eastAsia="Arial" w:hAnsi="Arial"/>
                <w:sz w:val="18"/>
                <w:szCs w:val="18"/>
                <w:color w:val="auto"/>
              </w:rPr>
              <w:t>77%</w:t>
            </w:r>
          </w:p>
        </w:tc>
        <w:tc>
          <w:tcPr>
            <w:tcW w:w="226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rPr>
              <w:t>77%</w:t>
            </w:r>
          </w:p>
        </w:tc>
        <w:tc>
          <w:tcPr>
            <w:tcW w:w="254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rPr>
              <w:t>79%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Available Days:</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AHTS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3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1320" w:type="dxa"/>
            <w:vAlign w:val="bottom"/>
            <w:shd w:val="clear" w:color="auto" w:fill="CFF0FC"/>
          </w:tcPr>
          <w:p>
            <w:pPr>
              <w:spacing w:after="0"/>
              <w:rPr>
                <w:sz w:val="19"/>
                <w:szCs w:val="19"/>
                <w:color w:val="auto"/>
              </w:rPr>
            </w:pPr>
          </w:p>
        </w:tc>
      </w:tr>
      <w:tr>
        <w:trPr>
          <w:trHeight w:val="229"/>
        </w:trPr>
        <w:tc>
          <w:tcPr>
            <w:tcW w:w="4440" w:type="dxa"/>
            <w:vAlign w:val="bottom"/>
          </w:tcPr>
          <w:p>
            <w:pPr>
              <w:ind w:left="500"/>
              <w:spacing w:after="0"/>
              <w:rPr>
                <w:sz w:val="20"/>
                <w:szCs w:val="20"/>
                <w:color w:val="auto"/>
              </w:rPr>
            </w:pPr>
            <w:r>
              <w:rPr>
                <w:rFonts w:ascii="Arial" w:cs="Arial" w:eastAsia="Arial" w:hAnsi="Arial"/>
                <w:sz w:val="18"/>
                <w:szCs w:val="18"/>
                <w:color w:val="auto"/>
              </w:rPr>
              <w:t>FSV</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3,613</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3,533</w:t>
            </w: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5,088</w:t>
            </w:r>
          </w:p>
        </w:tc>
        <w:tc>
          <w:tcPr>
            <w:tcW w:w="1320" w:type="dxa"/>
            <w:vAlign w:val="bottom"/>
          </w:tcPr>
          <w:p>
            <w:pPr>
              <w:spacing w:after="0"/>
              <w:rPr>
                <w:sz w:val="19"/>
                <w:szCs w:val="19"/>
                <w:color w:val="auto"/>
              </w:rPr>
            </w:pPr>
          </w:p>
        </w:tc>
      </w:tr>
      <w:tr>
        <w:trPr>
          <w:trHeight w:val="230"/>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Supply</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2,095</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13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1320" w:type="dxa"/>
            <w:vAlign w:val="bottom"/>
            <w:shd w:val="clear" w:color="auto" w:fill="CFF0FC"/>
          </w:tcPr>
          <w:p>
            <w:pPr>
              <w:spacing w:after="0"/>
              <w:rPr>
                <w:sz w:val="19"/>
                <w:szCs w:val="19"/>
                <w:color w:val="auto"/>
              </w:rPr>
            </w:pPr>
          </w:p>
        </w:tc>
      </w:tr>
      <w:tr>
        <w:trPr>
          <w:trHeight w:val="229"/>
        </w:trPr>
        <w:tc>
          <w:tcPr>
            <w:tcW w:w="4440" w:type="dxa"/>
            <w:vAlign w:val="bottom"/>
          </w:tcPr>
          <w:p>
            <w:pPr>
              <w:ind w:left="500"/>
              <w:spacing w:after="0"/>
              <w:rPr>
                <w:sz w:val="20"/>
                <w:szCs w:val="20"/>
                <w:color w:val="auto"/>
              </w:rPr>
            </w:pPr>
            <w:r>
              <w:rPr>
                <w:rFonts w:ascii="Arial" w:cs="Arial" w:eastAsia="Arial" w:hAnsi="Arial"/>
                <w:sz w:val="18"/>
                <w:szCs w:val="18"/>
                <w:color w:val="auto"/>
              </w:rPr>
              <w:t>Specialty</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365</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426</w:t>
            </w: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730</w:t>
            </w:r>
          </w:p>
        </w:tc>
        <w:tc>
          <w:tcPr>
            <w:tcW w:w="1320" w:type="dxa"/>
            <w:vAlign w:val="bottom"/>
          </w:tcPr>
          <w:p>
            <w:pPr>
              <w:spacing w:after="0"/>
              <w:rPr>
                <w:sz w:val="19"/>
                <w:szCs w:val="19"/>
                <w:color w:val="auto"/>
              </w:rPr>
            </w:pPr>
          </w:p>
        </w:tc>
      </w:tr>
      <w:tr>
        <w:trPr>
          <w:trHeight w:val="230"/>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Liftboats</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1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13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1320" w:type="dxa"/>
            <w:vAlign w:val="bottom"/>
            <w:shd w:val="clear" w:color="auto" w:fill="CFF0FC"/>
          </w:tcPr>
          <w:p>
            <w:pPr>
              <w:spacing w:after="0"/>
              <w:rPr>
                <w:sz w:val="19"/>
                <w:szCs w:val="19"/>
                <w:color w:val="auto"/>
              </w:rPr>
            </w:pPr>
          </w:p>
        </w:tc>
      </w:tr>
      <w:tr>
        <w:trPr>
          <w:trHeight w:val="263"/>
        </w:trPr>
        <w:tc>
          <w:tcPr>
            <w:tcW w:w="4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Overall</w:t>
            </w: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7,168</w:t>
            </w:r>
          </w:p>
        </w:tc>
        <w:tc>
          <w:tcPr>
            <w:tcW w:w="14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6,932</w:t>
            </w:r>
          </w:p>
        </w:tc>
        <w:tc>
          <w:tcPr>
            <w:tcW w:w="138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8,008</w:t>
            </w:r>
          </w:p>
        </w:tc>
        <w:tc>
          <w:tcPr>
            <w:tcW w:w="1320" w:type="dxa"/>
            <w:vAlign w:val="bottom"/>
            <w:tcBorders>
              <w:bottom w:val="single" w:sz="8" w:color="CFF0FC"/>
            </w:tcBorders>
          </w:tcPr>
          <w:p>
            <w:pPr>
              <w:spacing w:after="0"/>
              <w:rPr>
                <w:sz w:val="22"/>
                <w:szCs w:val="22"/>
                <w:color w:val="auto"/>
              </w:rPr>
            </w:pPr>
          </w:p>
        </w:tc>
      </w:tr>
      <w:tr>
        <w:trPr>
          <w:trHeight w:val="21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Time charter</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53,146</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99%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52,052</w:t>
            </w:r>
          </w:p>
        </w:tc>
        <w:tc>
          <w:tcPr>
            <w:tcW w:w="1380" w:type="dxa"/>
            <w:vAlign w:val="bottom"/>
          </w:tcPr>
          <w:p>
            <w:pPr>
              <w:jc w:val="right"/>
              <w:spacing w:after="0"/>
              <w:rPr>
                <w:sz w:val="20"/>
                <w:szCs w:val="20"/>
                <w:color w:val="auto"/>
              </w:rPr>
            </w:pPr>
            <w:r>
              <w:rPr>
                <w:rFonts w:ascii="Arial" w:cs="Arial" w:eastAsia="Arial" w:hAnsi="Arial"/>
                <w:sz w:val="18"/>
                <w:szCs w:val="18"/>
                <w:color w:val="auto"/>
              </w:rPr>
              <w:t>96%</w:t>
            </w:r>
          </w:p>
        </w:tc>
        <w:tc>
          <w:tcPr>
            <w:tcW w:w="2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54,312</w:t>
            </w:r>
          </w:p>
        </w:tc>
        <w:tc>
          <w:tcPr>
            <w:tcW w:w="13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marine services</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2,157</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53,672</w:t>
            </w:r>
          </w:p>
        </w:tc>
        <w:tc>
          <w:tcPr>
            <w:tcW w:w="144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54,209</w:t>
            </w:r>
          </w:p>
        </w:tc>
        <w:tc>
          <w:tcPr>
            <w:tcW w:w="13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55,981</w:t>
            </w: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Direct operating expenses: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Personnel</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22,191</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18,188</w:t>
            </w: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16,698</w:t>
            </w: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Repairs and maintenance</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6,701</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5,232</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7,182</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Drydocking</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2,639</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759</w:t>
            </w: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600</w:t>
            </w: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Insurance and loss reserves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Fuel, lubes and supplies</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3,459</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2,706</w:t>
            </w: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2,904</w:t>
            </w: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6,158</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6,891</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3,095</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4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43,629</w:t>
            </w:r>
          </w:p>
        </w:tc>
        <w:tc>
          <w:tcPr>
            <w:tcW w:w="144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35,497</w:t>
            </w:r>
          </w:p>
        </w:tc>
        <w:tc>
          <w:tcPr>
            <w:tcW w:w="13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65%</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31,928</w:t>
            </w: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Vessel Profit</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10,043</w:t>
            </w:r>
          </w:p>
        </w:tc>
        <w:tc>
          <w:tcPr>
            <w:tcW w:w="14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18,712</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24,053</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4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2021 compared with 2020</w:t>
      </w:r>
    </w:p>
    <w:p>
      <w:pPr>
        <w:spacing w:after="0" w:line="20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i w:val="1"/>
          <w:iCs w:val="1"/>
          <w:color w:val="auto"/>
        </w:rPr>
        <w:t>Operating Revenues</w:t>
      </w:r>
      <w:r>
        <w:rPr>
          <w:rFonts w:ascii="Arial" w:cs="Arial" w:eastAsia="Arial" w:hAnsi="Arial"/>
          <w:sz w:val="18"/>
          <w:szCs w:val="18"/>
          <w:color w:val="auto"/>
        </w:rPr>
        <w:t>. Charter revenues were $1.1 million higher in 2021 compared with 2020. Charter revenues were $2.3 million higher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repositioning of vessels between geographic regions and $1.4 million due to net fleet additions. Charter revenues were $2.6 million lower due to the cold stacking of one vessel and due to the timing of major repairs and dry dockings. Other marine services were $1.6 million lower primarily due to lower management fee revenues. As of December 31, 2021, the Company had one of 20 owned and leased-in vessels cold-stacked in this region (one Specialty), compared with three of 20 vessels as of December 31, 2020.</w:t>
      </w:r>
    </w:p>
    <w:p>
      <w:pPr>
        <w:spacing w:after="0" w:line="147"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i w:val="1"/>
          <w:iCs w:val="1"/>
          <w:color w:val="auto"/>
        </w:rPr>
        <w:t xml:space="preserve">Direct Operating Expenses. </w:t>
      </w:r>
      <w:r>
        <w:rPr>
          <w:rFonts w:ascii="Arial" w:cs="Arial" w:eastAsia="Arial" w:hAnsi="Arial"/>
          <w:sz w:val="17"/>
          <w:szCs w:val="17"/>
          <w:color w:val="auto"/>
        </w:rPr>
        <w:t>Direct operating expenses were $8.1 million higher in 2021 compared with 2020. Direct operating expenses were</w:t>
      </w:r>
      <w:r>
        <w:rPr>
          <w:rFonts w:ascii="Arial" w:cs="Arial" w:eastAsia="Arial" w:hAnsi="Arial"/>
          <w:sz w:val="17"/>
          <w:szCs w:val="17"/>
          <w:i w:val="1"/>
          <w:iCs w:val="1"/>
          <w:color w:val="auto"/>
        </w:rPr>
        <w:t xml:space="preserve"> </w:t>
      </w:r>
      <w:r>
        <w:rPr>
          <w:rFonts w:ascii="Arial" w:cs="Arial" w:eastAsia="Arial" w:hAnsi="Arial"/>
          <w:sz w:val="17"/>
          <w:szCs w:val="17"/>
          <w:color w:val="auto"/>
        </w:rPr>
        <w:t>$3.9 million higher for the core fleet, primarily due to higher operating costs in Saudi Arabia and the timing of dry dockings and certain repair expenditures, $2.4 million higher due to net fleet additions and $1.8 million higher due to the repositioning of vessels between geographic regions.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6" w:name="page57"/>
    <w:bookmarkEnd w:id="56"/>
    <w:p>
      <w:pPr>
        <w:ind w:left="760"/>
        <w:spacing w:after="0"/>
        <w:rPr>
          <w:sz w:val="20"/>
          <w:szCs w:val="20"/>
          <w:color w:val="auto"/>
        </w:rPr>
      </w:pPr>
      <w:r>
        <w:rPr>
          <w:rFonts w:ascii="Arial" w:cs="Arial" w:eastAsia="Arial" w:hAnsi="Arial"/>
          <w:sz w:val="18"/>
          <w:szCs w:val="18"/>
          <w:b w:val="1"/>
          <w:bCs w:val="1"/>
          <w:u w:val="single" w:color="auto"/>
          <w:color w:val="auto"/>
        </w:rPr>
        <w:t>2020 compared with 2019</w:t>
      </w:r>
    </w:p>
    <w:p>
      <w:pPr>
        <w:spacing w:after="0" w:line="20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i w:val="1"/>
          <w:iCs w:val="1"/>
          <w:color w:val="auto"/>
        </w:rPr>
        <w:t>Operating Revenues</w:t>
      </w:r>
      <w:r>
        <w:rPr>
          <w:rFonts w:ascii="Arial" w:cs="Arial" w:eastAsia="Arial" w:hAnsi="Arial"/>
          <w:sz w:val="18"/>
          <w:szCs w:val="18"/>
          <w:color w:val="auto"/>
        </w:rPr>
        <w:t>. Time charter revenues were $2.2 million lower in 2020 compared with 2019. Time charter revenues were $3.6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lower for the core fleet, primarily due to reduced utilization, and $1.4 million higher due to net fleet additions. As of December 31, 2020, the Company had three of 20 owned and leased-in vessels cold-stacked in this region (two Supply vessels and one FSV).</w:t>
      </w:r>
    </w:p>
    <w:p>
      <w:pPr>
        <w:spacing w:after="0" w:line="143"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Direct operating expenses were $3.6 million higher in 2020 compared with 2019. Direct operating expenses were</w:t>
      </w:r>
      <w:r>
        <w:rPr>
          <w:rFonts w:ascii="Arial" w:cs="Arial" w:eastAsia="Arial" w:hAnsi="Arial"/>
          <w:sz w:val="18"/>
          <w:szCs w:val="18"/>
          <w:i w:val="1"/>
          <w:iCs w:val="1"/>
          <w:color w:val="auto"/>
        </w:rPr>
        <w:t xml:space="preserve"> </w:t>
      </w:r>
      <w:r>
        <w:rPr>
          <w:rFonts w:ascii="Arial" w:cs="Arial" w:eastAsia="Arial" w:hAnsi="Arial"/>
          <w:sz w:val="18"/>
          <w:szCs w:val="18"/>
          <w:color w:val="auto"/>
        </w:rPr>
        <w:t>$2.1 million higher for the core fleet, and $1.5 million higher due to net fleet additions.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 xml:space="preserve">Latin America. </w:t>
      </w:r>
      <w:r>
        <w:rPr>
          <w:rFonts w:ascii="Arial" w:cs="Arial" w:eastAsia="Arial" w:hAnsi="Arial"/>
          <w:sz w:val="16"/>
          <w:szCs w:val="16"/>
          <w:color w:val="auto"/>
        </w:rPr>
        <w:t>For the years ended December 31, the Company’s direct vessel profit in Latin America was as follows (in thousands, except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statistics):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Borders>
              <w:bottom w:val="single" w:sz="8" w:color="CFF0FC"/>
            </w:tcBorders>
          </w:tcPr>
          <w:p>
            <w:pPr>
              <w:spacing w:after="0"/>
              <w:rPr>
                <w:sz w:val="20"/>
                <w:szCs w:val="20"/>
                <w:color w:val="auto"/>
              </w:rPr>
            </w:pPr>
          </w:p>
        </w:tc>
        <w:tc>
          <w:tcPr>
            <w:tcW w:w="9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r>
      <w:tr>
        <w:trPr>
          <w:trHeight w:val="223"/>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Time Charter Statistics: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3460" w:type="dxa"/>
            <w:vAlign w:val="bottom"/>
          </w:tcPr>
          <w:p>
            <w:pPr>
              <w:ind w:left="260"/>
              <w:spacing w:after="0"/>
              <w:rPr>
                <w:sz w:val="20"/>
                <w:szCs w:val="20"/>
                <w:color w:val="auto"/>
              </w:rPr>
            </w:pPr>
            <w:r>
              <w:rPr>
                <w:rFonts w:ascii="Arial" w:cs="Arial" w:eastAsia="Arial" w:hAnsi="Arial"/>
                <w:sz w:val="18"/>
                <w:szCs w:val="18"/>
                <w:color w:val="auto"/>
              </w:rPr>
              <w:t>Rates Per Day Worked:</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FSV</w:t>
            </w:r>
          </w:p>
        </w:tc>
        <w:tc>
          <w:tcPr>
            <w:tcW w:w="12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7,707</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7,435</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7,059</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460" w:type="dxa"/>
            <w:vAlign w:val="bottom"/>
          </w:tcPr>
          <w:p>
            <w:pPr>
              <w:ind w:left="500"/>
              <w:spacing w:after="0"/>
              <w:rPr>
                <w:sz w:val="20"/>
                <w:szCs w:val="20"/>
                <w:color w:val="auto"/>
              </w:rPr>
            </w:pPr>
            <w:r>
              <w:rPr>
                <w:rFonts w:ascii="Arial" w:cs="Arial" w:eastAsia="Arial" w:hAnsi="Arial"/>
                <w:sz w:val="18"/>
                <w:szCs w:val="18"/>
                <w:color w:val="auto"/>
              </w:rPr>
              <w:t>Supply</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15,415</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14,906</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Liftboats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38,241</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15,913</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16,259</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460" w:type="dxa"/>
            <w:vAlign w:val="bottom"/>
          </w:tcPr>
          <w:p>
            <w:pPr>
              <w:ind w:left="500"/>
              <w:spacing w:after="0"/>
              <w:rPr>
                <w:sz w:val="20"/>
                <w:szCs w:val="20"/>
                <w:color w:val="auto"/>
              </w:rPr>
            </w:pPr>
            <w:r>
              <w:rPr>
                <w:rFonts w:ascii="Arial" w:cs="Arial" w:eastAsia="Arial" w:hAnsi="Arial"/>
                <w:sz w:val="18"/>
                <w:szCs w:val="18"/>
                <w:color w:val="auto"/>
              </w:rPr>
              <w:t>Overall</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16,035</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11,989</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9,449</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Utilization:</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3460" w:type="dxa"/>
            <w:vAlign w:val="bottom"/>
          </w:tcPr>
          <w:p>
            <w:pPr>
              <w:ind w:left="500"/>
              <w:spacing w:after="0"/>
              <w:rPr>
                <w:sz w:val="20"/>
                <w:szCs w:val="20"/>
                <w:color w:val="auto"/>
              </w:rPr>
            </w:pPr>
            <w:r>
              <w:rPr>
                <w:rFonts w:ascii="Arial" w:cs="Arial" w:eastAsia="Arial" w:hAnsi="Arial"/>
                <w:sz w:val="18"/>
                <w:szCs w:val="18"/>
                <w:color w:val="auto"/>
              </w:rPr>
              <w:t>FSV</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91%</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92%</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66%</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Supply</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87%</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91%</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3460" w:type="dxa"/>
            <w:vAlign w:val="bottom"/>
          </w:tcPr>
          <w:p>
            <w:pPr>
              <w:ind w:left="500"/>
              <w:spacing w:after="0"/>
              <w:rPr>
                <w:sz w:val="20"/>
                <w:szCs w:val="20"/>
                <w:color w:val="auto"/>
              </w:rPr>
            </w:pPr>
            <w:r>
              <w:rPr>
                <w:rFonts w:ascii="Arial" w:cs="Arial" w:eastAsia="Arial" w:hAnsi="Arial"/>
                <w:sz w:val="18"/>
                <w:szCs w:val="18"/>
                <w:color w:val="auto"/>
              </w:rPr>
              <w:t>Liftboats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73%</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95%</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78%</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Overall</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86%</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92%</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69%</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Available Days: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FSV</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460" w:type="dxa"/>
            <w:vAlign w:val="bottom"/>
          </w:tcPr>
          <w:p>
            <w:pPr>
              <w:ind w:left="500"/>
              <w:spacing w:after="0"/>
              <w:rPr>
                <w:sz w:val="20"/>
                <w:szCs w:val="20"/>
                <w:color w:val="auto"/>
              </w:rPr>
            </w:pPr>
            <w:r>
              <w:rPr>
                <w:rFonts w:ascii="Arial" w:cs="Arial" w:eastAsia="Arial" w:hAnsi="Arial"/>
                <w:sz w:val="18"/>
                <w:szCs w:val="18"/>
                <w:color w:val="auto"/>
              </w:rPr>
              <w:t>Supply</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2,251</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1,108</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Liftboats</w:t>
            </w:r>
          </w:p>
        </w:tc>
        <w:tc>
          <w:tcPr>
            <w:tcW w:w="9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63"/>
        </w:trPr>
        <w:tc>
          <w:tcPr>
            <w:tcW w:w="3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Overall</w:t>
            </w:r>
          </w:p>
        </w:tc>
        <w:tc>
          <w:tcPr>
            <w:tcW w:w="9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w:t>
            </w:r>
          </w:p>
        </w:tc>
        <w:tc>
          <w:tcPr>
            <w:tcW w:w="58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60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58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r>
      <w:tr>
        <w:trPr>
          <w:trHeight w:val="21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460" w:type="dxa"/>
            <w:vAlign w:val="bottom"/>
          </w:tcPr>
          <w:p>
            <w:pPr>
              <w:ind w:left="500"/>
              <w:spacing w:after="0"/>
              <w:rPr>
                <w:sz w:val="20"/>
                <w:szCs w:val="20"/>
                <w:color w:val="auto"/>
              </w:rPr>
            </w:pPr>
            <w:r>
              <w:rPr>
                <w:rFonts w:ascii="Arial" w:cs="Arial" w:eastAsia="Arial" w:hAnsi="Arial"/>
                <w:sz w:val="18"/>
                <w:szCs w:val="18"/>
                <w:color w:val="auto"/>
              </w:rPr>
              <w:t>Time charter</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46,934</w:t>
            </w:r>
          </w:p>
        </w:tc>
        <w:tc>
          <w:tcPr>
            <w:tcW w:w="5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23,806</w:t>
            </w:r>
          </w:p>
        </w:tc>
        <w:tc>
          <w:tcPr>
            <w:tcW w:w="6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11,460</w:t>
            </w:r>
          </w:p>
        </w:tc>
        <w:tc>
          <w:tcPr>
            <w:tcW w:w="5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r>
        <w:trPr>
          <w:trHeight w:val="229"/>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Bareboat charter</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w:t>
            </w:r>
          </w:p>
        </w:tc>
        <w:tc>
          <w:tcPr>
            <w:tcW w:w="5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3,569</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r>
      <w:tr>
        <w:trPr>
          <w:trHeight w:val="230"/>
        </w:trPr>
        <w:tc>
          <w:tcPr>
            <w:tcW w:w="3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marine services</w:t>
            </w:r>
          </w:p>
        </w:tc>
        <w:tc>
          <w:tcPr>
            <w:tcW w:w="9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4,278</w:t>
            </w:r>
          </w:p>
        </w:tc>
        <w:tc>
          <w:tcPr>
            <w:tcW w:w="58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60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58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23"/>
        </w:trPr>
        <w:tc>
          <w:tcPr>
            <w:tcW w:w="3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53,696</w:t>
            </w:r>
          </w:p>
        </w:tc>
        <w:tc>
          <w:tcPr>
            <w:tcW w:w="5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24,890</w:t>
            </w:r>
          </w:p>
        </w:tc>
        <w:tc>
          <w:tcPr>
            <w:tcW w:w="6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16,419</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Direct operating expenses: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Personnel</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14,990</w:t>
            </w:r>
          </w:p>
        </w:tc>
        <w:tc>
          <w:tcPr>
            <w:tcW w:w="5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6,698</w:t>
            </w:r>
          </w:p>
        </w:tc>
        <w:tc>
          <w:tcPr>
            <w:tcW w:w="6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4,459</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r>
        <w:trPr>
          <w:trHeight w:val="230"/>
        </w:trPr>
        <w:tc>
          <w:tcPr>
            <w:tcW w:w="3460" w:type="dxa"/>
            <w:vAlign w:val="bottom"/>
          </w:tcPr>
          <w:p>
            <w:pPr>
              <w:ind w:left="500"/>
              <w:spacing w:after="0"/>
              <w:rPr>
                <w:sz w:val="20"/>
                <w:szCs w:val="20"/>
                <w:color w:val="auto"/>
              </w:rPr>
            </w:pPr>
            <w:r>
              <w:rPr>
                <w:rFonts w:ascii="Arial" w:cs="Arial" w:eastAsia="Arial" w:hAnsi="Arial"/>
                <w:sz w:val="18"/>
                <w:szCs w:val="18"/>
                <w:color w:val="auto"/>
              </w:rPr>
              <w:t>Repairs and maintenance</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7,250</w:t>
            </w:r>
          </w:p>
        </w:tc>
        <w:tc>
          <w:tcPr>
            <w:tcW w:w="5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2,131</w:t>
            </w:r>
          </w:p>
        </w:tc>
        <w:tc>
          <w:tcPr>
            <w:tcW w:w="6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1,348</w:t>
            </w:r>
          </w:p>
        </w:tc>
        <w:tc>
          <w:tcPr>
            <w:tcW w:w="5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30"/>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Drydocking</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5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6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r>
        <w:trPr>
          <w:trHeight w:val="230"/>
        </w:trPr>
        <w:tc>
          <w:tcPr>
            <w:tcW w:w="3460" w:type="dxa"/>
            <w:vAlign w:val="bottom"/>
          </w:tcPr>
          <w:p>
            <w:pPr>
              <w:ind w:left="500"/>
              <w:spacing w:after="0"/>
              <w:rPr>
                <w:sz w:val="20"/>
                <w:szCs w:val="20"/>
                <w:color w:val="auto"/>
              </w:rPr>
            </w:pPr>
            <w:r>
              <w:rPr>
                <w:rFonts w:ascii="Arial" w:cs="Arial" w:eastAsia="Arial" w:hAnsi="Arial"/>
                <w:sz w:val="18"/>
                <w:szCs w:val="18"/>
                <w:color w:val="auto"/>
              </w:rPr>
              <w:t>Insurance and loss reserves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2,201</w:t>
            </w:r>
          </w:p>
        </w:tc>
        <w:tc>
          <w:tcPr>
            <w:tcW w:w="5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462</w:t>
            </w:r>
          </w:p>
        </w:tc>
        <w:tc>
          <w:tcPr>
            <w:tcW w:w="6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29"/>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Fuel, lubes and supplies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3,261</w:t>
            </w:r>
          </w:p>
        </w:tc>
        <w:tc>
          <w:tcPr>
            <w:tcW w:w="5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6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r>
      <w:tr>
        <w:trPr>
          <w:trHeight w:val="230"/>
        </w:trPr>
        <w:tc>
          <w:tcPr>
            <w:tcW w:w="3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3,701</w:t>
            </w:r>
          </w:p>
        </w:tc>
        <w:tc>
          <w:tcPr>
            <w:tcW w:w="58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60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58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23"/>
        </w:trPr>
        <w:tc>
          <w:tcPr>
            <w:tcW w:w="3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31,870</w:t>
            </w:r>
          </w:p>
        </w:tc>
        <w:tc>
          <w:tcPr>
            <w:tcW w:w="5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11,979</w:t>
            </w:r>
          </w:p>
        </w:tc>
        <w:tc>
          <w:tcPr>
            <w:tcW w:w="6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w:t>
            </w: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8,517</w:t>
            </w:r>
          </w:p>
        </w:tc>
        <w:tc>
          <w:tcPr>
            <w:tcW w:w="5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Direct Vessel Profit</w:t>
            </w:r>
          </w:p>
        </w:tc>
        <w:tc>
          <w:tcPr>
            <w:tcW w:w="9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21,826</w:t>
            </w:r>
          </w:p>
        </w:tc>
        <w:tc>
          <w:tcPr>
            <w:tcW w:w="5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12,911</w:t>
            </w:r>
          </w:p>
        </w:tc>
        <w:tc>
          <w:tcPr>
            <w:tcW w:w="6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7,902</w:t>
            </w:r>
          </w:p>
        </w:tc>
        <w:tc>
          <w:tcPr>
            <w:tcW w:w="5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0"/>
        </w:trPr>
        <w:tc>
          <w:tcPr>
            <w:tcW w:w="3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2021 compared with 2020</w:t>
      </w:r>
    </w:p>
    <w:p>
      <w:pPr>
        <w:spacing w:after="0" w:line="189"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i w:val="1"/>
          <w:iCs w:val="1"/>
          <w:color w:val="auto"/>
        </w:rPr>
        <w:t xml:space="preserve">Operating Revenues. </w:t>
      </w:r>
      <w:r>
        <w:rPr>
          <w:rFonts w:ascii="Arial" w:cs="Arial" w:eastAsia="Arial" w:hAnsi="Arial"/>
          <w:sz w:val="16"/>
          <w:szCs w:val="16"/>
          <w:color w:val="auto"/>
        </w:rPr>
        <w:t>Charter revenues were $25.6 million higher in 2021 compared with 2020. Charter revenues were $16.5 million higher due</w:t>
      </w:r>
      <w:r>
        <w:rPr>
          <w:rFonts w:ascii="Arial" w:cs="Arial" w:eastAsia="Arial" w:hAnsi="Arial"/>
          <w:sz w:val="16"/>
          <w:szCs w:val="16"/>
          <w:i w:val="1"/>
          <w:iCs w:val="1"/>
          <w:color w:val="auto"/>
        </w:rPr>
        <w:t xml:space="preserve"> </w:t>
      </w:r>
      <w:r>
        <w:rPr>
          <w:rFonts w:ascii="Arial" w:cs="Arial" w:eastAsia="Arial" w:hAnsi="Arial"/>
          <w:sz w:val="16"/>
          <w:szCs w:val="16"/>
          <w:color w:val="auto"/>
        </w:rPr>
        <w:t>to net fleet additions as a result of the consolidation of SEACOR Offshore Delta (f/k/a SEACOSCO) after the Company acquired its partner’s interest in the company (see “Note 3. Business Acquisitions”) and $9.1 million higher due to the repositioning of vessels between geographic regions. Other marine services were $3.2 million higher due to higher reimbursable meals, higher management fees, and higher mobilization revenues of $1.3 million, $1.3 million and $0.6 million, respectively. As of December 31, 2021, the Company had no owned or leased-in vessels cold-stacked in this region.</w:t>
      </w:r>
    </w:p>
    <w:p>
      <w:pPr>
        <w:spacing w:after="0" w:line="134"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Direct operating expenses were $19.9 million higher in 2021 compared with 2020, primarily due to net fleet</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additions and the repositioning of vessels between geographic regions.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7" w:name="page58"/>
    <w:bookmarkEnd w:id="57"/>
    <w:p>
      <w:pPr>
        <w:ind w:left="760"/>
        <w:spacing w:after="0"/>
        <w:rPr>
          <w:sz w:val="20"/>
          <w:szCs w:val="20"/>
          <w:color w:val="auto"/>
        </w:rPr>
      </w:pPr>
      <w:r>
        <w:rPr>
          <w:rFonts w:ascii="Arial" w:cs="Arial" w:eastAsia="Arial" w:hAnsi="Arial"/>
          <w:sz w:val="18"/>
          <w:szCs w:val="18"/>
          <w:b w:val="1"/>
          <w:bCs w:val="1"/>
          <w:u w:val="single" w:color="auto"/>
          <w:color w:val="auto"/>
        </w:rPr>
        <w:t>2020 compared with 2019</w:t>
      </w:r>
    </w:p>
    <w:p>
      <w:pPr>
        <w:spacing w:after="0" w:line="18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Total operating revenues were $8.5 million higher in 2020 compared with 2019. On an overall basis, time charter and</w:t>
      </w:r>
      <w:r>
        <w:rPr>
          <w:rFonts w:ascii="Arial" w:cs="Arial" w:eastAsia="Arial" w:hAnsi="Arial"/>
          <w:sz w:val="18"/>
          <w:szCs w:val="18"/>
          <w:i w:val="1"/>
          <w:iCs w:val="1"/>
          <w:color w:val="auto"/>
        </w:rPr>
        <w:t xml:space="preserve"> </w:t>
      </w:r>
      <w:r>
        <w:rPr>
          <w:rFonts w:ascii="Arial" w:cs="Arial" w:eastAsia="Arial" w:hAnsi="Arial"/>
          <w:sz w:val="18"/>
          <w:szCs w:val="18"/>
          <w:color w:val="auto"/>
        </w:rPr>
        <w:t>bareboat revenues were $14.7 million higher due to fleet additions, $3.6 million lower due to the sale of two vessels on bareboat charter, and $2.6 million lower due to the repositioning of vessels between geographic regions. As of December 31, 2020, the Company had no owned or leased-in vessels cold-stacked in this region.</w:t>
      </w:r>
    </w:p>
    <w:p>
      <w:pPr>
        <w:spacing w:after="0" w:line="160"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Direct operating expenses were $3.5 million higher in 2020 compared with 2019. On an overall basis, direct</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were $6.9 million higher due to net fleet additions and $3.4 million lower due to the repositioning of vessels between geographic regions.</w:t>
      </w:r>
    </w:p>
    <w:p>
      <w:pPr>
        <w:spacing w:after="0" w:line="18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b w:val="1"/>
          <w:bCs w:val="1"/>
          <w:i w:val="1"/>
          <w:iCs w:val="1"/>
          <w:color w:val="auto"/>
        </w:rPr>
        <w:t xml:space="preserve">Lease Expense. </w:t>
      </w:r>
      <w:r>
        <w:rPr>
          <w:rFonts w:ascii="Arial" w:cs="Arial" w:eastAsia="Arial" w:hAnsi="Arial"/>
          <w:sz w:val="18"/>
          <w:szCs w:val="18"/>
          <w:color w:val="auto"/>
        </w:rPr>
        <w:t>Leased-in equipment expenses were $1.4 million lower compared with 2020, primarily due to the impairment of two leased-in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vessels during the first quarter of 2020 and the amendment of the lease of one leased-in vessel during the third quarter of 2020 to lower rates</w:t>
      </w:r>
      <w:r>
        <w:rPr>
          <w:rFonts w:ascii="Arial" w:cs="Arial" w:eastAsia="Arial" w:hAnsi="Arial"/>
          <w:sz w:val="21"/>
          <w:szCs w:val="21"/>
          <w:color w:val="auto"/>
        </w:rPr>
        <w:t>.</w:t>
      </w:r>
      <w:r>
        <w:rPr>
          <w:rFonts w:ascii="Arial" w:cs="Arial" w:eastAsia="Arial" w:hAnsi="Arial"/>
          <w:sz w:val="18"/>
          <w:szCs w:val="18"/>
          <w:color w:val="auto"/>
        </w:rPr>
        <w:t xml:space="preserve"> Leased-in expenses were $8.3 million lower for 2020 compared with 2019 primarily due to the impairment of three leased-in vessels and one leased-in vessel having been returned to the lessor in the first quarter of 2020.</w:t>
      </w:r>
    </w:p>
    <w:p>
      <w:pPr>
        <w:spacing w:after="0" w:line="13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Administrative and general. </w:t>
      </w:r>
      <w:r>
        <w:rPr>
          <w:rFonts w:ascii="Arial" w:cs="Arial" w:eastAsia="Arial" w:hAnsi="Arial"/>
          <w:sz w:val="18"/>
          <w:szCs w:val="18"/>
          <w:color w:val="auto"/>
        </w:rPr>
        <w:t>Administrative and general expenses were $2.4 million lower in 2021 compared with 2020, primarily due</w:t>
      </w:r>
      <w:r>
        <w:rPr>
          <w:rFonts w:ascii="Arial" w:cs="Arial" w:eastAsia="Arial" w:hAnsi="Arial"/>
          <w:sz w:val="18"/>
          <w:szCs w:val="18"/>
          <w:b w:val="1"/>
          <w:bCs w:val="1"/>
          <w:i w:val="1"/>
          <w:iCs w:val="1"/>
          <w:color w:val="auto"/>
        </w:rPr>
        <w:t xml:space="preserve"> </w:t>
      </w:r>
      <w:r>
        <w:rPr>
          <w:rFonts w:ascii="Arial" w:cs="Arial" w:eastAsia="Arial" w:hAnsi="Arial"/>
          <w:sz w:val="21"/>
          <w:szCs w:val="21"/>
          <w:color w:val="auto"/>
        </w:rPr>
        <w:t>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transaction fee paid in 2020 to SEACOR Holdings under the Tax Refund and Indemnification Agreement entered into by the Company and SEACOR Holdings on June 26, 2020 (the “Tax Refund Agreement”).</w:t>
      </w:r>
    </w:p>
    <w:p>
      <w:pPr>
        <w:spacing w:after="0" w:line="139"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Administrative and general expenses were $0.3 million higher in 2020 compared with 2019 primarily due to a transaction fee paid to SEACOR Holdings under the Tax Refund Agreement, offset by decreases in employee and director compensation expenses.</w:t>
      </w:r>
    </w:p>
    <w:p>
      <w:pPr>
        <w:spacing w:after="0" w:line="14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were $0.2 million higher in 2021 compared with 2020 primarily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fleet change. Depreciation and amortization expenses were flat when comparing 2020 with 2019.</w:t>
      </w:r>
    </w:p>
    <w:p>
      <w:pPr>
        <w:spacing w:after="0" w:line="130"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b w:val="1"/>
          <w:bCs w:val="1"/>
          <w:i w:val="1"/>
          <w:iCs w:val="1"/>
          <w:color w:val="auto"/>
        </w:rPr>
        <w:t xml:space="preserve">Gains (Losses) on Asset Dispositions and Impairments, Net. </w:t>
      </w:r>
      <w:r>
        <w:rPr>
          <w:rFonts w:ascii="Arial" w:cs="Arial" w:eastAsia="Arial" w:hAnsi="Arial"/>
          <w:sz w:val="16"/>
          <w:szCs w:val="16"/>
          <w:color w:val="auto"/>
        </w:rPr>
        <w:t>During 2021, the Company recorded no impairment charges associated with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fleet. The Company sold one PSV vessel, three FSVs and set off debt payments with hull and machinery insurance proceeds received in respect of the SEACOR Power of $25.0 million, for a total of $30.1 million in cash, resulting in gains of $20.9 million all of which was recognized currently. The insurance proceeds from the SEACOR Power were primarily used to repay associated debt under the FGUSA Credit Facility as defined and described in “Note 8. Long-Term Debt” in the audited consolidated financial statements included elsewhere in this Annual Report on Form 10-K.</w:t>
      </w:r>
    </w:p>
    <w:p>
      <w:pPr>
        <w:spacing w:after="0" w:line="121"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During 2020, the Company recorded impairment charges of $13.5 million associated with its liftboat fleet (five owned and two leased-in vessels), one specialty vessel and recognized net losses of $5.3 million ($4.8 million loss due to the disposal of one vessel under construction, and $0.5 million loss due to the redelivery of one leased-in AHTS vessel and one leased-in liftboat). The Company sold two AHTS vessels and one specialty vessel previously removed from service, four FSVs, one specialty, one vessel under construction and other equipment for $21.6 million and gains of $1.2 million.</w:t>
      </w:r>
    </w:p>
    <w:p>
      <w:pPr>
        <w:spacing w:after="0" w:line="13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During 2019, the Company recorded impairment charges of $12.0 million associated with its AHTS fleet (four owned and one leased vessel), four FSVs and one leased-in supply vessel. The Company sold one AHTS vessel, seven FSVs, five supply vessels and three liftboats. In addition, the Company sold five AHTS vessels and one specialty vessel previously retired and removed from service and other equipment for aggregate net proceeds of $55.3 million and gains of $5.5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the years ended December 31, the Company’s other income (expense) was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Borders>
              <w:bottom w:val="single" w:sz="8" w:color="CFF0FC"/>
            </w:tcBorders>
          </w:tcPr>
          <w:p>
            <w:pPr>
              <w:spacing w:after="0"/>
              <w:rPr>
                <w:sz w:val="20"/>
                <w:szCs w:val="20"/>
                <w:color w:val="auto"/>
              </w:rPr>
            </w:pPr>
          </w:p>
        </w:tc>
        <w:tc>
          <w:tcPr>
            <w:tcW w:w="26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Interest income</w:t>
            </w:r>
          </w:p>
        </w:tc>
        <w:tc>
          <w:tcPr>
            <w:tcW w:w="29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1,302</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1,273</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(28,111)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(30,691)</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(28,956)</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SEACOR Holdings guarantee fees</w:t>
            </w:r>
          </w:p>
        </w:tc>
        <w:tc>
          <w:tcPr>
            <w:tcW w:w="2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Gain on debt extinguishment</w:t>
            </w:r>
          </w:p>
        </w:tc>
        <w:tc>
          <w:tcPr>
            <w:tcW w:w="2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61,994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Derivative gains, net</w:t>
            </w:r>
          </w:p>
        </w:tc>
        <w:tc>
          <w:tcPr>
            <w:tcW w:w="2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4,310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losses, net</w:t>
            </w:r>
          </w:p>
        </w:tc>
        <w:tc>
          <w:tcPr>
            <w:tcW w:w="2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(1,235)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(1,294)</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Other, net</w:t>
            </w:r>
          </w:p>
        </w:tc>
        <w:tc>
          <w:tcPr>
            <w:tcW w:w="2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020" w:type="dxa"/>
            <w:vAlign w:val="bottom"/>
            <w:tcBorders>
              <w:top w:val="single" w:sz="8" w:color="CFF0FC"/>
              <w:bottom w:val="single" w:sz="8" w:color="CFF0FC"/>
            </w:tcBorders>
            <w:shd w:val="clear" w:color="auto" w:fill="CFF0FC"/>
          </w:tcPr>
          <w:p>
            <w:pPr>
              <w:spacing w:after="0"/>
              <w:rPr>
                <w:sz w:val="19"/>
                <w:szCs w:val="19"/>
                <w:color w:val="auto"/>
              </w:rPr>
            </w:pPr>
          </w:p>
        </w:tc>
        <w:tc>
          <w:tcPr>
            <w:tcW w:w="26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43,775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(26,468)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640" w:type="dxa"/>
            <w:vAlign w:val="bottom"/>
            <w:vMerge w:val="restart"/>
          </w:tcPr>
          <w:p>
            <w:pPr>
              <w:jc w:val="right"/>
              <w:ind w:right="850"/>
              <w:spacing w:after="0"/>
              <w:rPr>
                <w:sz w:val="20"/>
                <w:szCs w:val="20"/>
                <w:color w:val="auto"/>
              </w:rPr>
            </w:pPr>
            <w:r>
              <w:rPr>
                <w:rFonts w:ascii="Arial" w:cs="Arial" w:eastAsia="Arial" w:hAnsi="Arial"/>
                <w:sz w:val="18"/>
                <w:szCs w:val="18"/>
                <w:color w:val="auto"/>
              </w:rPr>
              <w:t>56</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0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in 2021 increased primarily due to a tax refund on a portion of interest paid. Interest income in 2020 was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decreases in interest income from the Company’s construction reserve funds deposits which were substantially lower offset by increased income due to interest earned on loans and advances to Joint Ventures.</w:t>
      </w:r>
    </w:p>
    <w:p>
      <w:pPr>
        <w:spacing w:after="0" w:line="15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lower in 2021 compared to 2020 primarily due to the repayment of the FGUSA Credit Facility in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and lower interest rates on floating rate debt. This decrease was offset by increases in interest associated with the SEACOR Alpine Shipyard Financing following delivery of one PSV in 2020 and increases in interest associated with the Tarahumara Shipyard Financing following delivery of one PSV in 2021, as described in “Note 8. Long-Term Debt” in the audited consolidated financial statements included elsewhere in this Annual Report on Form 10-K. Interest expense was higher in 2020 compared to 2019 primarily due to the debt acquired in connection with the Company’s acquisition 100% of SEACOR Offshore Delta (f/k/a SEACOSCO), and partially offset due to lower interest rates on floating rate debt and payments of principal on outstanding debt.</w:t>
      </w:r>
    </w:p>
    <w:p>
      <w:pPr>
        <w:spacing w:after="0" w:line="154"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b w:val="1"/>
          <w:bCs w:val="1"/>
          <w:i w:val="1"/>
          <w:iCs w:val="1"/>
          <w:color w:val="auto"/>
        </w:rPr>
        <w:t xml:space="preserve">SEACOR Holdings guarantee fees. </w:t>
      </w:r>
      <w:r>
        <w:rPr>
          <w:rFonts w:ascii="Arial" w:cs="Arial" w:eastAsia="Arial" w:hAnsi="Arial"/>
          <w:sz w:val="18"/>
          <w:szCs w:val="18"/>
          <w:color w:val="auto"/>
        </w:rPr>
        <w:t>As of December 31, 2021, SEACOR Holdings had no outstanding guarantees in respect of certain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obligations. See “Contractual Obligations and Commercial Commitments.”</w:t>
      </w:r>
    </w:p>
    <w:p>
      <w:pPr>
        <w:spacing w:after="0" w:line="13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b w:val="1"/>
          <w:bCs w:val="1"/>
          <w:i w:val="1"/>
          <w:iCs w:val="1"/>
          <w:color w:val="auto"/>
        </w:rPr>
        <w:t xml:space="preserve">Gain on debt extinguishment. </w:t>
      </w:r>
      <w:r>
        <w:rPr>
          <w:rFonts w:ascii="Arial" w:cs="Arial" w:eastAsia="Arial" w:hAnsi="Arial"/>
          <w:sz w:val="18"/>
          <w:szCs w:val="18"/>
          <w:color w:val="auto"/>
        </w:rPr>
        <w:t>On June 10, 2021, SEACOR Marine, Falcon Global USA LLC, an indirect subsidiary of SEACOR Marine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(“FGUSA”), and certain subsidiaries of FGUSA, entered into the Conditional Payoff Agreement in respect of the (i) FGUSA Credit Facility and (ii) FGUSA Obligation Guaranty. (See “Note 8. Long-Term Debt” in the audited consolidated financial statements included elsewhere in this Annual Report on Form 10-K for additional information).</w:t>
      </w:r>
    </w:p>
    <w:p>
      <w:pPr>
        <w:spacing w:after="0" w:line="16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b w:val="1"/>
          <w:bCs w:val="1"/>
          <w:i w:val="1"/>
          <w:iCs w:val="1"/>
          <w:color w:val="auto"/>
        </w:rPr>
        <w:t xml:space="preserve">Derivative gains, net. </w:t>
      </w:r>
      <w:r>
        <w:rPr>
          <w:rFonts w:ascii="Arial" w:cs="Arial" w:eastAsia="Arial" w:hAnsi="Arial"/>
          <w:sz w:val="18"/>
          <w:szCs w:val="18"/>
          <w:color w:val="auto"/>
        </w:rPr>
        <w:t>Net derivative gains in 2021 compared to 2020 was lower due to the fair value of the conversion option liability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Convertible Senior Notes decreasing from $5.2 million to zero in 2020 offset by gains realized on foreign currency forwards in 2021. For all periods, derivative gains were primarily due to reductions in the fair value of the Company’s conversion option liability embedded in the Company’s Convertible Senior Notes. The reductions in the conversion option liability were primarily the result of declines in the Company’s share price and estimated credit spread.</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 xml:space="preserve">Foreign currency losses, net. </w:t>
      </w:r>
      <w:r>
        <w:rPr>
          <w:rFonts w:ascii="Arial" w:cs="Arial" w:eastAsia="Arial" w:hAnsi="Arial"/>
          <w:sz w:val="18"/>
          <w:szCs w:val="18"/>
          <w:color w:val="auto"/>
        </w:rPr>
        <w:t>Foreign currency losses in 2021 were lower primarily due to various changes in foreign currencies.</w:t>
      </w:r>
    </w:p>
    <w:p>
      <w:pPr>
        <w:spacing w:after="0" w:line="18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Gain from return of investments in 50% or less owned companies and other, net. </w:t>
      </w:r>
      <w:r>
        <w:rPr>
          <w:rFonts w:ascii="Arial" w:cs="Arial" w:eastAsia="Arial" w:hAnsi="Arial"/>
          <w:sz w:val="18"/>
          <w:szCs w:val="18"/>
          <w:color w:val="auto"/>
        </w:rPr>
        <w:t>Other gains during 2021 were primarily due to a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$12.0 million from the Company’s MEXMAR Offshore joint venture of which $9.4 million was in excess of the Company’s investment in the joint venture.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w:t>
      </w:r>
    </w:p>
    <w:p>
      <w:pPr>
        <w:spacing w:after="0" w:line="189"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For the year ending December 31, 2021, the Company’s effective income tax rate of 173.4% was primarily due to foreign taxes paid that are not creditable against U.S. income taxes and foreign subsidiaries with current losses for which there is no current or future federal income tax benefit available.</w:t>
      </w:r>
    </w:p>
    <w:p>
      <w:pPr>
        <w:spacing w:after="0" w:line="8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For the year ending December 31, 2020, the Company’s effective income tax rate of 23.4% was primarily due to income tax benefits recognized as a result of the CARES Act signed into law in March 2020, as well as taxes provided on income attributable to noncontrolling interests, foreign sourced income not subject to U.S. income taxes, foreign taxes not creditable against U.S. income taxes, and the adjustment for the acquisition of the remaining minority membership interest in Falcon Global Holdings.</w:t>
      </w:r>
    </w:p>
    <w:p>
      <w:pPr>
        <w:spacing w:after="0" w:line="16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For the year ended December 31, 2019 the Company’s effective income tax rate of 9.4% was lower than the Company’s statutory tax rate of 21% primarily due to foreign subsidiaries with current losses for which there is no current or future federal income tax benefit.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Equity in (Losses) Earnings of 50% or Less Owned Companies, Net of Tax</w:t>
      </w:r>
    </w:p>
    <w:p>
      <w:pPr>
        <w:spacing w:after="0" w:line="20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For the years ended December 31, the Company’s equity in earnings (losses) from continuing operations of 50% or less owned companies, net of tax, was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MexMar</w:t>
            </w:r>
          </w:p>
        </w:tc>
        <w:tc>
          <w:tcPr>
            <w:tcW w:w="16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(4,056)</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MEXMAR Offshore</w:t>
            </w: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(4,901)</w:t>
            </w: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Offshore Vessel Holdings</w:t>
            </w: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4"/>
              </w:rPr>
              <w:t>(4,053)</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(848)</w:t>
            </w: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OSV Partners</w:t>
            </w: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(1,343)</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(1,575)</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(1,497)</w:t>
            </w: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SEACOR Grant DIS</w:t>
            </w: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FF0FC"/>
          </w:tcPr>
          <w:p>
            <w:pPr>
              <w:spacing w:after="0"/>
              <w:rPr>
                <w:sz w:val="19"/>
                <w:szCs w:val="19"/>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Dynamic Offshore Drilling</w:t>
            </w: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(2,263)</w:t>
            </w: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SEACOR Offshore Delta (f/k/a SEACOSCO)</w:t>
            </w: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4"/>
              </w:rPr>
              <w:t>(1,703)</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(7,118)</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SEACOR Arabia</w:t>
            </w: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3,373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9"/>
                <w:szCs w:val="19"/>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(149)</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(360)</w:t>
            </w:r>
          </w:p>
        </w:tc>
      </w:tr>
      <w:tr>
        <w:trPr>
          <w:trHeight w:val="223"/>
        </w:trPr>
        <w:tc>
          <w:tcPr>
            <w:tcW w:w="49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(8,163)</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(14,459)</w:t>
            </w:r>
          </w:p>
        </w:tc>
        <w:tc>
          <w:tcPr>
            <w:tcW w:w="10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2021 compared with 2020</w:t>
      </w:r>
    </w:p>
    <w:p>
      <w:pPr>
        <w:spacing w:after="0" w:line="18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MexMar. </w:t>
      </w:r>
      <w:r>
        <w:rPr>
          <w:rFonts w:ascii="Arial" w:cs="Arial" w:eastAsia="Arial" w:hAnsi="Arial"/>
          <w:sz w:val="18"/>
          <w:szCs w:val="18"/>
          <w:color w:val="auto"/>
        </w:rPr>
        <w:t>Equity earnings from MexMar was higher by $14.5 million in 2021 as compared to 2020 primarily due to a provision for doubtful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recorded in 2020 related to a default of a loan provided by MexMar to UP Offshore (Bahamas) Ltd (“UP Offshore”), a wholly owned subsidiary of MEXMAR Offshore (which is a separate joint venture of the Company).</w:t>
      </w:r>
    </w:p>
    <w:p>
      <w:pPr>
        <w:spacing w:after="0" w:line="184"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b w:val="1"/>
          <w:bCs w:val="1"/>
          <w:i w:val="1"/>
          <w:iCs w:val="1"/>
          <w:color w:val="auto"/>
        </w:rPr>
        <w:t xml:space="preserve">MEXMAR Offshore. </w:t>
      </w:r>
      <w:r>
        <w:rPr>
          <w:rFonts w:ascii="Arial" w:cs="Arial" w:eastAsia="Arial" w:hAnsi="Arial"/>
          <w:sz w:val="16"/>
          <w:szCs w:val="16"/>
          <w:color w:val="auto"/>
        </w:rPr>
        <w:t>On June 1, 2021, MEXMAR Offshore International LLC (“MEXMAR Offshore”), a joint venture 49% owned by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indirect wholly-owned subsidiary of SEACOR Marine, and 51% owned by a subsidiary of Proyectos Globales de Energía y Servicios CME, S.A. de C.V. (“CME”), UP Offshore (Bahamas) Ltd. (“UP Offshore”), a provider of offshore support vessel services to the energy industry in Brazil and a wholly owned subsidiary of MEXMAR Offshore, and certain of subsidiaries of UP Offshore, completed the sale of eight vessels and certain Brazilian entities to Oceanpact Servicos Maritimos S.A. and its subsidiary, OceanPact Netherlands B.V., for a total purchase price of $30.2 million (the “UP Offshore Sale Transaction”). The UP Offshore Sale Transaction resulted in an equity earnings gain from 50% or less owned companies of $2.6 million.</w:t>
      </w:r>
    </w:p>
    <w:p>
      <w:pPr>
        <w:spacing w:after="0" w:line="164"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On July 23, 2021, the Company received a distribution from its MEXMAR Offshore joint venture in the amount of $12.0 million of which $9.4 million was in excess of the Company’s investment balance of $2.6 million. The excess was recorded by the Company as a gain from return of investments in 50% or less owned companies. After giving effect to the UP Offshore Sale Transaction, MEXMAR Offshore, indirectly through certain subsidiaries of UP Offshore, retained ownership of three vessels. As part of the winddown of the MEXMAR Offshore joint venture, ownership of two of these vessels was transferred from subsidiaries of UP Offshore to OVH on October 26, 2021, and the remaining vessel was transferred from a subsidiary of UP Offshore to OVH on November 2, 2021. Upon completion of these transactions, MEXMAR Offshore no longer held income producing assets and as a result, on December 9, 2021, the Company transferred its 49% interest in MEXMAR Offshore to a subsidiary of CME for nominal consideration and a transaction fee of $0.2 million. As of December 31, 2021, the Company does not have any ownership interest in MEXMAR Offshore.</w:t>
      </w:r>
    </w:p>
    <w:p>
      <w:pPr>
        <w:spacing w:after="0" w:line="12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Offshore Vessel Holdings (“OVH”). </w:t>
      </w:r>
      <w:r>
        <w:rPr>
          <w:rFonts w:ascii="Arial" w:cs="Arial" w:eastAsia="Arial" w:hAnsi="Arial"/>
          <w:sz w:val="18"/>
          <w:szCs w:val="18"/>
          <w:color w:val="auto"/>
        </w:rPr>
        <w:t>Equity earnings increased by $4.9 million due to dividends received from OVH and lower maintenance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repair costs and depreciation and amortization expenses. As a result of equity losses in 2020, the Company had reduced its investment balance in OVH to zero in 2020.</w:t>
      </w:r>
    </w:p>
    <w:p>
      <w:pPr>
        <w:spacing w:after="0" w:line="157"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18"/>
          <w:szCs w:val="18"/>
          <w:b w:val="1"/>
          <w:bCs w:val="1"/>
          <w:i w:val="1"/>
          <w:iCs w:val="1"/>
          <w:color w:val="auto"/>
        </w:rPr>
        <w:t xml:space="preserve">OSV Partners. </w:t>
      </w:r>
      <w:r>
        <w:rPr>
          <w:rFonts w:ascii="Arial" w:cs="Arial" w:eastAsia="Arial" w:hAnsi="Arial"/>
          <w:sz w:val="18"/>
          <w:szCs w:val="18"/>
          <w:color w:val="auto"/>
        </w:rPr>
        <w:t>Equity losses from SEACOR OSV Partners GP LLC (“OSV Partners GP”) and SEACOR OSV Partners I LP LLC (“OSV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I, and collectively with OSV Partners GP, “OSV Partners”) decreased by $0.2 million, primarily due to higher utilization and an increase in the overall day rate. On December 31, 2021, OSV Partners I merged with and into SEACOR Offshore OSV with SEACOR Offshore OSV surviving the merger (the “Merger”). As a result of the Merger, the five 201’, 1,900 tons deadweight capacity, PSVs owned by OSV Partners I are now 100% owned by the Company.</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 xml:space="preserve">SEACOR Arabia. </w:t>
      </w:r>
      <w:r>
        <w:rPr>
          <w:rFonts w:ascii="Arial" w:cs="Arial" w:eastAsia="Arial" w:hAnsi="Arial"/>
          <w:sz w:val="16"/>
          <w:szCs w:val="16"/>
          <w:color w:val="auto"/>
        </w:rPr>
        <w:t>The decrease of $2.3 million in equity gains from SEACOR Marine Arabia was due to reduced revenues and higher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2020 compared with 2019</w:t>
      </w:r>
    </w:p>
    <w:p>
      <w:pPr>
        <w:spacing w:after="0" w:line="189"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b w:val="1"/>
          <w:bCs w:val="1"/>
          <w:i w:val="1"/>
          <w:iCs w:val="1"/>
          <w:color w:val="auto"/>
        </w:rPr>
        <w:t xml:space="preserve">MexMar. </w:t>
      </w:r>
      <w:r>
        <w:rPr>
          <w:rFonts w:ascii="Arial" w:cs="Arial" w:eastAsia="Arial" w:hAnsi="Arial"/>
          <w:sz w:val="17"/>
          <w:szCs w:val="17"/>
          <w:color w:val="auto"/>
        </w:rPr>
        <w:t>Equity earnings from MexMar decreased by $5.1 million as compared to 2019 due to an increase in the provision for doubtful accounts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due to a default on a loan agreement with UP Offshore (Bahamas) Ltd (“UP Offshore”), a wholly owned subsidiary of MEXMAR Offshore.</w:t>
      </w:r>
    </w:p>
    <w:p>
      <w:pPr>
        <w:spacing w:after="0" w:line="11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i w:val="1"/>
          <w:iCs w:val="1"/>
          <w:color w:val="auto"/>
        </w:rPr>
        <w:t xml:space="preserve">MEXMAR Offshore. </w:t>
      </w:r>
      <w:r>
        <w:rPr>
          <w:rFonts w:ascii="Arial" w:cs="Arial" w:eastAsia="Arial" w:hAnsi="Arial"/>
          <w:sz w:val="18"/>
          <w:szCs w:val="18"/>
          <w:color w:val="auto"/>
        </w:rPr>
        <w:t>Equity losses from MEXMAR Offshore increased by $4.9 million due to losses in the value of the investment.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0" w:name="page61"/>
    <w:bookmarkEnd w:id="60"/>
    <w:p>
      <w:pPr>
        <w:jc w:val="both"/>
        <w:ind w:firstLine="749"/>
        <w:spacing w:after="0" w:line="308" w:lineRule="auto"/>
        <w:rPr>
          <w:sz w:val="20"/>
          <w:szCs w:val="20"/>
          <w:color w:val="auto"/>
        </w:rPr>
      </w:pPr>
      <w:r>
        <w:rPr>
          <w:rFonts w:ascii="Arial" w:cs="Arial" w:eastAsia="Arial" w:hAnsi="Arial"/>
          <w:sz w:val="17"/>
          <w:szCs w:val="17"/>
          <w:b w:val="1"/>
          <w:bCs w:val="1"/>
          <w:i w:val="1"/>
          <w:iCs w:val="1"/>
          <w:color w:val="auto"/>
        </w:rPr>
        <w:t xml:space="preserve">Offshore Vessel Holdings (“OVH”). </w:t>
      </w:r>
      <w:r>
        <w:rPr>
          <w:rFonts w:ascii="Arial" w:cs="Arial" w:eastAsia="Arial" w:hAnsi="Arial"/>
          <w:sz w:val="17"/>
          <w:szCs w:val="17"/>
          <w:color w:val="auto"/>
        </w:rPr>
        <w:t>Equity losses increased by $3.2 million due to higher maintenance and repair costs, depreciation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amortization primarily due to the addition of vessels operated under financial leases and increasing financial and other expenses.</w:t>
      </w:r>
    </w:p>
    <w:p>
      <w:pPr>
        <w:spacing w:after="0" w:line="119"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b w:val="1"/>
          <w:bCs w:val="1"/>
          <w:i w:val="1"/>
          <w:iCs w:val="1"/>
          <w:color w:val="auto"/>
        </w:rPr>
        <w:t xml:space="preserve">OSV Partners </w:t>
      </w:r>
      <w:r>
        <w:rPr>
          <w:rFonts w:ascii="Arial" w:cs="Arial" w:eastAsia="Arial" w:hAnsi="Arial"/>
          <w:sz w:val="18"/>
          <w:szCs w:val="18"/>
          <w:color w:val="auto"/>
        </w:rPr>
        <w:t>Equity losses from SEACOR OSV Partners GP LLC (“OSV Partners GP”) and SEACOR OSV Partners I LP LLC (“OSV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I, and collectively with OSV Partners GP, “OSV Partners”) increased by less than $0.1 million, primarily due to utilization.</w:t>
      </w:r>
    </w:p>
    <w:p>
      <w:pPr>
        <w:spacing w:after="0" w:line="130"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b w:val="1"/>
          <w:bCs w:val="1"/>
          <w:i w:val="1"/>
          <w:iCs w:val="1"/>
          <w:color w:val="auto"/>
        </w:rPr>
        <w:t xml:space="preserve">SEACOR Grant DIS. </w:t>
      </w:r>
      <w:r>
        <w:rPr>
          <w:rFonts w:ascii="Arial" w:cs="Arial" w:eastAsia="Arial" w:hAnsi="Arial"/>
          <w:sz w:val="18"/>
          <w:szCs w:val="18"/>
          <w:color w:val="auto"/>
        </w:rPr>
        <w:t>Change in equity earnings from SEACOR Grant DIS LLC (“SEACOR Grant DIS”) was due to the joint venture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dissolution in 2019.</w:t>
      </w:r>
    </w:p>
    <w:p>
      <w:pPr>
        <w:spacing w:after="0" w:line="130"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 xml:space="preserve">Dynamic Offshore Drilling. </w:t>
      </w:r>
      <w:r>
        <w:rPr>
          <w:rFonts w:ascii="Arial" w:cs="Arial" w:eastAsia="Arial" w:hAnsi="Arial"/>
          <w:sz w:val="17"/>
          <w:szCs w:val="17"/>
          <w:color w:val="auto"/>
        </w:rPr>
        <w:t>The investment in Dynamic Offshore Drilling Limited (“Dynamic Offshore Drilling”) was fully impaired in 2019.</w:t>
      </w:r>
    </w:p>
    <w:p>
      <w:pPr>
        <w:spacing w:after="0" w:line="21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b w:val="1"/>
          <w:bCs w:val="1"/>
          <w:i w:val="1"/>
          <w:iCs w:val="1"/>
          <w:color w:val="auto"/>
        </w:rPr>
        <w:t xml:space="preserve">SEACOR Offshore Delta (f/k/a SEACOSCO). </w:t>
      </w:r>
      <w:r>
        <w:rPr>
          <w:rFonts w:ascii="Arial" w:cs="Arial" w:eastAsia="Arial" w:hAnsi="Arial"/>
          <w:sz w:val="18"/>
          <w:szCs w:val="18"/>
          <w:color w:val="auto"/>
        </w:rPr>
        <w:t>The decrease of $5.4 million in equity losses from SEACOR Offshore Delta LLC (“SEACOR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Offshore Delta”) was primarily due to the acquisition of and consolidation of the joint venture in July 2020.</w:t>
      </w:r>
    </w:p>
    <w:p>
      <w:pPr>
        <w:spacing w:after="0" w:line="130"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b w:val="1"/>
          <w:bCs w:val="1"/>
          <w:i w:val="1"/>
          <w:iCs w:val="1"/>
          <w:color w:val="auto"/>
        </w:rPr>
        <w:t xml:space="preserve">SEACOR Arabia. </w:t>
      </w:r>
      <w:r>
        <w:rPr>
          <w:rFonts w:ascii="Arial" w:cs="Arial" w:eastAsia="Arial" w:hAnsi="Arial"/>
          <w:sz w:val="18"/>
          <w:szCs w:val="18"/>
          <w:color w:val="auto"/>
        </w:rPr>
        <w:t>The increase of $2.3 million in equity gains from SEACOR Marine Arabia was due to increased revenues and recording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true-up of fees related to the management agreement with our joint venture partner of $0.9 million recognized in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Company’s ongoing liquidity requirements arise primarily from working capital needs, capital commitments and its obligations to service outstanding debt and comply with covenants under its debt facilities. The Company may use its liquidity to fund capital expenditures, make acquisitions or to make other investments. Sources of liquidity are cash balances, construction reserve funds and cash flows from operations. From time to time, the Company may secure additional liquidity through asset sales or the issuance of debt, shares of Common Stock or common stock of its subsidiaries, preferred stock or a combination thereof.</w:t>
      </w:r>
    </w:p>
    <w:p>
      <w:pPr>
        <w:spacing w:after="0" w:line="14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As of December 31, 2021, the Company had unfunded capital commitments of $0.9 million for miscellaneous vessel equipment payable during 2022. The Company has indefinitely deferred an additional $9.4 million of orders with respect to one FSV that the Company had previously reported as unfunded capital commitments.</w:t>
      </w:r>
    </w:p>
    <w:p>
      <w:pPr>
        <w:spacing w:after="0" w:line="157"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As of December 31, 2021, the Company had outstanding debt of $364.4 million, net of debt discount and issue costs. The Company’s contractual long-term debt maturities as of December 31, 2021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2"/>
          </w:tcPr>
          <w:p>
            <w:pPr>
              <w:ind w:left="300"/>
              <w:spacing w:after="0"/>
              <w:rPr>
                <w:sz w:val="20"/>
                <w:szCs w:val="20"/>
                <w:color w:val="auto"/>
              </w:rPr>
            </w:pPr>
            <w:r>
              <w:rPr>
                <w:rFonts w:ascii="Arial" w:cs="Arial" w:eastAsia="Arial" w:hAnsi="Arial"/>
                <w:sz w:val="18"/>
                <w:szCs w:val="18"/>
                <w:b w:val="1"/>
                <w:bCs w:val="1"/>
                <w:color w:val="auto"/>
              </w:rPr>
              <w:t>Actual</w:t>
            </w:r>
          </w:p>
        </w:tc>
      </w:t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37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2023</w:t>
            </w:r>
          </w:p>
        </w:tc>
        <w:tc>
          <w:tcPr>
            <w:tcW w:w="3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252,247</w:t>
            </w:r>
          </w:p>
        </w:tc>
        <w:tc>
          <w:tcPr>
            <w:tcW w:w="10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7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44,334</w:t>
            </w:r>
          </w:p>
        </w:tc>
        <w:tc>
          <w:tcPr>
            <w:tcW w:w="100" w:type="dxa"/>
            <w:vAlign w:val="bottom"/>
            <w:shd w:val="clear" w:color="auto" w:fill="CFF0FC"/>
          </w:tcPr>
          <w:p>
            <w:pPr>
              <w:spacing w:after="0"/>
              <w:rPr>
                <w:sz w:val="19"/>
                <w:szCs w:val="19"/>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2025</w:t>
            </w:r>
          </w:p>
        </w:tc>
        <w:tc>
          <w:tcPr>
            <w:tcW w:w="3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12,629</w:t>
            </w:r>
          </w:p>
        </w:tc>
        <w:tc>
          <w:tcPr>
            <w:tcW w:w="10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37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11,365</w:t>
            </w:r>
          </w:p>
        </w:tc>
        <w:tc>
          <w:tcPr>
            <w:tcW w:w="100" w:type="dxa"/>
            <w:vAlign w:val="bottom"/>
            <w:shd w:val="clear" w:color="auto" w:fill="CFF0FC"/>
          </w:tcPr>
          <w:p>
            <w:pPr>
              <w:spacing w:after="0"/>
              <w:rPr>
                <w:sz w:val="19"/>
                <w:szCs w:val="19"/>
                <w:color w:val="auto"/>
              </w:rPr>
            </w:pPr>
          </w:p>
        </w:tc>
      </w:tr>
      <w:tr>
        <w:trPr>
          <w:trHeight w:val="230"/>
        </w:trPr>
        <w:tc>
          <w:tcPr>
            <w:tcW w:w="5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Years subsequent to 2026</w:t>
            </w:r>
          </w:p>
        </w:tc>
        <w:tc>
          <w:tcPr>
            <w:tcW w:w="37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48,778</w:t>
            </w:r>
          </w:p>
        </w:tc>
        <w:tc>
          <w:tcPr>
            <w:tcW w:w="100" w:type="dxa"/>
            <w:vAlign w:val="bottom"/>
            <w:tcBorders>
              <w:bottom w:val="single" w:sz="8" w:color="CFF0FC"/>
            </w:tcBorders>
          </w:tcPr>
          <w:p>
            <w:pPr>
              <w:spacing w:after="0"/>
              <w:rPr>
                <w:sz w:val="19"/>
                <w:szCs w:val="19"/>
                <w:color w:val="auto"/>
              </w:rPr>
            </w:pPr>
          </w:p>
        </w:tc>
      </w:tr>
      <w:tr>
        <w:trPr>
          <w:trHeight w:val="223"/>
        </w:trPr>
        <w:tc>
          <w:tcPr>
            <w:tcW w:w="5540" w:type="dxa"/>
            <w:vAlign w:val="bottom"/>
            <w:tcBorders>
              <w:bottom w:val="single" w:sz="8" w:color="CFF0FC"/>
            </w:tcBorders>
            <w:shd w:val="clear" w:color="auto" w:fill="CFF0FC"/>
          </w:tcPr>
          <w:p>
            <w:pPr>
              <w:spacing w:after="0"/>
              <w:rPr>
                <w:sz w:val="19"/>
                <w:szCs w:val="19"/>
                <w:color w:val="auto"/>
              </w:rPr>
            </w:pPr>
          </w:p>
        </w:tc>
        <w:tc>
          <w:tcPr>
            <w:tcW w:w="37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400,955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As of December 31, 2021, the Company held balances of cash, cash equivalents, restricted cash and construction reserve funds totaling $41.2 million compared to $36.0 million as of December 31, 2020. There was no balance in construction reserve funds as of December 31, 2021 and $4.2 million of construction reserve funds held as cash as of December 31, 2020. Additionally, the Company had $1.2 million available borrowing capacity under subsidiary credit facilities as of December 31, 2021. In January 2021, the Company received cash proceeds of $42.6 million for the sale of Windcat Workboats. In addition, as a result of the CARES Act and the entry into the Tax Refund Agreement, the Company received cash tax refunds of approximately $32.3 million (including $1.1 million of interest paid by the IRS in respect of refund payment delays due in part to the COVID-19 pandemic) in 2020 and 2021. These tax refunds are subject to the terms of the Tax Refund Agreement, which does not restrict the use of approximately $23.1 million of the refund, with the remaining $8.1 million required to be deposited into an account to be used to satisfy certain of the Company’s obligations that remain guaranteed by SEACOR Holdings. As of December 31, 2021, the Company has applied all of the amount deposited to satisfy these obligations in full.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1" w:name="page62"/>
    <w:bookmarkEnd w:id="61"/>
    <w:p>
      <w:pPr>
        <w:ind w:left="760"/>
        <w:spacing w:after="0"/>
        <w:rPr>
          <w:sz w:val="20"/>
          <w:szCs w:val="20"/>
          <w:color w:val="auto"/>
        </w:rPr>
      </w:pPr>
      <w:r>
        <w:rPr>
          <w:rFonts w:ascii="Arial" w:cs="Arial" w:eastAsia="Arial" w:hAnsi="Arial"/>
          <w:sz w:val="18"/>
          <w:szCs w:val="18"/>
          <w:color w:val="auto"/>
        </w:rPr>
        <w:t>For the years ended December 31, the following is a summary of the Company’s cash flows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Borders>
              <w:bottom w:val="single" w:sz="8" w:color="CFF0FC"/>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20"/>
                <w:szCs w:val="20"/>
                <w:color w:val="auto"/>
              </w:rPr>
            </w:pPr>
          </w:p>
        </w:tc>
      </w:tr>
      <w:tr>
        <w:trPr>
          <w:trHeight w:val="223"/>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Cash flows provided by or (used in):</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Operating Activities</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8,973</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(29,722)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19"/>
                <w:szCs w:val="19"/>
                <w:color w:val="auto"/>
              </w:rPr>
            </w:pPr>
          </w:p>
        </w:tc>
      </w:tr>
      <w:tr>
        <w:trPr>
          <w:trHeight w:val="229"/>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31,030</w:t>
            </w:r>
          </w:p>
        </w:tc>
        <w:tc>
          <w:tcPr>
            <w:tcW w:w="10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(78,898)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(22,599)</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(25,942)</w:t>
            </w:r>
          </w:p>
        </w:tc>
      </w:tr>
      <w:tr>
        <w:trPr>
          <w:trHeight w:val="229"/>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w w:val="93"/>
              </w:rPr>
              <w:t>Effects of Exchange Rate Changes on Cash, Restricted Cash and Cash Equivalents</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(16,619)</w:t>
            </w:r>
          </w:p>
        </w:tc>
      </w:tr>
      <w:tr>
        <w:trPr>
          <w:trHeight w:val="215"/>
        </w:trPr>
        <w:tc>
          <w:tcPr>
            <w:tcW w:w="6320" w:type="dxa"/>
            <w:vAlign w:val="bottom"/>
          </w:tcPr>
          <w:p>
            <w:pPr>
              <w:spacing w:after="0"/>
              <w:rPr>
                <w:sz w:val="20"/>
                <w:szCs w:val="20"/>
                <w:color w:val="auto"/>
              </w:rPr>
            </w:pPr>
            <w:r>
              <w:rPr>
                <w:rFonts w:ascii="Arial" w:cs="Arial" w:eastAsia="Arial" w:hAnsi="Arial"/>
                <w:sz w:val="18"/>
                <w:szCs w:val="18"/>
                <w:color w:val="auto"/>
                <w:w w:val="99"/>
              </w:rPr>
              <w:t>Net increase in Cash, Restricted Cash and Cash Equivalents from Discontinued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Operations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r>
      <w:tr>
        <w:trPr>
          <w:trHeight w:val="223"/>
        </w:trPr>
        <w:tc>
          <w:tcPr>
            <w:tcW w:w="6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Restricted Cash and Cash Equivalents</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Operating Activities</w:t>
      </w:r>
    </w:p>
    <w:p>
      <w:pPr>
        <w:spacing w:after="0" w:line="18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Cash flows provided by operating activities increased by $38.7 million in 2021 compared with 2020. The biggest driver of the increase in cash flows provided by operations was the receipt of tax refunds under the CARES Act as described above and in “Note 9. Income Taxes” in the audited consolidated financial statements included elsewhere in this Annual Report on Form 10-K. For the years ended December 31, the components of cash flows provided by (used in) continuing operating activities were as follows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Borders>
              <w:bottom w:val="single" w:sz="8" w:color="CFF0FC"/>
            </w:tcBorders>
          </w:tcPr>
          <w:p>
            <w:pPr>
              <w:spacing w:after="0"/>
              <w:rPr>
                <w:sz w:val="20"/>
                <w:szCs w:val="20"/>
                <w:color w:val="auto"/>
              </w:rPr>
            </w:pPr>
          </w:p>
        </w:tc>
        <w:tc>
          <w:tcPr>
            <w:tcW w:w="502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20"/>
                <w:szCs w:val="20"/>
                <w:color w:val="auto"/>
              </w:rPr>
            </w:pPr>
          </w:p>
        </w:tc>
      </w:tr>
      <w:tr>
        <w:trPr>
          <w:trHeight w:val="223"/>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DVP:</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520" w:type="dxa"/>
            <w:vAlign w:val="bottom"/>
            <w:gridSpan w:val="2"/>
          </w:tcPr>
          <w:p>
            <w:pPr>
              <w:spacing w:after="0"/>
              <w:rPr>
                <w:sz w:val="20"/>
                <w:szCs w:val="20"/>
                <w:color w:val="auto"/>
              </w:rPr>
            </w:pPr>
            <w:r>
              <w:rPr>
                <w:rFonts w:ascii="Arial" w:cs="Arial" w:eastAsia="Arial" w:hAnsi="Arial"/>
                <w:sz w:val="18"/>
                <w:szCs w:val="18"/>
                <w:color w:val="auto"/>
              </w:rPr>
              <w:t>United States, primarily Gulf of Mexico</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1,847</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(1,001)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8,956</w:t>
            </w:r>
          </w:p>
        </w:tc>
        <w:tc>
          <w:tcPr>
            <w:tcW w:w="100" w:type="dxa"/>
            <w:vAlign w:val="bottom"/>
          </w:tcPr>
          <w:p>
            <w:pPr>
              <w:spacing w:after="0"/>
              <w:rPr>
                <w:sz w:val="19"/>
                <w:szCs w:val="19"/>
                <w:color w:val="auto"/>
              </w:rPr>
            </w:pPr>
          </w:p>
        </w:tc>
      </w:tr>
      <w:tr>
        <w:trPr>
          <w:trHeight w:val="229"/>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Africa and Europe, Continuing Operations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24,019</w:t>
            </w:r>
          </w:p>
        </w:tc>
        <w:tc>
          <w:tcPr>
            <w:tcW w:w="100" w:type="dxa"/>
            <w:vAlign w:val="bottom"/>
            <w:shd w:val="clear" w:color="auto" w:fill="CFF0FC"/>
          </w:tcPr>
          <w:p>
            <w:pPr>
              <w:spacing w:after="0"/>
              <w:rPr>
                <w:sz w:val="19"/>
                <w:szCs w:val="19"/>
                <w:color w:val="auto"/>
              </w:rPr>
            </w:pP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Middle East and Asia</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18,712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24,053</w:t>
            </w:r>
          </w:p>
        </w:tc>
        <w:tc>
          <w:tcPr>
            <w:tcW w:w="100" w:type="dxa"/>
            <w:vAlign w:val="bottom"/>
          </w:tcPr>
          <w:p>
            <w:pPr>
              <w:spacing w:after="0"/>
              <w:rPr>
                <w:sz w:val="19"/>
                <w:szCs w:val="19"/>
                <w:color w:val="auto"/>
              </w:rPr>
            </w:pPr>
          </w:p>
        </w:tc>
      </w:tr>
      <w:tr>
        <w:trPr>
          <w:trHeight w:val="229"/>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Latin America</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7,902</w:t>
            </w:r>
          </w:p>
        </w:tc>
        <w:tc>
          <w:tcPr>
            <w:tcW w:w="100" w:type="dxa"/>
            <w:vAlign w:val="bottom"/>
            <w:shd w:val="clear" w:color="auto" w:fill="CFF0FC"/>
          </w:tcPr>
          <w:p>
            <w:pPr>
              <w:spacing w:after="0"/>
              <w:rPr>
                <w:sz w:val="19"/>
                <w:szCs w:val="19"/>
                <w:color w:val="auto"/>
              </w:rPr>
            </w:pPr>
          </w:p>
        </w:tc>
      </w:tr>
      <w:tr>
        <w:trPr>
          <w:trHeight w:val="230"/>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leased-in equipment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(7,456)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(14,785)</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(19,151)</w:t>
            </w:r>
          </w:p>
        </w:tc>
      </w:tr>
      <w:tr>
        <w:trPr>
          <w:trHeight w:val="215"/>
        </w:trPr>
        <w:tc>
          <w:tcPr>
            <w:tcW w:w="6520" w:type="dxa"/>
            <w:vAlign w:val="bottom"/>
            <w:gridSpan w:val="2"/>
          </w:tcPr>
          <w:p>
            <w:pPr>
              <w:spacing w:after="0"/>
              <w:rPr>
                <w:sz w:val="20"/>
                <w:szCs w:val="20"/>
                <w:color w:val="auto"/>
              </w:rPr>
            </w:pPr>
            <w:r>
              <w:rPr>
                <w:rFonts w:ascii="Arial" w:cs="Arial" w:eastAsia="Arial" w:hAnsi="Arial"/>
                <w:sz w:val="18"/>
                <w:szCs w:val="18"/>
                <w:color w:val="auto"/>
              </w:rPr>
              <w:t>Administrative and general (excluding provisions for bad debts and</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520" w:type="dxa"/>
            <w:vAlign w:val="bottom"/>
            <w:gridSpan w:val="2"/>
          </w:tcPr>
          <w:p>
            <w:pPr>
              <w:ind w:left="140"/>
              <w:spacing w:after="0"/>
              <w:rPr>
                <w:sz w:val="20"/>
                <w:szCs w:val="20"/>
                <w:color w:val="auto"/>
              </w:rPr>
            </w:pPr>
            <w:r>
              <w:rPr>
                <w:rFonts w:ascii="Arial" w:cs="Arial" w:eastAsia="Arial" w:hAnsi="Arial"/>
                <w:sz w:val="18"/>
                <w:szCs w:val="18"/>
                <w:color w:val="auto"/>
              </w:rPr>
              <w:t>amortization of share awards)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(31,774)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(35,752)</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(35,149)</w:t>
            </w:r>
          </w:p>
        </w:tc>
      </w:tr>
      <w:tr>
        <w:trPr>
          <w:trHeight w:val="230"/>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SEACOR Holdings management and guarantee fees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w:t>
            </w: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Other, net (excluding non-cash losses)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9"/>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Dividends received from 50% or less owned companies</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2,117</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100" w:type="dxa"/>
            <w:vAlign w:val="bottom"/>
            <w:shd w:val="clear" w:color="auto" w:fill="CFF0FC"/>
          </w:tcPr>
          <w:p>
            <w:pPr>
              <w:spacing w:after="0"/>
              <w:rPr>
                <w:sz w:val="19"/>
                <w:szCs w:val="19"/>
                <w:color w:val="auto"/>
              </w:rPr>
            </w:pPr>
          </w:p>
        </w:tc>
      </w:tr>
      <w:tr>
        <w:trPr>
          <w:trHeight w:val="223"/>
        </w:trPr>
        <w:tc>
          <w:tcPr>
            <w:tcW w:w="15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12,594</w:t>
            </w:r>
          </w:p>
        </w:tc>
        <w:tc>
          <w:tcPr>
            <w:tcW w:w="100" w:type="dxa"/>
            <w:vAlign w:val="bottom"/>
          </w:tcPr>
          <w:p>
            <w:pPr>
              <w:spacing w:after="0"/>
              <w:rPr>
                <w:sz w:val="19"/>
                <w:szCs w:val="19"/>
                <w:color w:val="auto"/>
              </w:rPr>
            </w:pPr>
          </w:p>
        </w:tc>
      </w:tr>
      <w:tr>
        <w:trPr>
          <w:trHeight w:val="229"/>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Changes in operating assets and liabilities before interest and income taxes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(9,092)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(9,376)</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7,324</w:t>
            </w:r>
          </w:p>
        </w:tc>
        <w:tc>
          <w:tcPr>
            <w:tcW w:w="100" w:type="dxa"/>
            <w:vAlign w:val="bottom"/>
            <w:shd w:val="clear" w:color="auto" w:fill="CFF0FC"/>
          </w:tcPr>
          <w:p>
            <w:pPr>
              <w:spacing w:after="0"/>
              <w:rPr>
                <w:sz w:val="19"/>
                <w:szCs w:val="19"/>
                <w:color w:val="auto"/>
              </w:rPr>
            </w:pP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Director share awards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r>
      <w:tr>
        <w:trPr>
          <w:trHeight w:val="230"/>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stock vested</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(577)</w:t>
            </w: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Cash settlements on derivative transactions, net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(2,150)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(1,331)</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(482)</w:t>
            </w:r>
          </w:p>
        </w:tc>
      </w:tr>
      <w:tr>
        <w:trPr>
          <w:trHeight w:val="229"/>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paid, excluding capitalized interest </w:t>
            </w:r>
            <w:r>
              <w:rPr>
                <w:rFonts w:ascii="Arial" w:cs="Arial" w:eastAsia="Arial" w:hAnsi="Arial"/>
                <w:sz w:val="15"/>
                <w:szCs w:val="15"/>
                <w:color w:val="auto"/>
              </w:rPr>
              <w:t>(1)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(23,807)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(21,977)</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(21,479)</w:t>
            </w: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Interest received</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9"/>
                <w:szCs w:val="19"/>
                <w:color w:val="auto"/>
              </w:rPr>
            </w:pPr>
          </w:p>
        </w:tc>
      </w:tr>
      <w:tr>
        <w:trPr>
          <w:trHeight w:val="230"/>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taxes refunded, net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32,759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(1,094)</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FF0FC"/>
          </w:tcPr>
          <w:p>
            <w:pPr>
              <w:spacing w:after="0"/>
              <w:rPr>
                <w:sz w:val="19"/>
                <w:szCs w:val="19"/>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Total cash flows (used in) provided by operating activities</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(29,722)</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5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2" w:lineRule="exact"/>
        <w:rPr>
          <w:sz w:val="20"/>
          <w:szCs w:val="20"/>
          <w:color w:val="auto"/>
        </w:rPr>
      </w:pPr>
    </w:p>
    <w:p>
      <w:pPr>
        <w:ind w:left="760" w:right="20" w:hanging="752"/>
        <w:spacing w:after="0" w:line="253" w:lineRule="auto"/>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During 2021, 2020 and 2019, capitalized interest paid and included in purchases of property and equipment for continuing operations was $0.3 million, $0.9 million, and $1.5 million, respectively.</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For a detailed discussion of the Company’s financial results for the reported periods, see “Consolidated Results of Operations” included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assets and liabilities before interest and income taxes are the result of the Company’s working capital requirements.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Investing Activities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2021, net cash provided by investing activities was $71.8 million primarily as a result of the following:</w:t>
      </w:r>
    </w:p>
    <w:p>
      <w:pPr>
        <w:spacing w:after="0" w:line="185" w:lineRule="exact"/>
        <w:rPr>
          <w:sz w:val="20"/>
          <w:szCs w:val="20"/>
          <w:color w:val="auto"/>
        </w:rPr>
      </w:pPr>
    </w:p>
    <w:p>
      <w:pPr>
        <w:ind w:left="1120" w:hanging="370"/>
        <w:spacing w:after="0"/>
        <w:tabs>
          <w:tab w:leader="none" w:pos="11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capital expenditures were $7.0 million. Equipment deliveries during the period included a total of one PSVs through construction;</w:t>
      </w:r>
    </w:p>
    <w:p>
      <w:pPr>
        <w:spacing w:after="0" w:line="223" w:lineRule="exact"/>
        <w:rPr>
          <w:rFonts w:ascii="Arial" w:cs="Arial" w:eastAsia="Arial" w:hAnsi="Arial"/>
          <w:sz w:val="17"/>
          <w:szCs w:val="17"/>
          <w:color w:val="auto"/>
        </w:rPr>
      </w:pPr>
    </w:p>
    <w:p>
      <w:pPr>
        <w:ind w:left="1120" w:hanging="370"/>
        <w:spacing w:after="0" w:line="277"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sold three FSVs, one PSV and set off debt payments with hull and machinery insurance proceeds from the SEACOR Power of $25.0 million, for a total of $30.1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ind w:left="370" w:hanging="370"/>
        <w:spacing w:after="0" w:line="277" w:lineRule="auto"/>
        <w:tabs>
          <w:tab w:leader="none" w:pos="3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completed the sale of Windcat Workboats for net proceeds of $38.7 million ($42.2 million cash, less $3.5 million cash held at Windcat Workboats that was included in the assets purchased by the Windcat Buyer);</w:t>
      </w:r>
    </w:p>
    <w:p>
      <w:pPr>
        <w:spacing w:after="0" w:line="129" w:lineRule="exact"/>
        <w:rPr>
          <w:rFonts w:ascii="Arial" w:cs="Arial" w:eastAsia="Arial" w:hAnsi="Arial"/>
          <w:sz w:val="18"/>
          <w:szCs w:val="18"/>
          <w:color w:val="auto"/>
        </w:rPr>
      </w:pPr>
    </w:p>
    <w:p>
      <w:pPr>
        <w:ind w:left="370" w:hanging="370"/>
        <w:spacing w:after="0"/>
        <w:tabs>
          <w:tab w:leader="none" w:pos="3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made investments in, and advances to, its 50% or less owned companies of $3.0;</w:t>
      </w:r>
    </w:p>
    <w:p>
      <w:pPr>
        <w:spacing w:after="0" w:line="211" w:lineRule="exact"/>
        <w:rPr>
          <w:rFonts w:ascii="Arial" w:cs="Arial" w:eastAsia="Arial" w:hAnsi="Arial"/>
          <w:sz w:val="18"/>
          <w:szCs w:val="18"/>
          <w:color w:val="auto"/>
        </w:rPr>
      </w:pPr>
    </w:p>
    <w:p>
      <w:pPr>
        <w:ind w:left="370" w:hanging="370"/>
        <w:spacing w:after="0" w:line="277" w:lineRule="auto"/>
        <w:tabs>
          <w:tab w:leader="none" w:pos="3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received a distribution from its MEXMAR Offshore joint venture in the amount of $12.0 million of which $9.4 million was in excess of the Company’s investment balance of $2.6 million; and</w:t>
      </w:r>
    </w:p>
    <w:p>
      <w:pPr>
        <w:spacing w:after="0" w:line="129" w:lineRule="exact"/>
        <w:rPr>
          <w:rFonts w:ascii="Arial" w:cs="Arial" w:eastAsia="Arial" w:hAnsi="Arial"/>
          <w:sz w:val="18"/>
          <w:szCs w:val="18"/>
          <w:color w:val="auto"/>
        </w:rPr>
      </w:pPr>
    </w:p>
    <w:p>
      <w:pPr>
        <w:ind w:left="370" w:hanging="370"/>
        <w:spacing w:after="0" w:line="277" w:lineRule="auto"/>
        <w:tabs>
          <w:tab w:leader="none" w:pos="3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received $3.3 million from investments in, and advances to, its 50% or less owned companies for principal payments on the notes;</w:t>
      </w:r>
    </w:p>
    <w:p>
      <w:pPr>
        <w:spacing w:after="0" w:line="129" w:lineRule="exact"/>
        <w:rPr>
          <w:rFonts w:ascii="Arial" w:cs="Arial" w:eastAsia="Arial" w:hAnsi="Arial"/>
          <w:sz w:val="18"/>
          <w:szCs w:val="18"/>
          <w:color w:val="auto"/>
        </w:rPr>
      </w:pPr>
    </w:p>
    <w:p>
      <w:pPr>
        <w:ind w:left="370" w:hanging="370"/>
        <w:spacing w:after="0"/>
        <w:tabs>
          <w:tab w:leader="none" w:pos="3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received $0.2 million as part of an asset acquisition of a 50% or less owned company.</w:t>
      </w:r>
    </w:p>
    <w:p>
      <w:pPr>
        <w:spacing w:after="0" w:line="212" w:lineRule="exact"/>
        <w:rPr>
          <w:sz w:val="20"/>
          <w:szCs w:val="20"/>
          <w:color w:val="auto"/>
        </w:rPr>
      </w:pPr>
    </w:p>
    <w:p>
      <w:pPr>
        <w:ind w:left="10"/>
        <w:spacing w:after="0"/>
        <w:rPr>
          <w:sz w:val="20"/>
          <w:szCs w:val="20"/>
          <w:color w:val="auto"/>
        </w:rPr>
      </w:pPr>
      <w:r>
        <w:rPr>
          <w:rFonts w:ascii="Arial" w:cs="Arial" w:eastAsia="Arial" w:hAnsi="Arial"/>
          <w:sz w:val="18"/>
          <w:szCs w:val="18"/>
          <w:color w:val="auto"/>
        </w:rPr>
        <w:t>During 2020, net cash provided by investing activities was $3.8 million primarily comprised of the following:</w:t>
      </w:r>
    </w:p>
    <w:p>
      <w:pPr>
        <w:spacing w:after="0" w:line="198" w:lineRule="exact"/>
        <w:rPr>
          <w:sz w:val="20"/>
          <w:szCs w:val="20"/>
          <w:color w:val="auto"/>
        </w:rPr>
      </w:pPr>
    </w:p>
    <w:p>
      <w:pPr>
        <w:ind w:left="370" w:hanging="370"/>
        <w:spacing w:after="0"/>
        <w:tabs>
          <w:tab w:leader="none" w:pos="37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capital expenditures were $20.8 million. Equipment deliveries during the period included a total of four PSVs through construction;</w:t>
      </w:r>
    </w:p>
    <w:p>
      <w:pPr>
        <w:spacing w:after="0" w:line="223" w:lineRule="exact"/>
        <w:rPr>
          <w:rFonts w:ascii="Arial" w:cs="Arial" w:eastAsia="Arial" w:hAnsi="Arial"/>
          <w:sz w:val="17"/>
          <w:szCs w:val="17"/>
          <w:color w:val="auto"/>
        </w:rPr>
      </w:pPr>
    </w:p>
    <w:p>
      <w:pPr>
        <w:jc w:val="both"/>
        <w:ind w:left="370" w:hanging="370"/>
        <w:spacing w:after="0" w:line="263" w:lineRule="auto"/>
        <w:tabs>
          <w:tab w:leader="none" w:pos="3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sold two AHTS vessels and one specialty vessel previously retired and removed from service, four FSVs, one specialty vessel and one vessel under construction and other equipment for net proceeds of $21.6 million ($20.7 million cash and $0.9 million in previously received deposits);</w:t>
      </w:r>
    </w:p>
    <w:p>
      <w:pPr>
        <w:spacing w:after="0" w:line="143" w:lineRule="exact"/>
        <w:rPr>
          <w:rFonts w:ascii="Arial" w:cs="Arial" w:eastAsia="Arial" w:hAnsi="Arial"/>
          <w:sz w:val="18"/>
          <w:szCs w:val="18"/>
          <w:color w:val="auto"/>
        </w:rPr>
      </w:pPr>
    </w:p>
    <w:p>
      <w:pPr>
        <w:ind w:left="370" w:hanging="370"/>
        <w:spacing w:after="0" w:line="277" w:lineRule="auto"/>
        <w:tabs>
          <w:tab w:leader="none" w:pos="3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construction reserve funds account transactions included withdrawals of $9.2 million and a reclassification of $3.7 million to short-term cash deposits, which was expected to be utilized in 2021;</w:t>
      </w:r>
    </w:p>
    <w:p>
      <w:pPr>
        <w:spacing w:after="0" w:line="129" w:lineRule="exact"/>
        <w:rPr>
          <w:rFonts w:ascii="Arial" w:cs="Arial" w:eastAsia="Arial" w:hAnsi="Arial"/>
          <w:sz w:val="18"/>
          <w:szCs w:val="18"/>
          <w:color w:val="auto"/>
        </w:rPr>
      </w:pPr>
    </w:p>
    <w:p>
      <w:pPr>
        <w:jc w:val="both"/>
        <w:ind w:left="370" w:hanging="370"/>
        <w:spacing w:after="0" w:line="259" w:lineRule="auto"/>
        <w:tabs>
          <w:tab w:leader="none" w:pos="3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completed the acquisition of its joint venture SEACOR Offshore Delta (f/k/a SEACOSCO) and as a result, the Company owns 100% of the membership interests in SEACOR Offshore Delta (f/k/a SEACOSCO). The aggregate purchase price for the membership interests was $28.2 million, $8.4 million of which was paid to the sellers at the closing of the transaction and the remainder of which will be paid over the next four years;</w:t>
      </w:r>
    </w:p>
    <w:p>
      <w:pPr>
        <w:spacing w:after="0" w:line="146" w:lineRule="exact"/>
        <w:rPr>
          <w:rFonts w:ascii="Arial" w:cs="Arial" w:eastAsia="Arial" w:hAnsi="Arial"/>
          <w:sz w:val="18"/>
          <w:szCs w:val="18"/>
          <w:color w:val="auto"/>
        </w:rPr>
      </w:pPr>
    </w:p>
    <w:p>
      <w:pPr>
        <w:ind w:left="370" w:hanging="370"/>
        <w:spacing w:after="0"/>
        <w:tabs>
          <w:tab w:leader="none" w:pos="3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made investments in, and advances to, its 50% or less owned companies of $2.2 million; and</w:t>
      </w:r>
    </w:p>
    <w:p>
      <w:pPr>
        <w:spacing w:after="0" w:line="211" w:lineRule="exact"/>
        <w:rPr>
          <w:rFonts w:ascii="Arial" w:cs="Arial" w:eastAsia="Arial" w:hAnsi="Arial"/>
          <w:sz w:val="18"/>
          <w:szCs w:val="18"/>
          <w:color w:val="auto"/>
        </w:rPr>
      </w:pPr>
    </w:p>
    <w:p>
      <w:pPr>
        <w:ind w:left="370" w:hanging="370"/>
        <w:spacing w:after="0" w:line="277" w:lineRule="auto"/>
        <w:tabs>
          <w:tab w:leader="none" w:pos="3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received $1.7 million from investments in, and advances to, its 50% or less owned companies for principal payments on the notes.</w:t>
      </w:r>
    </w:p>
    <w:p>
      <w:pPr>
        <w:spacing w:after="0" w:line="130" w:lineRule="exact"/>
        <w:rPr>
          <w:sz w:val="20"/>
          <w:szCs w:val="20"/>
          <w:color w:val="auto"/>
        </w:rPr>
      </w:pPr>
    </w:p>
    <w:p>
      <w:pPr>
        <w:ind w:left="10"/>
        <w:spacing w:after="0"/>
        <w:rPr>
          <w:sz w:val="20"/>
          <w:szCs w:val="20"/>
          <w:color w:val="auto"/>
        </w:rPr>
      </w:pPr>
      <w:r>
        <w:rPr>
          <w:rFonts w:ascii="Arial" w:cs="Arial" w:eastAsia="Arial" w:hAnsi="Arial"/>
          <w:sz w:val="18"/>
          <w:szCs w:val="18"/>
          <w:color w:val="auto"/>
        </w:rPr>
        <w:t>During 2019, net cash provided by investing activities was $31.0 million primarily comprised of the following:</w:t>
      </w:r>
    </w:p>
    <w:p>
      <w:pPr>
        <w:spacing w:after="0" w:line="185" w:lineRule="exact"/>
        <w:rPr>
          <w:sz w:val="20"/>
          <w:szCs w:val="20"/>
          <w:color w:val="auto"/>
        </w:rPr>
      </w:pPr>
    </w:p>
    <w:p>
      <w:pPr>
        <w:ind w:left="370" w:hanging="370"/>
        <w:spacing w:after="0" w:line="277" w:lineRule="auto"/>
        <w:tabs>
          <w:tab w:leader="none" w:pos="3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capital expenditures were $44.8 million. Equipment deliveries during the period included a total of five FSVs (three purchased from managed entities, one from an outside party and one through construction); and two new construction PSVs;</w:t>
      </w:r>
    </w:p>
    <w:p>
      <w:pPr>
        <w:spacing w:after="0" w:line="129" w:lineRule="exact"/>
        <w:rPr>
          <w:rFonts w:ascii="Arial" w:cs="Arial" w:eastAsia="Arial" w:hAnsi="Arial"/>
          <w:sz w:val="18"/>
          <w:szCs w:val="18"/>
          <w:color w:val="auto"/>
        </w:rPr>
      </w:pPr>
    </w:p>
    <w:p>
      <w:pPr>
        <w:ind w:left="370" w:hanging="370"/>
        <w:spacing w:after="0" w:line="277" w:lineRule="auto"/>
        <w:tabs>
          <w:tab w:leader="none" w:pos="3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sold six vessels removed from service (five AHTS vessels and one specialty), seven FSVs, five PSVs, three liftboats, one AHTS vessel and other equipment, resulting in $55.3 million in proceeds;</w:t>
      </w:r>
    </w:p>
    <w:p>
      <w:pPr>
        <w:spacing w:after="0" w:line="129" w:lineRule="exact"/>
        <w:rPr>
          <w:rFonts w:ascii="Arial" w:cs="Arial" w:eastAsia="Arial" w:hAnsi="Arial"/>
          <w:sz w:val="18"/>
          <w:szCs w:val="18"/>
          <w:color w:val="auto"/>
        </w:rPr>
      </w:pPr>
    </w:p>
    <w:p>
      <w:pPr>
        <w:ind w:left="370" w:hanging="370"/>
        <w:spacing w:after="0"/>
        <w:tabs>
          <w:tab w:leader="none" w:pos="37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proceeds from the sale of the emergency response and rescue vessels (“ERRV”) fleet, less cash retained by the purchaser was $22.3 million;</w:t>
      </w:r>
    </w:p>
    <w:p>
      <w:pPr>
        <w:spacing w:after="0" w:line="234" w:lineRule="exact"/>
        <w:rPr>
          <w:rFonts w:ascii="Arial" w:cs="Arial" w:eastAsia="Arial" w:hAnsi="Arial"/>
          <w:sz w:val="16"/>
          <w:szCs w:val="16"/>
          <w:color w:val="auto"/>
        </w:rPr>
      </w:pPr>
    </w:p>
    <w:p>
      <w:pPr>
        <w:ind w:left="370" w:hanging="370"/>
        <w:spacing w:after="0" w:line="277" w:lineRule="auto"/>
        <w:tabs>
          <w:tab w:leader="none" w:pos="3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loans and advances to investments in 50% or less owned companies of $17.4 million, including $13.6 million to the SEACOSCO joint venture; and</w:t>
      </w:r>
    </w:p>
    <w:p>
      <w:pPr>
        <w:spacing w:after="0" w:line="129" w:lineRule="exact"/>
        <w:rPr>
          <w:rFonts w:ascii="Arial" w:cs="Arial" w:eastAsia="Arial" w:hAnsi="Arial"/>
          <w:sz w:val="18"/>
          <w:szCs w:val="18"/>
          <w:color w:val="auto"/>
        </w:rPr>
      </w:pPr>
    </w:p>
    <w:p>
      <w:pPr>
        <w:ind w:left="370" w:hanging="370"/>
        <w:spacing w:after="0"/>
        <w:tabs>
          <w:tab w:leader="none" w:pos="3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decrease in construction reserve funds of $15.2 million.</w:t>
      </w:r>
    </w:p>
    <w:p>
      <w:pPr>
        <w:spacing w:after="0" w:line="20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Financing Activities</w:t>
      </w:r>
    </w:p>
    <w:p>
      <w:pPr>
        <w:spacing w:after="0" w:line="189" w:lineRule="exact"/>
        <w:rPr>
          <w:sz w:val="20"/>
          <w:szCs w:val="20"/>
          <w:color w:val="auto"/>
        </w:rPr>
      </w:pPr>
    </w:p>
    <w:p>
      <w:pPr>
        <w:ind w:left="10"/>
        <w:spacing w:after="0"/>
        <w:rPr>
          <w:sz w:val="20"/>
          <w:szCs w:val="20"/>
          <w:color w:val="auto"/>
        </w:rPr>
      </w:pPr>
      <w:r>
        <w:rPr>
          <w:rFonts w:ascii="Arial" w:cs="Arial" w:eastAsia="Arial" w:hAnsi="Arial"/>
          <w:sz w:val="18"/>
          <w:szCs w:val="18"/>
          <w:color w:val="auto"/>
        </w:rPr>
        <w:t>During 2021, net cash used by financing activities was $78.9 million.</w:t>
      </w:r>
    </w:p>
    <w:p>
      <w:pPr>
        <w:spacing w:after="0" w:line="198" w:lineRule="exact"/>
        <w:rPr>
          <w:sz w:val="20"/>
          <w:szCs w:val="20"/>
          <w:color w:val="auto"/>
        </w:rPr>
      </w:pPr>
    </w:p>
    <w:p>
      <w:pPr>
        <w:ind w:left="370" w:hanging="370"/>
        <w:spacing w:after="0"/>
        <w:tabs>
          <w:tab w:leader="none" w:pos="3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made scheduled payments on long-term debt and other obligations of $78.1 million; and</w:t>
      </w:r>
    </w:p>
    <w:p>
      <w:pPr>
        <w:spacing w:after="0" w:line="211" w:lineRule="exact"/>
        <w:rPr>
          <w:rFonts w:ascii="Arial" w:cs="Arial" w:eastAsia="Arial" w:hAnsi="Arial"/>
          <w:sz w:val="18"/>
          <w:szCs w:val="18"/>
          <w:color w:val="auto"/>
        </w:rPr>
      </w:pPr>
    </w:p>
    <w:p>
      <w:pPr>
        <w:ind w:left="370" w:hanging="370"/>
        <w:spacing w:after="0"/>
        <w:tabs>
          <w:tab w:leader="none" w:pos="3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made payments on debt extinguishment costs of $0.8 million.</w:t>
      </w:r>
    </w:p>
    <w:p>
      <w:pPr>
        <w:spacing w:after="0" w:line="212" w:lineRule="exact"/>
        <w:rPr>
          <w:sz w:val="20"/>
          <w:szCs w:val="20"/>
          <w:color w:val="auto"/>
        </w:rPr>
      </w:pPr>
    </w:p>
    <w:p>
      <w:pPr>
        <w:ind w:left="10"/>
        <w:spacing w:after="0"/>
        <w:rPr>
          <w:sz w:val="20"/>
          <w:szCs w:val="20"/>
          <w:color w:val="auto"/>
        </w:rPr>
      </w:pPr>
      <w:r>
        <w:rPr>
          <w:rFonts w:ascii="Arial" w:cs="Arial" w:eastAsia="Arial" w:hAnsi="Arial"/>
          <w:sz w:val="18"/>
          <w:szCs w:val="18"/>
          <w:color w:val="auto"/>
        </w:rPr>
        <w:t>During 2020, net cash used by financing activities was $22.6 million.</w:t>
      </w:r>
    </w:p>
    <w:p>
      <w:pPr>
        <w:spacing w:after="0" w:line="185" w:lineRule="exact"/>
        <w:rPr>
          <w:sz w:val="20"/>
          <w:szCs w:val="20"/>
          <w:color w:val="auto"/>
        </w:rPr>
      </w:pPr>
    </w:p>
    <w:p>
      <w:pPr>
        <w:ind w:left="10" w:right="3420" w:hanging="10"/>
        <w:spacing w:after="0" w:line="493" w:lineRule="auto"/>
        <w:tabs>
          <w:tab w:leader="none" w:pos="3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made scheduled payments on long-term debt and obligations of $22.6 million. During 2019, net cash used by financing activities was $25.9 million.</w:t>
      </w:r>
    </w:p>
    <w:p>
      <w:pPr>
        <w:ind w:left="479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90"/>
          </w:cols>
          <w:pgMar w:left="1070" w:top="125" w:right="339" w:bottom="1440" w:gutter="0" w:footer="0" w:header="0"/>
        </w:sectPr>
      </w:pPr>
    </w:p>
    <w:bookmarkStart w:id="63" w:name="page64"/>
    <w:bookmarkEnd w:id="63"/>
    <w:p>
      <w:pPr>
        <w:ind w:left="1120" w:hanging="370"/>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made scheduled payments on long-term debt and obligations of $24.0 million;</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purchased subsidiary shares from holders of noncontrolling interests for $3.4 million; and</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received $1.4 million from the exercise of stock options.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Short and Long-Term Liquidity Requirements and Outlook</w:t>
      </w:r>
    </w:p>
    <w:p>
      <w:pPr>
        <w:spacing w:after="0" w:line="20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The Company believes that a combination of cash balances on hand, construction reserve funds, cash generated from operating activities, availability under existing subsidiary financing arrangements and access to the credit and capital markets will provide sufficient liquidity to meet its obligations, including to support its capital expenditures program, working capital needs, debt service requirements and covenant compliance over the short to medium term. The Company continually evaluates possible acquisitions and dispositions of certain businesses and assets. The Company’s sources of liquidity may be impacted by the general condition of the markets in which it operates and the broader economy as a whole, which may limit its access to the credit and capital markets on acceptable terms. Management will continue to closely monitor the Company’s liquidity and compliance with covenants in its credit facilities specifically as it relates to the COVID-19 pandemic.</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Company's primary credit facility requires the Company to maintain a minimum of $35.0 million of cash on hand (including restricted cash) at all times. As of December 31, 2021 the Company's cash balances used to test compliance with this covenant was $41.2 million. The Company believes that its currently available cash as well as cash from future operations and other sources such as asset sales and capital markets activity will be sufficient to maintain compliance with this covenant for the foreseeable future.</w:t>
      </w:r>
    </w:p>
    <w:p>
      <w:pPr>
        <w:spacing w:after="0" w:line="14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While the COVID-19 pandemic has reduced the demand for the Company’s products and services, the COVID-19 pandemic has not had a material impact on the Company’s liquidity or on the Company’s ability to meet its financial maintenance covenants in its various credit facilities. However, if the effect of the COVID-19 pandemic on the Company's business becomes more severe, for example by further reducing demand for the Company’s products and services or causing customers not to make their payments on time, the Company may be required to seek amendments to the covenant to avoid a default under the facility.</w:t>
      </w:r>
    </w:p>
    <w:p>
      <w:pPr>
        <w:spacing w:after="0" w:line="37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Future Cash Requirements</w:t>
      </w:r>
    </w:p>
    <w:p>
      <w:pPr>
        <w:spacing w:after="0" w:line="22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Company’s primary future cash requirements will be to fund operations, debt service, capital expenditures, employee retirement benefit plans, and lease payment obligations. In addition, the Company may use cash in the future to make strategic acquisitions or investments. Specifically, the Company expects its primary cash requirements for fiscal year 2022 to be as follows:</w:t>
      </w:r>
    </w:p>
    <w:p>
      <w:pPr>
        <w:spacing w:after="0" w:line="143" w:lineRule="exact"/>
        <w:rPr>
          <w:sz w:val="20"/>
          <w:szCs w:val="20"/>
          <w:color w:val="auto"/>
        </w:rPr>
      </w:pPr>
    </w:p>
    <w:p>
      <w:pPr>
        <w:ind w:left="1120" w:hanging="370"/>
        <w:spacing w:after="0" w:line="277"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Debt service — We expect to make principal and interest payments of approximately $48.5 million during fiscal year 2022 under our currently outstanding debt facilities.</w:t>
      </w:r>
    </w:p>
    <w:p>
      <w:pPr>
        <w:spacing w:after="0" w:line="129" w:lineRule="exact"/>
        <w:rPr>
          <w:rFonts w:ascii="Arial" w:cs="Arial" w:eastAsia="Arial" w:hAnsi="Arial"/>
          <w:sz w:val="18"/>
          <w:szCs w:val="18"/>
          <w:color w:val="auto"/>
        </w:rPr>
      </w:pPr>
    </w:p>
    <w:p>
      <w:pPr>
        <w:ind w:left="1120" w:hanging="370"/>
        <w:spacing w:after="0" w:line="308" w:lineRule="auto"/>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Capital expenditures — At this time, we do not expect to make any capital expenditures during fiscal year 2022 although if market dynamics change substantially or an appropriate opportunity arises we may determine to make such expenditures at that time.</w:t>
      </w:r>
    </w:p>
    <w:p>
      <w:pPr>
        <w:spacing w:after="0" w:line="105" w:lineRule="exact"/>
        <w:rPr>
          <w:rFonts w:ascii="Arial" w:cs="Arial" w:eastAsia="Arial" w:hAnsi="Arial"/>
          <w:sz w:val="17"/>
          <w:szCs w:val="17"/>
          <w:color w:val="auto"/>
        </w:rPr>
      </w:pPr>
    </w:p>
    <w:p>
      <w:pPr>
        <w:ind w:left="1120" w:hanging="370"/>
        <w:spacing w:after="0" w:line="277"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Employee retirement benefit plans — We estimate we will make payments under our retirement benefit plans of approximately $0.8 million during fiscal year 2022.</w:t>
      </w:r>
    </w:p>
    <w:p>
      <w:pPr>
        <w:spacing w:after="0" w:line="129"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Lease payments — We expect to make lease payments of approximately $2.3 million for our operating and finance leases during fiscal year 2022 under our currently effective leases.</w:t>
      </w:r>
    </w:p>
    <w:p>
      <w:pPr>
        <w:spacing w:after="0" w:line="13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In addition to the matters identified above, in the ordinary course of business, the Company may be involved in litigation, claims, government inquiries, investigations and proceedings relating to commercial, employment, environmental and regulatory matters. An unfavorable resolution in this or other matters could have a material adverse effect on the Company's future cash requirements.</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 Securities and Credit Agreements</w:t>
      </w:r>
    </w:p>
    <w:p>
      <w:pPr>
        <w:spacing w:after="0" w:line="189"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For a discussion of the Company’s debt securities and credit agreements, see “Note 8. Long-Term Debt” in the audited consolidated financial statements included elsewhere in this Annual Report on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Effects of Inflation</w:t>
      </w:r>
    </w:p>
    <w:p>
      <w:pPr>
        <w:spacing w:after="0" w:line="20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Company’s operations expose it to the effects of inflation. In the event that inflation becomes a significant factor in the world economy, inflationary pressures could result in increased operating and financing costs. For example, the pressures of inflation have increased our costs of labor and may continue to do so.</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89"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b w:val="1"/>
          <w:bCs w:val="1"/>
          <w:i w:val="1"/>
          <w:iCs w:val="1"/>
          <w:color w:val="auto"/>
        </w:rPr>
        <w:t>MNOPF and MNRPF</w:t>
      </w:r>
      <w:r>
        <w:rPr>
          <w:rFonts w:ascii="Arial" w:cs="Arial" w:eastAsia="Arial" w:hAnsi="Arial"/>
          <w:sz w:val="18"/>
          <w:szCs w:val="18"/>
          <w:color w:val="auto"/>
        </w:rPr>
        <w:t>. Certain of the Company’s subsidiaries are participating employers in two industry-wide, multi-employer, defined benefit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pension funds in the U.K.: the MNOPF and the MNRPF.</w:t>
      </w:r>
    </w:p>
    <w:p>
      <w:pPr>
        <w:spacing w:after="0" w:line="14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The Company’s participation in the MNOPF began with the acquisition of the Stirling group of companies (the “Stirling Group”) in 2001 and relates to certain officers employed between 1978 and 2002 by the Stirling Group and/or its predecessors. The Company’s participation in the MNRPF also began with the acquisition of the Stirling Group in 2001 and relates to ratings employed by the Stirling Group and/or its predecessors through today. Both of these plans are in deficit positions and, depending upon the results of future actuarial valuations, it is possible that the plans could experience funding deficits that will require the Company to recognize payroll related operating expenses in the periods invoices are received. As of December 31, 2021, all invoices related to MNOPF and MNRPF have been settled in full.</w:t>
      </w:r>
    </w:p>
    <w:p>
      <w:pPr>
        <w:spacing w:after="0" w:line="137" w:lineRule="exact"/>
        <w:rPr>
          <w:sz w:val="20"/>
          <w:szCs w:val="20"/>
          <w:color w:val="auto"/>
        </w:rPr>
      </w:pPr>
    </w:p>
    <w:p>
      <w:pPr>
        <w:jc w:val="both"/>
        <w:ind w:firstLine="849"/>
        <w:spacing w:after="0" w:line="257" w:lineRule="auto"/>
        <w:rPr>
          <w:sz w:val="20"/>
          <w:szCs w:val="20"/>
          <w:color w:val="auto"/>
        </w:rPr>
      </w:pPr>
      <w:r>
        <w:rPr>
          <w:rFonts w:ascii="Arial" w:cs="Arial" w:eastAsia="Arial" w:hAnsi="Arial"/>
          <w:sz w:val="18"/>
          <w:szCs w:val="18"/>
          <w:color w:val="auto"/>
        </w:rPr>
        <w:t>On October 19, 2021, the Company was informed by the MNRPF that two issues had been identified during a review of the MNRPF by the applicable trustee that would potentially give rise to material additional liabilities for the MNRPF. The MNRPF has indicated that the investigations into these issues remain ongoing, and that further updates will be provided as significant developments arise. Should such additional liabilities require the MNRPF to collect additional funds from participating employers, it is possible that the Company will be invoiced for a portion of such funds and recognize payroll related operating expenses in the periods invoices are received.</w:t>
      </w:r>
    </w:p>
    <w:p>
      <w:pPr>
        <w:spacing w:after="0" w:line="147"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18"/>
          <w:szCs w:val="18"/>
          <w:b w:val="1"/>
          <w:bCs w:val="1"/>
          <w:i w:val="1"/>
          <w:iCs w:val="1"/>
          <w:color w:val="auto"/>
        </w:rPr>
        <w:t>SEACOR Power</w:t>
      </w:r>
      <w:r>
        <w:rPr>
          <w:rFonts w:ascii="Arial" w:cs="Arial" w:eastAsia="Arial" w:hAnsi="Arial"/>
          <w:sz w:val="18"/>
          <w:szCs w:val="18"/>
          <w:color w:val="auto"/>
        </w:rPr>
        <w:t>. On April 13, 2021, the SEACOR Power, a liftboat owned by a subsidiary of the Company with nineteen individuals on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capsized off the coast of Port Fourchon, Louisiana. The incident resulted in the death of several crew members, including the captain of the vessel and five other employees of the Company. The incident also resulted in the constructive total loss of the SEACOR Power. The Company is responsible for the salvage operations related to the vessel and is coordinating these efforts with the USCG. The salvage operations are currently ongoing and the Company expects salvage costs to be covered by insurance proceeds.</w:t>
      </w:r>
    </w:p>
    <w:p>
      <w:pPr>
        <w:spacing w:after="0" w:line="153" w:lineRule="exact"/>
        <w:rPr>
          <w:sz w:val="20"/>
          <w:szCs w:val="20"/>
          <w:color w:val="auto"/>
        </w:rPr>
      </w:pPr>
    </w:p>
    <w:p>
      <w:pPr>
        <w:jc w:val="both"/>
        <w:ind w:firstLine="849"/>
        <w:spacing w:after="0" w:line="289" w:lineRule="auto"/>
        <w:rPr>
          <w:sz w:val="20"/>
          <w:szCs w:val="20"/>
          <w:color w:val="auto"/>
        </w:rPr>
      </w:pPr>
      <w:r>
        <w:rPr>
          <w:rFonts w:ascii="Arial" w:cs="Arial" w:eastAsia="Arial" w:hAnsi="Arial"/>
          <w:sz w:val="16"/>
          <w:szCs w:val="16"/>
          <w:color w:val="auto"/>
        </w:rPr>
        <w:t>The capsizing of the SEACOR Power garnered significant attention from the media as well as local, state and federal politicians. The NTSB and the USCG are currently investigating the incident to determine the cause of the incident and the Company is fully cooperating with the investigations in all respects and continues to gather information about the incident. It is expected that the NTSB and USCG investigations will take a significant period of time to complete, possibly as much as two years or longer. Numerous civil lawsuits have been filed against the Company and other third parties by the family members of deceased crew members and the surviving crew members employed by the Company or by the third parties. On June 2, 2021, the Company filed a Limitation of Liability Act complaint in federal court in the Eastern District of Louisiana (“Limitation Action”), which has the effect of enjoining all existing civil lawsuits and requiring the plaintiffs to file their claims relating to the capsizing of the SEACOR Power in the Limitation Action. There is significant uncertainty in the amount and timing of costs and potential liabilities relating to the incident involving the SEACOR Power, the impact the incident will have on the Company’s reputation and the resulting possible impact on the Company’s business.</w:t>
      </w:r>
    </w:p>
    <w:p>
      <w:pPr>
        <w:spacing w:after="0" w:line="12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In the normal course of its business, the Company becomes involved in various other litigation matters including, among others, claims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0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For a discussion of the Company’s transactions with related parties, see “Note 17. Related Party Transactions” in the audited consolidated financial statements included elsewhere in this Annual Report on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Basis of Consolidation. </w:t>
      </w:r>
      <w:r>
        <w:rPr>
          <w:rFonts w:ascii="Arial" w:cs="Arial" w:eastAsia="Arial" w:hAnsi="Arial"/>
          <w:sz w:val="18"/>
          <w:szCs w:val="18"/>
          <w:color w:val="auto"/>
        </w:rPr>
        <w:t>The consolidated financial statements include the accounts of SEACOR Marine and its controlled subsidiaries.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generally deemed to exist if the Company has greater than 50% of the voting rights of a subsidiary. All significant intercompany accounts and transactions are eliminated in the combination and consolidation.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5" w:name="page66"/>
    <w:bookmarkEnd w:id="65"/>
    <w:p>
      <w:pPr>
        <w:jc w:val="both"/>
        <w:ind w:firstLine="749"/>
        <w:spacing w:after="0" w:line="293" w:lineRule="auto"/>
        <w:rPr>
          <w:sz w:val="20"/>
          <w:szCs w:val="20"/>
          <w:color w:val="auto"/>
        </w:rPr>
      </w:pPr>
      <w:r>
        <w:rPr>
          <w:rFonts w:ascii="Arial" w:cs="Arial" w:eastAsia="Arial" w:hAnsi="Arial"/>
          <w:sz w:val="16"/>
          <w:szCs w:val="16"/>
          <w:color w:val="auto"/>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noncontrolling equity investment in the former controlled subsidiary is measured at fair value and a gain or loss is recognized in net income (loss) based on such fair value. If a subsidiary is consolidated upon the acquisition of controlling interests by the Company, any previous noncontrolled equity investment in the subsidiary is measured at fair value and a gain or loss is recognized in net income (loss) based on such fair value.</w:t>
      </w:r>
    </w:p>
    <w:p>
      <w:pPr>
        <w:spacing w:after="0" w:line="137"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 50% but may control and consolidate the business venture. The Company reports its investments in and advances to these business ventures in the accompanying consolidated balance sheets as investments, at equity, and advances to 50% or less owned companies. The Company reports its share of earnings from investments in 50% or less owned companies in the accompanying consolidated statements of net income (loss) as equity in earnings (losses) of 50% or less owned companies, net of tax.</w:t>
      </w:r>
    </w:p>
    <w:p>
      <w:pPr>
        <w:spacing w:after="0" w:line="12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 accepted in the U.S. requires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include those related to deferred revenues, allowance for credit loss accounts, useful lives of property and equipment, impairments, income tax provisions and certain accrued liabilities. Actual results could differ from estimates and those differences may be material.</w:t>
      </w:r>
    </w:p>
    <w:p>
      <w:pPr>
        <w:spacing w:after="0" w:line="136"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Revenue is recognized when (or as) the Company transfers promised goods or services to its customers in amounts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reflect the consideration to which the Company expects to be entitled to in exchange for those goods or services, which occurs when (or as) the Company satisfies its contractual obligations and transfers over control of the promised goods or services to its customers. The Company recognizes revenue net of sales taxes based on its estimates of the consideration the Company expects to receive. Costs to obtain or fulfill a contract are expensed as incurred.</w:t>
      </w:r>
    </w:p>
    <w:p>
      <w:pPr>
        <w:spacing w:after="0" w:line="13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Company’s lease revenues are primarily from time charters and bareboat charters that are recognized ratably over the lease term as services are provided, typically on a per day basis. Under a time charter, the Company provides a vessel to a customer for a set term and is responsible for all operating expenses, typically excluding fuel. Under a bareboat charter, the Company provides a vessel to a customer for a set term and the customer assumes responsibility.</w:t>
      </w:r>
    </w:p>
    <w:p>
      <w:pPr>
        <w:spacing w:after="0" w:line="146"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The Company also contracts with various customers to carry out management services for vessels as agents for and on behalf of ship owners. These services include crew management, technical management, commercial management, insurance arrangements, sale and purchase of vessels, provisions and bunkering. As the manager of the vessels, the Company undertakes to use its best efforts to provide the agreed management services as agents for and on behalf of the owners in accordance with sound ship management practice and to protect and promote the interest of the owners in all matters relating to the provision of services thereunder. The Company also contracts with various customers to carry out management services regarding engineering for vessel construction and vessel conversions. The vast majority of the ship management agreements span one to three years and are typically billed on a monthly basis. The Company transfers control of the service to the customer and satisfies its performance obligation over the term of the contract, and therefore recognizes revenue over the term of the contract while related costs are expensed as incurred.</w:t>
      </w:r>
    </w:p>
    <w:p>
      <w:pPr>
        <w:spacing w:after="0" w:line="12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b w:val="1"/>
          <w:bCs w:val="1"/>
          <w:i w:val="1"/>
          <w:iCs w:val="1"/>
          <w:color w:val="auto"/>
        </w:rPr>
        <w:t xml:space="preserve">Concentrations of Credit Risk. </w:t>
      </w:r>
      <w:r>
        <w:rPr>
          <w:rFonts w:ascii="Arial" w:cs="Arial" w:eastAsia="Arial" w:hAnsi="Arial"/>
          <w:sz w:val="18"/>
          <w:szCs w:val="18"/>
          <w:color w:val="auto"/>
        </w:rPr>
        <w:t>The Company is exposed to concentrations of credit risk associated with its cash and cash equivalents,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construction reserve funds and derivative instruments. The Company minimizes its credit risk relating to these positions by monitoring the financial condition of the financial institutions and counterparties involved and by primarily conducting business with large, well-established financial institutions and diversifying its counterparties. The Company does not currently anticipate nonperformance by any of its significant counterparties. The Company is also exposed to concentrations of credit risk relating to its receivables due from customers described above. The Company does not generally require collateral or other security to support its outstanding receivables. The Company minimizes its credit risk relating to receivables by performing ongoing credit evaluations and, to date, credit losses have not been material.</w:t>
      </w:r>
    </w:p>
    <w:p>
      <w:pPr>
        <w:spacing w:after="0" w:line="16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b w:val="1"/>
          <w:bCs w:val="1"/>
          <w:i w:val="1"/>
          <w:iCs w:val="1"/>
          <w:color w:val="auto"/>
        </w:rPr>
        <w:t xml:space="preserve">Trade and Other Receivables. </w:t>
      </w:r>
      <w:r>
        <w:rPr>
          <w:rFonts w:ascii="Arial" w:cs="Arial" w:eastAsia="Arial" w:hAnsi="Arial"/>
          <w:sz w:val="17"/>
          <w:szCs w:val="17"/>
          <w:color w:val="auto"/>
        </w:rPr>
        <w:t>Customers are primarily major integrated national and international oil companies and large independent oil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natural gas exploration and production companies. Customers are granted credit on a short-term basis and the related credit risks are minimal. Other receivables consist primarily of operating expenses the Company incurs in relation to vessels it manages for other entities, as well as insurance and income tax receivables. The Company routinely reviews its receivables and makes provisions for the credit losses utilizing the Current Expected Credit Losses model (“CECL”). The CECL model utilizes a lifetime expected credit loss measurement objective for the recognition of credit losses for loans and other receivables at the time the financial asset is originated or acquired. However, those provisions are estimates and actual results may materially differ from those estimates. Trade receivables are deemed uncollectible and are removed from accounts receivable and the allowance for credit losses when collection efforts have been exhausted.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6" w:name="page67"/>
    <w:bookmarkEnd w:id="66"/>
    <w:p>
      <w:pPr>
        <w:jc w:val="both"/>
        <w:ind w:firstLine="749"/>
        <w:spacing w:after="0" w:line="273" w:lineRule="auto"/>
        <w:rPr>
          <w:sz w:val="20"/>
          <w:szCs w:val="20"/>
          <w:color w:val="auto"/>
        </w:rPr>
      </w:pPr>
      <w:r>
        <w:rPr>
          <w:rFonts w:ascii="Arial" w:cs="Arial" w:eastAsia="Arial" w:hAnsi="Arial"/>
          <w:sz w:val="17"/>
          <w:szCs w:val="17"/>
          <w:b w:val="1"/>
          <w:bCs w:val="1"/>
          <w:i w:val="1"/>
          <w:iCs w:val="1"/>
          <w:color w:val="auto"/>
        </w:rPr>
        <w:t xml:space="preserve">Property and Equipment. </w:t>
      </w:r>
      <w:r>
        <w:rPr>
          <w:rFonts w:ascii="Arial" w:cs="Arial" w:eastAsia="Arial" w:hAnsi="Arial"/>
          <w:sz w:val="17"/>
          <w:szCs w:val="17"/>
          <w:color w:val="auto"/>
        </w:rPr>
        <w:t>Equipment, stated at cost, is depreciated using the straight-line method over the estimated useful life of the asset to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estimated salvage value. With respect to each class of asset, the estimated useful life is based upon a newly built asset being placed into service and represents the time period beyond which it is typically not justifiable for the Company to continue to operate the asset in the same or similar manner. From time to time, the Company may acquire older assets that have already exceeded the Company’s useful life policy, in which case the Company depreciates such assets based on its best estimate of remaining useful life, typically the next survey or certification date. As of December 31, 2021, the estimated useful life (in years) of the Company’s new Offshore Support Vessels was 20 years.</w:t>
      </w:r>
    </w:p>
    <w:p>
      <w:pPr>
        <w:spacing w:after="0" w:line="17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equipment as well as major renewals and improvements to other properties are capitalized.</w:t>
      </w:r>
    </w:p>
    <w:p>
      <w:pPr>
        <w:spacing w:after="0" w:line="15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Certain interest costs incurred during the construction of equipment are capitalized as part of the assets’ carrying values and are amortized over such assets’ estimated useful lives.</w:t>
      </w:r>
    </w:p>
    <w:p>
      <w:pPr>
        <w:spacing w:after="0" w:line="130"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b w:val="1"/>
          <w:bCs w:val="1"/>
          <w:i w:val="1"/>
          <w:iCs w:val="1"/>
          <w:color w:val="auto"/>
        </w:rPr>
        <w:t xml:space="preserve">Business Combinations. </w:t>
      </w:r>
      <w:r>
        <w:rPr>
          <w:rFonts w:ascii="Arial" w:cs="Arial" w:eastAsia="Arial" w:hAnsi="Arial"/>
          <w:sz w:val="17"/>
          <w:szCs w:val="17"/>
          <w:color w:val="auto"/>
        </w:rPr>
        <w:t>For acquisitions constituting a business acquisition, the Company recognizes 100% of the fair value of assets acquired,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assumed, and noncontrolling interests when the acquisition constitutes a change in control of the acquired entity. Shares issued in consideration for a business combination, contingent consideration arrangements and pre-acquisition loss and gain contingencies are all measured and recorded at their acquisition-date fair value. Subsequent changes to fair value of contingent consideration arrangements are generally reflected in earnings. Acquisition-related transaction costs are expensed as incurred and any changes in an acquirer’s existing income tax valuation allowances and tax uncertainty accruals are recorded as an adjustment to income tax expense. The operating results of entities acquired are included in the accompanying consolidated statements of income (loss) from the date of acquisition. If an acquisition of an asset or group of assets does not meet the definition of a business, the transaction is accounted for as an asset acquisition. The assets are measured based on their cost to the Company, including transaction costs. The acquisition cost is then allocated to the assets acquired based on their relative fair values.</w:t>
      </w:r>
    </w:p>
    <w:p>
      <w:pPr>
        <w:spacing w:after="0" w:line="14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Deferred income tax assets and liabilities have been provided in recognition of the income tax effect attributable to the book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basis differences of assets and liabilities reported in the accompanying consolidated financial statements. Deferred tax assets or liabilities are provided using the enacted tax rates expected to apply to taxable income in the periods in which they are expected to be settled or realized. Interest and penalties relating to uncertain tax positions are recognized in interest expense and administrative and general, respectively, in the accompanying consolidated statements of loss. The Company records a valuation allowance to reduce its deferred tax assets if it is more likely than not that some portion or all of the deferred tax assets will not be realized.</w:t>
      </w:r>
    </w:p>
    <w:p>
      <w:pPr>
        <w:spacing w:after="0" w:line="165"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The Global Intangible Low Taxed Income (“GILTI”) regime effectively imposes a minimum tax on worldwide foreign earnings and subjects U.S. shareholders of controlled foreign corporations (“CFCs”) to current taxation on certain income earned through a CFC. The Company has made the policy election to record any liability associated with GILTI in the period in which it is incurred.</w:t>
      </w:r>
    </w:p>
    <w:p>
      <w:pPr>
        <w:spacing w:after="0" w:line="14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Prior to 2017, SEACOR Marine was included in the consolidated U.S. federal income tax return of SEACOR Holdings. SEACOR Holdings’ policy for allocation of U.S. federal income taxes required its domestic subsidiaries included in the consolidated U.S. federal income tax return to compute their provision for U.S. federal income taxes on a separate company basis and settle with SEACOR Holdings.</w:t>
      </w:r>
    </w:p>
    <w:p>
      <w:pPr>
        <w:spacing w:after="0" w:line="14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In the normal course of business, the Company or SEACOR Holdings may be subject to challenges from tax authorities regarding the amount of taxes due for the Company. These challenges may alter the timing or amount of taxable income or deductions. As part of the calculation of income tax expense, the Company determines whether the benefits of its tax positions are at least more likely than not of being sustained based on the technical merits of the tax position. For tax positions that are more likely than not of being sustained, the Company accrues the largest amount of the tax benefit that is more likely than not of being sustained. Such accruals require management to make estimates and judgments with respect to the ultimate outcome of its tax benefits and actual results could vary materially from these estimates.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0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b w:val="1"/>
          <w:bCs w:val="1"/>
          <w:i w:val="1"/>
          <w:iCs w:val="1"/>
          <w:color w:val="auto"/>
        </w:rPr>
        <w:t xml:space="preserve">Derivative Instruments. </w:t>
      </w:r>
      <w:r>
        <w:rPr>
          <w:rFonts w:ascii="Arial" w:cs="Arial" w:eastAsia="Arial" w:hAnsi="Arial"/>
          <w:sz w:val="16"/>
          <w:szCs w:val="16"/>
          <w:color w:val="auto"/>
        </w:rPr>
        <w:t>The Company accounts for derivatives through the use of a fair value concept whereby all of the Company’s derivative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are stated at fair value in the accompanying consolidated balance sheets. Realized and unrealized gains and losses on derivatives not designated as hedges are reported in the accompanying consolidated statements of loss as derivative gains (losses), net. Realized and unrealized gains and losses on derivatives designated as fair value hedges are recognized as corresponding increases or decreases in the fair value of the underlying hedged item to the extent they are effective, with any ineffective portion reported in the accompanying consolidated statements of loss as derivative gains (losses), net. Realized and unrealized gains and losses on derivatives designated as cash flow hedges are reported as a component of other comprehensive loss in the accompanying consolidated statements of comprehensive loss to the extent they are effective and reclassified into earnings on the same line item associated with the hedged transaction and in the same period the hedged transaction affects earnings. Any ineffective portions of cash flow hedges are reported in the accompanying consolidated statements of loss as derivative gains (losses), net. Realized and unrealized gains and losses on derivatives designated as cash flow hedges that are entered into by the Company’s 50% or less owned companies are also reported as a component of the Company’s other comprehensive loss in proportion to the Company’s ownership percentage, with reclassifications and ineffective portions being included in equity in earnings (losses) of 50% or less owned companies, net of tax, in the accompanying consolidated statements of loss.</w:t>
      </w:r>
    </w:p>
    <w:p>
      <w:pPr>
        <w:spacing w:after="0" w:line="127"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b w:val="1"/>
          <w:bCs w:val="1"/>
          <w:i w:val="1"/>
          <w:iCs w:val="1"/>
          <w:color w:val="auto"/>
        </w:rPr>
        <w:t xml:space="preserve">Impairment of Long-Lived Assets. </w:t>
      </w:r>
      <w:r>
        <w:rPr>
          <w:rFonts w:ascii="Arial" w:cs="Arial" w:eastAsia="Arial" w:hAnsi="Arial"/>
          <w:sz w:val="17"/>
          <w:szCs w:val="17"/>
          <w:color w:val="auto"/>
        </w:rPr>
        <w:t>The Company performs an impairment analysis of long-lived assets used in operations, including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their estimated future undiscounted cash flows, the estimated fair value of the assets or asset groups are compared to their current carrying values and impairment charges are recorded if the carrying value exceeds fair value. However, the Company’s estimates of future undiscounted cash flows are highly subjective as utilization and rates per day worked are uncertain, especially in light of the continued volatility in commodity prices and the effect COVID-19 has had on the timing of an estimated market recovery in the offshore oil and natural gas markets and upon any such recovery, the timing and cost of reactivating cold-stacked vessels. If market conditions decline further, changes in the Company’s expectations on future cash flows may result in recognizing additional impairment charges related to its long-lived assets in future periods.</w:t>
      </w:r>
    </w:p>
    <w:p>
      <w:pPr>
        <w:spacing w:after="0" w:line="141"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b w:val="1"/>
          <w:bCs w:val="1"/>
          <w:i w:val="1"/>
          <w:iCs w:val="1"/>
          <w:color w:val="auto"/>
        </w:rPr>
        <w:t xml:space="preserve">Impairment of 50% or Less Owned Companies. </w:t>
      </w:r>
      <w:r>
        <w:rPr>
          <w:rFonts w:ascii="Arial" w:cs="Arial" w:eastAsia="Arial" w:hAnsi="Arial"/>
          <w:sz w:val="17"/>
          <w:szCs w:val="17"/>
          <w:color w:val="auto"/>
        </w:rPr>
        <w:t>Investments in 50% or less owned companies are reviewed periodically to assess whether there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8" w:name="page69"/>
    <w:bookmarkEnd w:id="68"/>
    <w:p>
      <w:pPr>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On occasion, the Company enters and settles forward currency exchange, option and future contracts with respect to various foreign currencies that are not designated as fair value hedges. These contracts enable the Company to buy currencies in the future at fixed exchange rates, which could offset possible consequences of changes in foreign exchange rates with respect to the Company’s business conducted in Europe, Africa, Latin America, the Middle East and Asia. The Company generally does not enter into contracts with forward settlement dates beyond twelve to eighteen months. As of December 31, 2020 the Company had a foreign currency forward contract from which we recorded a loss of $0.9 million related to a £31.5 million swap that settled on January 12, 2021.</w:t>
      </w:r>
    </w:p>
    <w:p>
      <w:pPr>
        <w:spacing w:after="0" w:line="165"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The Company’s outstanding debt from continuing operations is primarily in fixed interest rate instruments or variable interest rate instruments that have been fixed through corresponding interest rate swaps. As a result, the Company’s operations are not significantly affected by interest rate fluctuations. As of December 31, 2021 the Company had outstanding variable rate debt instruments (due 2022 through 2029) subject to interest rate fluctuations totaling $171.8 million that call for the Company to pay interest based on LIBOR plus applicable margins. The interest rates reset either monthly or quarterly. As of December 31, 2021 the average interest rate on these variable rate borrowings was 4.3%. For each 1% increase in the applicable LIBOR rate, the Company’s annual interest payments on the non-hedged portion of the facility would increase by approximately $1.7 million.</w:t>
      </w:r>
    </w:p>
    <w:p>
      <w:pPr>
        <w:spacing w:after="0" w:line="12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consolidated financial statements and related notes are included in Part IV of this Annual Report on Form 10-K and incorporated herein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With the participation of the Company’s principal executive officer and principal financial officer, management evaluated the effectiveness of the Company’s disclosure controls and procedures (as defined in Rules 13a-15(e) and 15d-15(e) under the Exchange Act, as of December 31, 2021. Based on their evaluation, the Company’s principal executive officer and principal financial officer concluded that the Company’s disclosure controls and procedures were effective as of December 31, 2021 to provide reasonable assurance that information required to be disclosed by the Company in reports filed or submitted under the Exchange Act is (i) recorded, processed, summarized and reported within the time periods specified in the Securities and Exchange Commission's rules and forms and (ii) accumulated and communicated to the Company's management, including its Chief Executive Officer and Chief Financial Officer, as appropriate to allow timely decisions regarding required disclosure.</w:t>
      </w:r>
    </w:p>
    <w:p>
      <w:pPr>
        <w:spacing w:after="0" w:line="137"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The Company’s disclosure controls and procedures have been designed to ensure that information required to be disclosed by the Company in the reports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the Company in the reports it files or submits under the Exchange Act is accumulated and communicated to the Company’s management, including its principal executive and principal financial officers,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02"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Management of the Company is responsible for establishing and maintaining adequate internal control over financial reporting (as such term is defined in Rule 13a-15(f) and 15d-15(f) under the Exchange Act).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in the U.S.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6"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Internal control over financial reporting is designed to provide reasonable assurance to the Company’s management and Board of Directors regarding the preparation of reliable financial statements for external purposes in accordance with generally accepted accounting principles in the U.S. Because of the inherent limitations in any internal control system, no matter how well designed, misstatements may occur and not be prevented or detected. Accordingly, even effective internal control over financial reporting can provide only reasonable assurance with respect to financial statement preparation.</w:t>
      </w:r>
    </w:p>
    <w:p>
      <w:pPr>
        <w:spacing w:after="0" w:line="11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Management conducted an evaluation of the effectiveness of the Company’s system of internal control over financial reporting as of December 31, 2021 based on the updated framework set forth in “Internal Control-Integrated Framework” issued by the Committee of Sponsoring Organizations of the Treadway Commission (2013 framework). Based on its evaluation, management concluded that, as of December 31, 2021, the Company’s internal control over financial reporting was effective.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There have been no changes in the Company’s internal control over financial reporting (as defined in Rule 13a-15(f) and 15d-15(f) under the Exchange Act) that occurred during the quarter ended December 31, 2021 that have materially affected, or are reasonably likely to materially affect, the Company’s internal control over financial reporting.</w:t>
      </w:r>
    </w:p>
    <w:p>
      <w:pPr>
        <w:spacing w:after="0" w:line="13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89" w:lineRule="exact"/>
        <w:rPr>
          <w:sz w:val="20"/>
          <w:szCs w:val="20"/>
          <w:color w:val="auto"/>
        </w:rPr>
      </w:pPr>
    </w:p>
    <w:p>
      <w:pPr>
        <w:jc w:val="both"/>
        <w:ind w:right="20" w:firstLine="749"/>
        <w:spacing w:after="0" w:line="308" w:lineRule="auto"/>
        <w:rPr>
          <w:sz w:val="20"/>
          <w:szCs w:val="20"/>
          <w:color w:val="auto"/>
        </w:rPr>
      </w:pPr>
      <w:r>
        <w:rPr>
          <w:rFonts w:ascii="Arial" w:cs="Arial" w:eastAsia="Arial" w:hAnsi="Arial"/>
          <w:sz w:val="17"/>
          <w:szCs w:val="17"/>
          <w:color w:val="auto"/>
        </w:rPr>
        <w:t>The information required to be disclosed pursuant to this Item 10 is incorporated in its entirety herein by reference to the Company’s definitive proxy statement to be filed with the Commission pursuant to Regulation 14A within 120 days after the end of the Company’s last fiscal year.</w:t>
      </w:r>
    </w:p>
    <w:p>
      <w:pPr>
        <w:spacing w:after="0" w:line="11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b w:val="1"/>
          <w:bCs w:val="1"/>
          <w:i w:val="1"/>
          <w:iCs w:val="1"/>
          <w:color w:val="auto"/>
        </w:rPr>
        <w:t xml:space="preserve">NYSE Annual Certification. </w:t>
      </w:r>
      <w:r>
        <w:rPr>
          <w:rFonts w:ascii="Arial" w:cs="Arial" w:eastAsia="Arial" w:hAnsi="Arial"/>
          <w:sz w:val="18"/>
          <w:szCs w:val="18"/>
          <w:color w:val="auto"/>
        </w:rPr>
        <w:t>The Chief Executive Officer of the Company has previously submitted to the NYSE the annual certification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required by Section 303A.12(a) of the NYSE Listed Company Manual, and there were no qualifications to such certification. SEACOR Marine has filed the certifications of its Chief Executive Officer and Chief Financial Officer required by Section 302 of the Sarbanes-Oxley Act of 2002 with the SEC as exhibits to this Form 10-K.</w:t>
      </w:r>
    </w:p>
    <w:p>
      <w:pPr>
        <w:spacing w:after="0" w:line="14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8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The information required to be disclosed pursuant to this Item 11 is incorporated in its entirety herein by reference to the “Compensation Disclosure and Analysis” and “Information Relating to the Board of Directors and Committees Thereof” portions of the Company’s definitive proxy statement to be filed with the Commission pursuant to Regulation 14A within 120 days after the end of the Company’s last fiscal year.</w:t>
      </w:r>
    </w:p>
    <w:p>
      <w:pPr>
        <w:spacing w:after="0" w:line="121" w:lineRule="exact"/>
        <w:rPr>
          <w:sz w:val="20"/>
          <w:szCs w:val="20"/>
          <w:color w:val="auto"/>
        </w:rPr>
      </w:pPr>
    </w:p>
    <w:p>
      <w:pPr>
        <w:jc w:val="both"/>
        <w:ind w:left="1020" w:hanging="1011"/>
        <w:spacing w:after="0" w:line="282" w:lineRule="auto"/>
        <w:tabs>
          <w:tab w:leader="none" w:pos="10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2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information required to be disclosed pursuant to this Item 12 is incorporated in its entirety herein by reference to the “Security Ownership of Certain Beneficial Owners and Management” portion of the Company’s definitive proxy statement to be filed with the Commission pursuant to Regulation 14A within 120 days after the end of the Company’s last fiscal year.</w:t>
      </w:r>
    </w:p>
    <w:p>
      <w:pPr>
        <w:spacing w:after="0" w:line="15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8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information required to be disclosed pursuant to this Item 13 is incorporated in its entirety herein by reference to the “Certain Relationships and Related Transactions” portion of the Company’s definitive proxy statement to be filed with the Commission pursuant to Regulation 14A within 120 days after the end of the Company’s last fiscal year.</w:t>
      </w:r>
    </w:p>
    <w:p>
      <w:pPr>
        <w:spacing w:after="0" w:line="13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8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information required to be disclosed pursuant to this Item 14 is incorporated in its entirety herein by reference to the “Ratification or Appointment of Independent Auditors” portion of the Company’s definitive proxy statement to be filed with the Commission pursuant to Regulation 14A within 120 days after the end of the Company’s last fiscal year.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89" w:lineRule="exact"/>
        <w:rPr>
          <w:sz w:val="20"/>
          <w:szCs w:val="20"/>
          <w:color w:val="auto"/>
        </w:rPr>
      </w:pPr>
    </w:p>
    <w:p>
      <w:pPr>
        <w:ind w:left="380" w:hanging="372"/>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184" w:lineRule="exact"/>
        <w:rPr>
          <w:rFonts w:ascii="Arial" w:cs="Arial" w:eastAsia="Arial" w:hAnsi="Arial"/>
          <w:sz w:val="18"/>
          <w:szCs w:val="18"/>
          <w:color w:val="auto"/>
        </w:rPr>
      </w:pPr>
    </w:p>
    <w:p>
      <w:pPr>
        <w:ind w:left="940" w:hanging="183"/>
        <w:spacing w:after="0"/>
        <w:tabs>
          <w:tab w:leader="none" w:pos="940" w:val="left"/>
        </w:tabs>
        <w:numPr>
          <w:ilvl w:val="1"/>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Financial Statements and Financial Statement Schedules </w:t>
      </w:r>
      <w:r>
        <w:rPr>
          <w:rFonts w:ascii="Arial" w:cs="Arial" w:eastAsia="Arial" w:hAnsi="Arial"/>
          <w:sz w:val="17"/>
          <w:szCs w:val="17"/>
          <w:color w:val="auto"/>
        </w:rPr>
        <w:t>- See Index to Financial Statements of this Annual Report on Form 10-K.</w:t>
      </w:r>
    </w:p>
    <w:p>
      <w:pPr>
        <w:spacing w:after="0" w:line="209" w:lineRule="exact"/>
        <w:rPr>
          <w:rFonts w:ascii="Arial" w:cs="Arial" w:eastAsia="Arial" w:hAnsi="Arial"/>
          <w:sz w:val="17"/>
          <w:szCs w:val="17"/>
          <w:color w:val="auto"/>
        </w:rPr>
      </w:pPr>
    </w:p>
    <w:p>
      <w:pPr>
        <w:ind w:left="940" w:hanging="183"/>
        <w:spacing w:after="0"/>
        <w:tabs>
          <w:tab w:leader="none" w:pos="940" w:val="left"/>
        </w:tabs>
        <w:numPr>
          <w:ilvl w:val="1"/>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60" w:type="dxa"/>
            <w:vAlign w:val="bottom"/>
            <w:gridSpan w:val="8"/>
          </w:tcPr>
          <w:p>
            <w:pPr>
              <w:ind w:left="1540"/>
              <w:spacing w:after="0"/>
              <w:rPr>
                <w:sz w:val="20"/>
                <w:szCs w:val="20"/>
                <w:color w:val="auto"/>
              </w:rPr>
            </w:pPr>
            <w:r>
              <w:rPr>
                <w:rFonts w:ascii="Arial" w:cs="Arial" w:eastAsia="Arial" w:hAnsi="Arial"/>
                <w:sz w:val="18"/>
                <w:szCs w:val="18"/>
                <w:b w:val="1"/>
                <w:bCs w:val="1"/>
                <w:color w:val="auto"/>
              </w:rPr>
              <w:t>Description</w:t>
            </w:r>
          </w:p>
        </w:tc>
      </w:tr>
      <w:tr>
        <w:trPr>
          <w:trHeight w:val="290"/>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4"/>
                <w:szCs w:val="24"/>
                <w:color w:val="auto"/>
              </w:rPr>
            </w:pPr>
          </w:p>
        </w:tc>
        <w:tc>
          <w:tcPr>
            <w:tcW w:w="10160" w:type="dxa"/>
            <w:vAlign w:val="bottom"/>
            <w:tcBorders>
              <w:top w:val="single" w:sz="8" w:color="auto"/>
            </w:tcBorders>
            <w:gridSpan w:val="14"/>
          </w:tcPr>
          <w:p>
            <w:pPr>
              <w:spacing w:after="0"/>
              <w:rPr>
                <w:rFonts w:ascii="Arial" w:cs="Arial" w:eastAsia="Arial" w:hAnsi="Arial"/>
                <w:sz w:val="18"/>
                <w:szCs w:val="18"/>
                <w:color w:val="0000EE"/>
              </w:rPr>
            </w:pPr>
            <w:hyperlink r:id="rId92">
              <w:r>
                <w:rPr>
                  <w:rFonts w:ascii="Arial" w:cs="Arial" w:eastAsia="Arial" w:hAnsi="Arial"/>
                  <w:sz w:val="18"/>
                  <w:szCs w:val="18"/>
                  <w:color w:val="0000EE"/>
                </w:rPr>
                <w:t>Distribution Agreement, dated as of May 10, 2017, by and between SEACOR Holdings Inc. and SEACOR Marine Holdings Inc.</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4"/>
          </w:tcPr>
          <w:p>
            <w:pPr>
              <w:spacing w:after="0" w:line="196" w:lineRule="exact"/>
              <w:rPr>
                <w:rFonts w:ascii="Arial" w:cs="Arial" w:eastAsia="Arial" w:hAnsi="Arial"/>
                <w:sz w:val="18"/>
                <w:szCs w:val="18"/>
                <w:color w:val="0000EE"/>
                <w:w w:val="94"/>
              </w:rPr>
            </w:pPr>
            <w:hyperlink r:id="rId92">
              <w:r>
                <w:rPr>
                  <w:rFonts w:ascii="Arial" w:cs="Arial" w:eastAsia="Arial" w:hAnsi="Arial"/>
                  <w:sz w:val="18"/>
                  <w:szCs w:val="18"/>
                  <w:color w:val="0000EE"/>
                  <w:w w:val="94"/>
                </w:rPr>
                <w:t>(incorporated herein by reference to Exhibit 10.1 of SEACOR Holdings Inc.’s Current Report on Form 8-K filed with the Commission on</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May 12, 2017 (File No. 001-12289)).</w:t>
              </w:r>
            </w:hyperlink>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4"/>
                <w:szCs w:val="24"/>
                <w:color w:val="auto"/>
              </w:rPr>
            </w:pPr>
          </w:p>
        </w:tc>
        <w:tc>
          <w:tcPr>
            <w:tcW w:w="10160" w:type="dxa"/>
            <w:vAlign w:val="bottom"/>
            <w:gridSpan w:val="14"/>
          </w:tcPr>
          <w:p>
            <w:pPr>
              <w:spacing w:after="0"/>
              <w:rPr>
                <w:rFonts w:ascii="Arial" w:cs="Arial" w:eastAsia="Arial" w:hAnsi="Arial"/>
                <w:sz w:val="18"/>
                <w:szCs w:val="18"/>
                <w:color w:val="0000EE"/>
                <w:w w:val="93"/>
              </w:rPr>
            </w:pPr>
            <w:hyperlink r:id="rId93">
              <w:r>
                <w:rPr>
                  <w:rFonts w:ascii="Arial" w:cs="Arial" w:eastAsia="Arial" w:hAnsi="Arial"/>
                  <w:sz w:val="18"/>
                  <w:szCs w:val="18"/>
                  <w:color w:val="0000EE"/>
                  <w:w w:val="93"/>
                </w:rPr>
                <w:t>Merger Agreement, dated December 22, 2021, among SEACOR Marine Holdings Inc., SEACOR Offshore OSV LLC and SEACOR OSV</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4"/>
          </w:tcPr>
          <w:p>
            <w:pPr>
              <w:spacing w:after="0" w:line="196" w:lineRule="exact"/>
              <w:rPr>
                <w:rFonts w:ascii="Arial" w:cs="Arial" w:eastAsia="Arial" w:hAnsi="Arial"/>
                <w:sz w:val="18"/>
                <w:szCs w:val="18"/>
                <w:color w:val="0000EE"/>
                <w:w w:val="94"/>
              </w:rPr>
            </w:pPr>
            <w:hyperlink r:id="rId93">
              <w:r>
                <w:rPr>
                  <w:rFonts w:ascii="Arial" w:cs="Arial" w:eastAsia="Arial" w:hAnsi="Arial"/>
                  <w:sz w:val="18"/>
                  <w:szCs w:val="18"/>
                  <w:color w:val="0000EE"/>
                  <w:w w:val="94"/>
                </w:rPr>
                <w:t>Partners I LP (incorporated herein by reference to Exhibit 2.1 of SEACOR Marine Holding Inc.’s Form 8-K filed with the Commission on</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December 22, 2022 (File No. 001-37966)).</w:t>
              </w:r>
            </w:hyperlink>
          </w:p>
        </w:tc>
        <w:tc>
          <w:tcPr>
            <w:tcW w:w="704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10160" w:type="dxa"/>
            <w:vAlign w:val="bottom"/>
            <w:gridSpan w:val="14"/>
          </w:tcPr>
          <w:p>
            <w:pPr>
              <w:spacing w:after="0"/>
              <w:rPr>
                <w:rFonts w:ascii="Arial" w:cs="Arial" w:eastAsia="Arial" w:hAnsi="Arial"/>
                <w:sz w:val="18"/>
                <w:szCs w:val="18"/>
                <w:color w:val="0000EE"/>
                <w:w w:val="93"/>
              </w:rPr>
            </w:pPr>
            <w:hyperlink r:id="rId94">
              <w:r>
                <w:rPr>
                  <w:rFonts w:ascii="Arial" w:cs="Arial" w:eastAsia="Arial" w:hAnsi="Arial"/>
                  <w:sz w:val="18"/>
                  <w:szCs w:val="18"/>
                  <w:color w:val="0000EE"/>
                  <w:w w:val="93"/>
                </w:rPr>
                <w:t>Third Amended and Restated Articles of Incorporation of SEACOR Marine Holdings Inc. (incorporated herein by reference to Exhibit 10.1</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of SEACOR Marine Holdings Inc.’s Quarterly Report on Form 10-Q filed with the Commission on August 7, 2019 (File No. 001-37966)).</w:t>
              </w:r>
            </w:hyperlink>
          </w:p>
        </w:tc>
        <w:tc>
          <w:tcPr>
            <w:tcW w:w="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0160" w:type="dxa"/>
            <w:vAlign w:val="bottom"/>
            <w:gridSpan w:val="14"/>
          </w:tcPr>
          <w:p>
            <w:pPr>
              <w:spacing w:after="0"/>
              <w:rPr>
                <w:rFonts w:ascii="Arial" w:cs="Arial" w:eastAsia="Arial" w:hAnsi="Arial"/>
                <w:sz w:val="18"/>
                <w:szCs w:val="18"/>
                <w:color w:val="0000EE"/>
                <w:w w:val="96"/>
              </w:rPr>
            </w:pPr>
            <w:hyperlink r:id="rId95">
              <w:r>
                <w:rPr>
                  <w:rFonts w:ascii="Arial" w:cs="Arial" w:eastAsia="Arial" w:hAnsi="Arial"/>
                  <w:sz w:val="18"/>
                  <w:szCs w:val="18"/>
                  <w:color w:val="0000EE"/>
                  <w:w w:val="96"/>
                </w:rPr>
                <w:t>Third Amended and Restated Bylaws of SEACOR Marine Holdings Inc. (incorporated herein by reference to Exhibit 3.1 of SEACOR</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Marine Holdings Inc.’s Current Report on Form 8-K filed with the Commission on March 19, 2019 (File No. 001-37966).</w:t>
              </w:r>
            </w:hyperlink>
          </w:p>
        </w:tc>
        <w:tc>
          <w:tcPr>
            <w:tcW w:w="136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10160" w:type="dxa"/>
            <w:vAlign w:val="bottom"/>
            <w:gridSpan w:val="14"/>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Note Purchase Agreement dated as of November 30, 2015, by and among SEACOR Marine Holdings Inc. and the Purchasers identified on</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4"/>
          </w:tcPr>
          <w:p>
            <w:pPr>
              <w:spacing w:after="0" w:line="196" w:lineRule="exact"/>
              <w:rPr>
                <w:rFonts w:ascii="Arial" w:cs="Arial" w:eastAsia="Arial" w:hAnsi="Arial"/>
                <w:sz w:val="18"/>
                <w:szCs w:val="18"/>
                <w:color w:val="0000EE"/>
                <w:w w:val="94"/>
              </w:rPr>
            </w:pPr>
            <w:hyperlink r:id="rId96">
              <w:r>
                <w:rPr>
                  <w:rFonts w:ascii="Arial" w:cs="Arial" w:eastAsia="Arial" w:hAnsi="Arial"/>
                  <w:sz w:val="18"/>
                  <w:szCs w:val="18"/>
                  <w:color w:val="0000EE"/>
                  <w:w w:val="94"/>
                </w:rPr>
                <w:t>Schedule A thereto (including therein the form of SEACOR Marine Holdings Inc. 3.75% Convertible Senior Notes due 2022 (the “3.75%</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4"/>
          </w:tcPr>
          <w:p>
            <w:pPr>
              <w:spacing w:after="0" w:line="196" w:lineRule="exact"/>
              <w:rPr>
                <w:rFonts w:ascii="Arial" w:cs="Arial" w:eastAsia="Arial" w:hAnsi="Arial"/>
                <w:sz w:val="18"/>
                <w:szCs w:val="18"/>
                <w:color w:val="0000EE"/>
                <w:w w:val="93"/>
              </w:rPr>
            </w:pPr>
            <w:hyperlink r:id="rId96">
              <w:r>
                <w:rPr>
                  <w:rFonts w:ascii="Arial" w:cs="Arial" w:eastAsia="Arial" w:hAnsi="Arial"/>
                  <w:sz w:val="18"/>
                  <w:szCs w:val="18"/>
                  <w:color w:val="0000EE"/>
                  <w:w w:val="93"/>
                </w:rPr>
                <w:t>Convertible Senior Notes”)) (incorporated herein by reference to Exhibit 4.4 of SEACOR Holdings Inc.’s Annual Report on Form 10-K for</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the fiscal year ended December 31, 2015 filed with the Commission on February 29, 2016 (File No. 001-112289)).</w:t>
              </w:r>
            </w:hyperlink>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10160" w:type="dxa"/>
            <w:vAlign w:val="bottom"/>
            <w:gridSpan w:val="14"/>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Amendment No. 1 dated March 3, 2017 to the Note Purchase Agreement dated as of November 30, 2015, by and among SEACOR Marine</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4"/>
          </w:tcPr>
          <w:p>
            <w:pPr>
              <w:spacing w:after="0" w:line="196" w:lineRule="exact"/>
              <w:rPr>
                <w:rFonts w:ascii="Arial" w:cs="Arial" w:eastAsia="Arial" w:hAnsi="Arial"/>
                <w:sz w:val="18"/>
                <w:szCs w:val="18"/>
                <w:color w:val="0000EE"/>
                <w:w w:val="94"/>
              </w:rPr>
            </w:pPr>
            <w:hyperlink r:id="rId97">
              <w:r>
                <w:rPr>
                  <w:rFonts w:ascii="Arial" w:cs="Arial" w:eastAsia="Arial" w:hAnsi="Arial"/>
                  <w:sz w:val="18"/>
                  <w:szCs w:val="18"/>
                  <w:color w:val="0000EE"/>
                  <w:w w:val="94"/>
                </w:rPr>
                <w:t>Holdings Inc. and the Purchasers of the 3.75% Subsidiary Convertible Senior Notes (incorporated herein by reference to Exhibit 10.1 of</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SEACOR Holdings Inc.’s Current Report on Form 8-K filed with the Commission on March 3, 2017 (File No. 001-112289)).</w:t>
              </w:r>
            </w:hyperlink>
          </w:p>
        </w:tc>
        <w:tc>
          <w:tcPr>
            <w:tcW w:w="112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10160" w:type="dxa"/>
            <w:vAlign w:val="bottom"/>
            <w:gridSpan w:val="14"/>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Investment Agreement dated November 30, 2015, by and among SEACOR Holdings Inc., SEACOR Marine Holdings Inc. and the Investors</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374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98">
              <w:r>
                <w:rPr>
                  <w:rFonts w:ascii="Arial" w:cs="Arial" w:eastAsia="Arial" w:hAnsi="Arial"/>
                  <w:sz w:val="18"/>
                  <w:szCs w:val="18"/>
                  <w:color w:val="0000EE"/>
                  <w:w w:val="94"/>
                </w:rPr>
                <w:t>named therein (the “Investment Agreement”) (incorporated herein by reference to Exhibit 4.5 of SEACOR Holdings Inc.’s Annual Report</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on Form 10-K for the fiscal year ended December 31, 2015 filed with the Commission on February 29, 2016 (File No. 001-112289)).</w:t>
              </w:r>
            </w:hyperlink>
          </w:p>
        </w:tc>
        <w:tc>
          <w:tcPr>
            <w:tcW w:w="560" w:type="dxa"/>
            <w:vAlign w:val="bottom"/>
            <w:gridSpan w:val="3"/>
          </w:tcPr>
          <w:p>
            <w:pPr>
              <w:spacing w:after="0"/>
              <w:rPr>
                <w:sz w:val="17"/>
                <w:szCs w:val="17"/>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10160" w:type="dxa"/>
            <w:vAlign w:val="bottom"/>
            <w:tcBorders>
              <w:bottom w:val="single" w:sz="8" w:color="0000EE"/>
            </w:tcBorders>
            <w:gridSpan w:val="14"/>
          </w:tcPr>
          <w:p>
            <w:pPr>
              <w:spacing w:after="0"/>
              <w:rPr>
                <w:rFonts w:ascii="Arial" w:cs="Arial" w:eastAsia="Arial" w:hAnsi="Arial"/>
                <w:sz w:val="18"/>
                <w:szCs w:val="18"/>
                <w:color w:val="0000EE"/>
                <w:w w:val="94"/>
              </w:rPr>
            </w:pPr>
            <w:hyperlink r:id="rId99">
              <w:r>
                <w:rPr>
                  <w:rFonts w:ascii="Arial" w:cs="Arial" w:eastAsia="Arial" w:hAnsi="Arial"/>
                  <w:sz w:val="18"/>
                  <w:szCs w:val="18"/>
                  <w:color w:val="0000EE"/>
                  <w:w w:val="94"/>
                </w:rPr>
                <w:t>Registration Rights Agreement dated November 30, 2015, by and among SEACOR Marine Holdings Inc. and the holders of the 3.75%</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4"/>
          </w:tcPr>
          <w:p>
            <w:pPr>
              <w:spacing w:after="0" w:line="196" w:lineRule="exact"/>
              <w:rPr>
                <w:rFonts w:ascii="Arial" w:cs="Arial" w:eastAsia="Arial" w:hAnsi="Arial"/>
                <w:sz w:val="18"/>
                <w:szCs w:val="18"/>
                <w:color w:val="0000EE"/>
                <w:w w:val="96"/>
              </w:rPr>
            </w:pPr>
            <w:hyperlink r:id="rId99">
              <w:r>
                <w:rPr>
                  <w:rFonts w:ascii="Arial" w:cs="Arial" w:eastAsia="Arial" w:hAnsi="Arial"/>
                  <w:sz w:val="18"/>
                  <w:szCs w:val="18"/>
                  <w:color w:val="0000EE"/>
                  <w:w w:val="96"/>
                </w:rPr>
                <w:t>Convertible Senior Notes from time-to-time party thereto (incorporated herein by reference to Exhibit 4.7 of SEACOR Holdings Inc.’s</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428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Annual Report on Form 10-K for the fiscal year ended December 31, 2015 filed with the Commission on February 29, 2016 (File No. 001-</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99">
              <w:r>
                <w:rPr>
                  <w:rFonts w:ascii="Arial" w:cs="Arial" w:eastAsia="Arial" w:hAnsi="Arial"/>
                  <w:sz w:val="18"/>
                  <w:szCs w:val="18"/>
                  <w:color w:val="0000EE"/>
                  <w:w w:val="88"/>
                </w:rPr>
                <w:t>112289)</w:t>
              </w:r>
              <w:r>
                <w:rPr>
                  <w:rFonts w:ascii="Arial" w:cs="Arial" w:eastAsia="Arial" w:hAnsi="Arial"/>
                  <w:sz w:val="18"/>
                  <w:szCs w:val="18"/>
                  <w:u w:val="single" w:color="auto"/>
                  <w:color w:val="0000EE"/>
                  <w:w w:val="88"/>
                </w:rPr>
                <w:t>)</w:t>
              </w:r>
              <w:r>
                <w:rPr>
                  <w:rFonts w:ascii="Arial" w:cs="Arial" w:eastAsia="Arial" w:hAnsi="Arial"/>
                  <w:sz w:val="18"/>
                  <w:szCs w:val="18"/>
                  <w:color w:val="0000EE"/>
                  <w:w w:val="88"/>
                </w:rPr>
                <w:t>.</w:t>
              </w:r>
            </w:hyperlink>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4"/>
                <w:szCs w:val="24"/>
                <w:color w:val="auto"/>
              </w:rPr>
            </w:pPr>
          </w:p>
        </w:tc>
        <w:tc>
          <w:tcPr>
            <w:tcW w:w="10160" w:type="dxa"/>
            <w:vAlign w:val="bottom"/>
            <w:tcBorders>
              <w:bottom w:val="single" w:sz="8" w:color="0000EE"/>
            </w:tcBorders>
            <w:gridSpan w:val="14"/>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Registration Rights Agreement, dated as of January 9, 2019 by and among SEACOR Marine Holdings, Inc., McCall Properties, LLC and the</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4"/>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Members of the Sellers listed therein (incorporated herein by reference to Exhibit 4.1 of SEACOR Marine Holdings Inc.’s Current Report on</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Form 8-K filed with the Commission on January 11, 2010 (File No. 001-37966)).</w:t>
              </w:r>
            </w:hyperlink>
          </w:p>
        </w:tc>
        <w:tc>
          <w:tcPr>
            <w:tcW w:w="428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317"/>
        </w:trPr>
        <w:tc>
          <w:tcPr>
            <w:tcW w:w="1000" w:type="dxa"/>
            <w:vAlign w:val="bottom"/>
          </w:tcPr>
          <w:p>
            <w:pPr>
              <w:ind w:left="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4"/>
                <w:szCs w:val="24"/>
                <w:color w:val="auto"/>
              </w:rPr>
            </w:pPr>
          </w:p>
        </w:tc>
        <w:tc>
          <w:tcPr>
            <w:tcW w:w="10160" w:type="dxa"/>
            <w:vAlign w:val="bottom"/>
            <w:gridSpan w:val="14"/>
          </w:tcPr>
          <w:p>
            <w:pPr>
              <w:spacing w:after="0"/>
              <w:rPr>
                <w:rFonts w:ascii="Arial" w:cs="Arial" w:eastAsia="Arial" w:hAnsi="Arial"/>
                <w:sz w:val="18"/>
                <w:szCs w:val="18"/>
                <w:color w:val="0000EE"/>
                <w:w w:val="92"/>
              </w:rPr>
            </w:pPr>
            <w:hyperlink r:id="rId101">
              <w:r>
                <w:rPr>
                  <w:rFonts w:ascii="Arial" w:cs="Arial" w:eastAsia="Arial" w:hAnsi="Arial"/>
                  <w:sz w:val="18"/>
                  <w:szCs w:val="18"/>
                  <w:color w:val="0000EE"/>
                  <w:w w:val="92"/>
                </w:rPr>
                <w:t>Warrant, originally issued by SEACOR Marine Holdings Inc., to CEOF II Coinvestment B (DE), L.P., on May 2, 2018, (incorporated herein</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r:id="rId101">
              <w:r>
                <w:rPr>
                  <w:rFonts w:ascii="Arial" w:cs="Arial" w:eastAsia="Arial" w:hAnsi="Arial"/>
                  <w:sz w:val="18"/>
                  <w:szCs w:val="18"/>
                  <w:color w:val="0000EE"/>
                  <w:w w:val="95"/>
                </w:rPr>
                <w:t>by reference to Exhibit 4.10 of SEACOR Marine Holdings Inc.’s Shelf Registration on Form S-3 filed with the Commission on June 15,</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2018 (File No. 333-225686)).</w:t>
              </w:r>
            </w:hyperlink>
          </w:p>
        </w:tc>
        <w:tc>
          <w:tcPr>
            <w:tcW w:w="8020" w:type="dxa"/>
            <w:vAlign w:val="bottom"/>
            <w:gridSpan w:val="10"/>
          </w:tcPr>
          <w:p>
            <w:pPr>
              <w:spacing w:after="0"/>
              <w:rPr>
                <w:sz w:val="17"/>
                <w:szCs w:val="17"/>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4"/>
                <w:szCs w:val="24"/>
                <w:color w:val="auto"/>
              </w:rPr>
            </w:pPr>
          </w:p>
        </w:tc>
        <w:tc>
          <w:tcPr>
            <w:tcW w:w="10160" w:type="dxa"/>
            <w:vAlign w:val="bottom"/>
            <w:gridSpan w:val="14"/>
          </w:tcPr>
          <w:p>
            <w:pPr>
              <w:spacing w:after="0"/>
              <w:rPr>
                <w:rFonts w:ascii="Arial" w:cs="Arial" w:eastAsia="Arial" w:hAnsi="Arial"/>
                <w:sz w:val="18"/>
                <w:szCs w:val="18"/>
                <w:color w:val="0000EE"/>
                <w:w w:val="92"/>
              </w:rPr>
            </w:pPr>
            <w:hyperlink r:id="rId102">
              <w:r>
                <w:rPr>
                  <w:rFonts w:ascii="Arial" w:cs="Arial" w:eastAsia="Arial" w:hAnsi="Arial"/>
                  <w:sz w:val="18"/>
                  <w:szCs w:val="18"/>
                  <w:color w:val="0000EE"/>
                  <w:w w:val="92"/>
                </w:rPr>
                <w:t>Warrant, originally issued by SEACOR Marine Holdings Inc., to CEOF II DE I AIV, L.P., on May 2, 2018, (incorporated herein by reference</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420" w:type="dxa"/>
            <w:vAlign w:val="bottom"/>
            <w:gridSpan w:val="1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4"/>
          </w:tcPr>
          <w:p>
            <w:pPr>
              <w:spacing w:after="0" w:line="196" w:lineRule="exact"/>
              <w:rPr>
                <w:rFonts w:ascii="Arial" w:cs="Arial" w:eastAsia="Arial" w:hAnsi="Arial"/>
                <w:sz w:val="18"/>
                <w:szCs w:val="18"/>
                <w:color w:val="0000EE"/>
                <w:w w:val="95"/>
              </w:rPr>
            </w:pPr>
            <w:hyperlink r:id="rId102">
              <w:r>
                <w:rPr>
                  <w:rFonts w:ascii="Arial" w:cs="Arial" w:eastAsia="Arial" w:hAnsi="Arial"/>
                  <w:sz w:val="18"/>
                  <w:szCs w:val="18"/>
                  <w:color w:val="0000EE"/>
                  <w:w w:val="95"/>
                </w:rPr>
                <w:t>to Exhibit 4.8 of SEACOR Marine Holdings Inc.’s Shelf Registration on Form S-3 filed with the Commission on June 15, 2018 (File No.</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333-225686)).</w:t>
              </w:r>
            </w:hyperlink>
          </w:p>
        </w:tc>
        <w:tc>
          <w:tcPr>
            <w:tcW w:w="6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760" w:type="dxa"/>
            <w:vAlign w:val="bottom"/>
            <w:tcBorders>
              <w:top w:val="single" w:sz="8" w:color="0000EE"/>
            </w:tcBorders>
          </w:tcPr>
          <w:p>
            <w:pPr>
              <w:spacing w:after="0"/>
              <w:rPr>
                <w:sz w:val="17"/>
                <w:szCs w:val="17"/>
                <w:color w:val="auto"/>
              </w:rPr>
            </w:pPr>
          </w:p>
        </w:tc>
        <w:tc>
          <w:tcPr>
            <w:tcW w:w="24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4"/>
                <w:szCs w:val="24"/>
                <w:color w:val="auto"/>
              </w:rPr>
            </w:pPr>
          </w:p>
        </w:tc>
        <w:tc>
          <w:tcPr>
            <w:tcW w:w="10160" w:type="dxa"/>
            <w:vAlign w:val="bottom"/>
            <w:tcBorders>
              <w:bottom w:val="single" w:sz="8" w:color="0000EE"/>
            </w:tcBorders>
            <w:gridSpan w:val="14"/>
          </w:tcPr>
          <w:p>
            <w:pPr>
              <w:spacing w:after="0"/>
              <w:rPr>
                <w:rFonts w:ascii="Arial" w:cs="Arial" w:eastAsia="Arial" w:hAnsi="Arial"/>
                <w:sz w:val="18"/>
                <w:szCs w:val="18"/>
                <w:color w:val="0000EE"/>
                <w:w w:val="92"/>
              </w:rPr>
            </w:pPr>
            <w:hyperlink r:id="rId103">
              <w:r>
                <w:rPr>
                  <w:rFonts w:ascii="Arial" w:cs="Arial" w:eastAsia="Arial" w:hAnsi="Arial"/>
                  <w:sz w:val="18"/>
                  <w:szCs w:val="18"/>
                  <w:color w:val="0000EE"/>
                  <w:w w:val="92"/>
                </w:rPr>
                <w:t>Warrant, originally issued by SEACOR Marine Holdings Inc., to CEOF II Coinvestment (DE), L.P., on May 2, 2018, (incorporated herein by</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103">
              <w:r>
                <w:rPr>
                  <w:rFonts w:ascii="Arial" w:cs="Arial" w:eastAsia="Arial" w:hAnsi="Arial"/>
                  <w:sz w:val="18"/>
                  <w:szCs w:val="18"/>
                  <w:color w:val="0000EE"/>
                  <w:w w:val="94"/>
                </w:rPr>
                <w:t>reference to Exhibit 4.9 of SEACOR Marine Holdings Inc.’s Shelf Registration on Form S-3 filed with the Commission on June 15, 2018</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4"/>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(File No. 333-225686)).</w:t>
              </w:r>
            </w:hyperlink>
          </w:p>
        </w:tc>
      </w:tr>
      <w:tr>
        <w:trPr>
          <w:trHeight w:val="452"/>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Borders>
              <w:top w:val="single" w:sz="8" w:color="0000EE"/>
            </w:tcBorders>
            <w:gridSpan w:val="3"/>
          </w:tcPr>
          <w:p>
            <w:pPr>
              <w:spacing w:after="0"/>
              <w:rPr>
                <w:sz w:val="24"/>
                <w:szCs w:val="24"/>
                <w:color w:val="auto"/>
              </w:rPr>
            </w:pPr>
          </w:p>
        </w:tc>
        <w:tc>
          <w:tcPr>
            <w:tcW w:w="4140" w:type="dxa"/>
            <w:vAlign w:val="bottom"/>
            <w:gridSpan w:val="4"/>
          </w:tcPr>
          <w:p>
            <w:pPr>
              <w:jc w:val="right"/>
              <w:ind w:right="1130"/>
              <w:spacing w:after="0"/>
              <w:rPr>
                <w:sz w:val="20"/>
                <w:szCs w:val="20"/>
                <w:color w:val="auto"/>
              </w:rPr>
            </w:pPr>
            <w:r>
              <w:rPr>
                <w:rFonts w:ascii="Arial" w:cs="Arial" w:eastAsia="Arial" w:hAnsi="Arial"/>
                <w:sz w:val="18"/>
                <w:szCs w:val="18"/>
                <w:color w:val="auto"/>
              </w:rPr>
              <w:t>70</w:t>
            </w:r>
          </w:p>
        </w:tc>
        <w:tc>
          <w:tcPr>
            <w:tcW w:w="2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6"/>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1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1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80" w:type="dxa"/>
            <w:vAlign w:val="bottom"/>
            <w:gridSpan w:val="7"/>
          </w:tcPr>
          <w:p>
            <w:pPr>
              <w:ind w:left="460"/>
              <w:spacing w:after="0"/>
              <w:rPr>
                <w:sz w:val="20"/>
                <w:szCs w:val="20"/>
                <w:color w:val="auto"/>
              </w:rPr>
            </w:pPr>
            <w:r>
              <w:rPr>
                <w:rFonts w:ascii="Arial" w:cs="Arial" w:eastAsia="Arial" w:hAnsi="Arial"/>
                <w:sz w:val="18"/>
                <w:szCs w:val="18"/>
                <w:b w:val="1"/>
                <w:bCs w:val="1"/>
                <w:color w:val="auto"/>
              </w:rPr>
              <w:t>Description</w:t>
            </w:r>
          </w:p>
        </w:tc>
      </w:tr>
      <w:tr>
        <w:trPr>
          <w:trHeight w:val="290"/>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4"/>
                <w:szCs w:val="24"/>
                <w:color w:val="auto"/>
              </w:rPr>
            </w:pPr>
          </w:p>
        </w:tc>
        <w:tc>
          <w:tcPr>
            <w:tcW w:w="10160" w:type="dxa"/>
            <w:vAlign w:val="bottom"/>
            <w:tcBorders>
              <w:top w:val="single" w:sz="8" w:color="auto"/>
              <w:bottom w:val="single" w:sz="8" w:color="0000EE"/>
            </w:tcBorders>
            <w:gridSpan w:val="17"/>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Registration Rights Agreement, dated as of April 26, 2018, by and among SEACOR Marine Holdings Inc. and the Purchasers, (incorporated</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106">
              <w:r>
                <w:rPr>
                  <w:rFonts w:ascii="Arial" w:cs="Arial" w:eastAsia="Arial" w:hAnsi="Arial"/>
                  <w:sz w:val="18"/>
                  <w:szCs w:val="18"/>
                  <w:color w:val="0000EE"/>
                  <w:w w:val="93"/>
                </w:rPr>
                <w:t>herein by reference to Exhibit 10.6 of SEACOR Marine Holdings Inc.’s Quarterly Report on Form 10-Q filed with the Commission on May</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10, 2018 (File No. 1-37966)).</w:t>
              </w:r>
            </w:hyperlink>
          </w:p>
        </w:tc>
        <w:tc>
          <w:tcPr>
            <w:tcW w:w="8020" w:type="dxa"/>
            <w:vAlign w:val="bottom"/>
            <w:gridSpan w:val="14"/>
          </w:tcPr>
          <w:p>
            <w:pPr>
              <w:spacing w:after="0"/>
              <w:rPr>
                <w:sz w:val="17"/>
                <w:szCs w:val="17"/>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24"/>
                <w:szCs w:val="24"/>
                <w:color w:val="auto"/>
              </w:rPr>
            </w:pPr>
          </w:p>
        </w:tc>
        <w:tc>
          <w:tcPr>
            <w:tcW w:w="10160" w:type="dxa"/>
            <w:vAlign w:val="bottom"/>
            <w:tcBorders>
              <w:bottom w:val="single" w:sz="8" w:color="0000EE"/>
            </w:tcBorders>
            <w:gridSpan w:val="17"/>
          </w:tcPr>
          <w:p>
            <w:pPr>
              <w:spacing w:after="0"/>
              <w:rPr>
                <w:rFonts w:ascii="Arial" w:cs="Arial" w:eastAsia="Arial" w:hAnsi="Arial"/>
                <w:sz w:val="18"/>
                <w:szCs w:val="18"/>
                <w:color w:val="0000EE"/>
                <w:w w:val="94"/>
              </w:rPr>
            </w:pPr>
            <w:hyperlink r:id="rId107">
              <w:r>
                <w:rPr>
                  <w:rFonts w:ascii="Arial" w:cs="Arial" w:eastAsia="Arial" w:hAnsi="Arial"/>
                  <w:sz w:val="18"/>
                  <w:szCs w:val="18"/>
                  <w:color w:val="0000EE"/>
                  <w:w w:val="94"/>
                </w:rPr>
                <w:t>Registration Rights Agreement, dated as of March 20, 2020, by and between SEACOR Marine Holdings Inc. and Montco Offshore, LLC</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r:id="rId107">
              <w:r>
                <w:rPr>
                  <w:rFonts w:ascii="Arial" w:cs="Arial" w:eastAsia="Arial" w:hAnsi="Arial"/>
                  <w:sz w:val="18"/>
                  <w:szCs w:val="18"/>
                  <w:color w:val="0000EE"/>
                  <w:w w:val="95"/>
                </w:rPr>
                <w:t>(incorporated herein by reference to Exhibit 4.1 of SEACOR Marine Holdings Inc.’s Form 8-K filed with the Commission on March 20,</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7"/>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2020 (File No. 001-37966)).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24"/>
                <w:szCs w:val="24"/>
                <w:color w:val="auto"/>
              </w:rPr>
            </w:pPr>
          </w:p>
        </w:tc>
        <w:tc>
          <w:tcPr>
            <w:tcW w:w="2740" w:type="dxa"/>
            <w:vAlign w:val="bottom"/>
            <w:tcBorders>
              <w:bottom w:val="single" w:sz="8" w:color="0000EE"/>
            </w:tcBorders>
            <w:gridSpan w:val="5"/>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Description of Registrant’s Securities.</w:t>
              </w:r>
            </w:hyperlink>
          </w:p>
        </w:tc>
        <w:tc>
          <w:tcPr>
            <w:tcW w:w="7420" w:type="dxa"/>
            <w:vAlign w:val="bottom"/>
            <w:gridSpan w:val="12"/>
          </w:tcPr>
          <w:p>
            <w:pPr>
              <w:spacing w:after="0"/>
              <w:rPr>
                <w:sz w:val="24"/>
                <w:szCs w:val="24"/>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10160" w:type="dxa"/>
            <w:vAlign w:val="bottom"/>
            <w:tcBorders>
              <w:bottom w:val="single" w:sz="8" w:color="0000EE"/>
            </w:tcBorders>
            <w:gridSpan w:val="17"/>
          </w:tcPr>
          <w:p>
            <w:pPr>
              <w:spacing w:after="0"/>
              <w:rPr>
                <w:rFonts w:ascii="Arial" w:cs="Arial" w:eastAsia="Arial" w:hAnsi="Arial"/>
                <w:sz w:val="18"/>
                <w:szCs w:val="18"/>
                <w:color w:val="0000EE"/>
              </w:rPr>
            </w:pPr>
            <w:hyperlink r:id="rId109">
              <w:r>
                <w:rPr>
                  <w:rFonts w:ascii="Arial" w:cs="Arial" w:eastAsia="Arial" w:hAnsi="Arial"/>
                  <w:sz w:val="18"/>
                  <w:szCs w:val="18"/>
                  <w:color w:val="0000EE"/>
                </w:rPr>
                <w:t>Tax Matters Agreement, dated as of May 10, 2017, by and between SEACOR Holdings Inc. and SEACOR Marine Holdings Inc.</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7"/>
          </w:tcPr>
          <w:p>
            <w:pPr>
              <w:spacing w:after="0" w:line="196" w:lineRule="exact"/>
              <w:rPr>
                <w:rFonts w:ascii="Arial" w:cs="Arial" w:eastAsia="Arial" w:hAnsi="Arial"/>
                <w:sz w:val="18"/>
                <w:szCs w:val="18"/>
                <w:color w:val="0000EE"/>
                <w:w w:val="94"/>
              </w:rPr>
            </w:pPr>
            <w:hyperlink r:id="rId109">
              <w:r>
                <w:rPr>
                  <w:rFonts w:ascii="Arial" w:cs="Arial" w:eastAsia="Arial" w:hAnsi="Arial"/>
                  <w:sz w:val="18"/>
                  <w:szCs w:val="18"/>
                  <w:color w:val="0000EE"/>
                  <w:w w:val="94"/>
                </w:rPr>
                <w:t>(incorporated herein by reference to Exhibit 10.5 of SEACOR Holdings Inc.’s Current Report on Form 8-K filed with the Commission on</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May 12, 2017 (File No. 001-12289)).</w:t>
              </w:r>
            </w:hyperlink>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10160" w:type="dxa"/>
            <w:vAlign w:val="bottom"/>
            <w:tcBorders>
              <w:bottom w:val="single" w:sz="8" w:color="0000EE"/>
            </w:tcBorders>
            <w:gridSpan w:val="17"/>
          </w:tcPr>
          <w:p>
            <w:pPr>
              <w:spacing w:after="0"/>
              <w:rPr>
                <w:rFonts w:ascii="Arial" w:cs="Arial" w:eastAsia="Arial" w:hAnsi="Arial"/>
                <w:sz w:val="18"/>
                <w:szCs w:val="18"/>
                <w:color w:val="0000EE"/>
                <w:w w:val="92"/>
              </w:rPr>
            </w:pPr>
            <w:hyperlink r:id="rId110">
              <w:r>
                <w:rPr>
                  <w:rFonts w:ascii="Arial" w:cs="Arial" w:eastAsia="Arial" w:hAnsi="Arial"/>
                  <w:sz w:val="18"/>
                  <w:szCs w:val="18"/>
                  <w:color w:val="0000EE"/>
                  <w:w w:val="92"/>
                </w:rPr>
                <w:t>SEACOR Marine Holdings Inc. 2017 Equity Incentive Plan. (incorporated herein by reference to Exhibit 10.6 of SEACOR Marine Holdings</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Inc.’s Periodic Report on Form 8-K filed with the Commission on May 12, 2017 (File No. 001-37966)).</w:t>
              </w:r>
            </w:hyperlink>
          </w:p>
        </w:tc>
        <w:tc>
          <w:tcPr>
            <w:tcW w:w="2680" w:type="dxa"/>
            <w:vAlign w:val="bottom"/>
            <w:gridSpan w:val="6"/>
          </w:tcPr>
          <w:p>
            <w:pPr>
              <w:spacing w:after="0"/>
              <w:rPr>
                <w:sz w:val="17"/>
                <w:szCs w:val="17"/>
                <w:color w:val="auto"/>
              </w:rPr>
            </w:pPr>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10160" w:type="dxa"/>
            <w:vAlign w:val="bottom"/>
            <w:tcBorders>
              <w:bottom w:val="single" w:sz="8" w:color="0000EE"/>
            </w:tcBorders>
            <w:gridSpan w:val="17"/>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SEACOR Marine Holdings Inc. 2017 Employee Stock Purchase Plan. (incorporated herein by reference to Exhibit 10.7 of SEACOR Marine</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7"/>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Holdings Inc.’s Periodic Report on Form 8-K filed with the Commission on May 12, 2017 (File No. 001-37966)).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10160" w:type="dxa"/>
            <w:vAlign w:val="bottom"/>
            <w:tcBorders>
              <w:bottom w:val="single" w:sz="8" w:color="0000EE"/>
            </w:tcBorders>
            <w:gridSpan w:val="17"/>
          </w:tcPr>
          <w:p>
            <w:pPr>
              <w:spacing w:after="0"/>
              <w:rPr>
                <w:rFonts w:ascii="Arial" w:cs="Arial" w:eastAsia="Arial" w:hAnsi="Arial"/>
                <w:sz w:val="18"/>
                <w:szCs w:val="18"/>
                <w:color w:val="0000EE"/>
                <w:w w:val="93"/>
              </w:rPr>
            </w:pPr>
            <w:hyperlink r:id="rId112">
              <w:r>
                <w:rPr>
                  <w:rFonts w:ascii="Arial" w:cs="Arial" w:eastAsia="Arial" w:hAnsi="Arial"/>
                  <w:sz w:val="18"/>
                  <w:szCs w:val="18"/>
                  <w:color w:val="0000EE"/>
                  <w:w w:val="93"/>
                </w:rPr>
                <w:t>Form of Indemnification Agreement between SEACOR Marine Holdings Inc. and individual officers and directors. (incorporated herein by</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r:id="rId112">
              <w:r>
                <w:rPr>
                  <w:rFonts w:ascii="Arial" w:cs="Arial" w:eastAsia="Arial" w:hAnsi="Arial"/>
                  <w:sz w:val="18"/>
                  <w:szCs w:val="18"/>
                  <w:color w:val="0000EE"/>
                  <w:w w:val="95"/>
                </w:rPr>
                <w:t>reference to Exhibit 10.7 of SEACOR Marine Holdings Inc.’s Amendment No. 1 to its Registration Statement on Form 10 filed with the</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7"/>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Commission on February 10, 2017 (File No. 001-37966)).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4"/>
                <w:szCs w:val="24"/>
                <w:color w:val="auto"/>
              </w:rPr>
            </w:pPr>
          </w:p>
        </w:tc>
        <w:tc>
          <w:tcPr>
            <w:tcW w:w="10160" w:type="dxa"/>
            <w:vAlign w:val="bottom"/>
            <w:tcBorders>
              <w:bottom w:val="single" w:sz="8" w:color="0000EE"/>
            </w:tcBorders>
            <w:gridSpan w:val="17"/>
          </w:tcPr>
          <w:p>
            <w:pPr>
              <w:spacing w:after="0"/>
              <w:rPr>
                <w:rFonts w:ascii="Arial" w:cs="Arial" w:eastAsia="Arial" w:hAnsi="Arial"/>
                <w:sz w:val="18"/>
                <w:szCs w:val="18"/>
                <w:color w:val="0000EE"/>
                <w:w w:val="95"/>
              </w:rPr>
            </w:pPr>
            <w:hyperlink r:id="rId113">
              <w:r>
                <w:rPr>
                  <w:rFonts w:ascii="Arial" w:cs="Arial" w:eastAsia="Arial" w:hAnsi="Arial"/>
                  <w:sz w:val="18"/>
                  <w:szCs w:val="18"/>
                  <w:color w:val="0000EE"/>
                  <w:w w:val="95"/>
                </w:rPr>
                <w:t>Letter Agreement related to the Investment Agreement dated November 30, 2015 (incorporated herein by reference to Exhibit 10.8 of</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7"/>
          </w:tcPr>
          <w:p>
            <w:pPr>
              <w:spacing w:after="0" w:line="196" w:lineRule="exact"/>
              <w:rPr>
                <w:rFonts w:ascii="Arial" w:cs="Arial" w:eastAsia="Arial" w:hAnsi="Arial"/>
                <w:sz w:val="18"/>
                <w:szCs w:val="18"/>
                <w:color w:val="0000EE"/>
                <w:w w:val="94"/>
              </w:rPr>
            </w:pPr>
            <w:hyperlink r:id="rId113">
              <w:r>
                <w:rPr>
                  <w:rFonts w:ascii="Arial" w:cs="Arial" w:eastAsia="Arial" w:hAnsi="Arial"/>
                  <w:sz w:val="18"/>
                  <w:szCs w:val="18"/>
                  <w:color w:val="0000EE"/>
                  <w:w w:val="94"/>
                </w:rPr>
                <w:t>SEACOR Marine Holdings Inc.’s Amendment No. 3 to its Registration Statement on Form 10 filed with the Commission on May 4, 2017</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(File No. 001-37966)).</w:t>
              </w:r>
            </w:hyperlink>
          </w:p>
        </w:tc>
        <w:tc>
          <w:tcPr>
            <w:tcW w:w="8500" w:type="dxa"/>
            <w:vAlign w:val="bottom"/>
            <w:tcBorders>
              <w:top w:val="single" w:sz="8" w:color="0000EE"/>
            </w:tcBorders>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4"/>
                <w:szCs w:val="24"/>
                <w:color w:val="auto"/>
              </w:rPr>
            </w:pPr>
          </w:p>
        </w:tc>
        <w:tc>
          <w:tcPr>
            <w:tcW w:w="10160" w:type="dxa"/>
            <w:vAlign w:val="bottom"/>
            <w:tcBorders>
              <w:bottom w:val="single" w:sz="8" w:color="0000EE"/>
            </w:tcBorders>
            <w:gridSpan w:val="17"/>
          </w:tcPr>
          <w:p>
            <w:pPr>
              <w:spacing w:after="0"/>
              <w:rPr>
                <w:rFonts w:ascii="Arial" w:cs="Arial" w:eastAsia="Arial" w:hAnsi="Arial"/>
                <w:sz w:val="18"/>
                <w:szCs w:val="18"/>
                <w:color w:val="0000EE"/>
                <w:w w:val="96"/>
              </w:rPr>
            </w:pPr>
            <w:hyperlink r:id="rId114">
              <w:r>
                <w:rPr>
                  <w:rFonts w:ascii="Arial" w:cs="Arial" w:eastAsia="Arial" w:hAnsi="Arial"/>
                  <w:sz w:val="18"/>
                  <w:szCs w:val="18"/>
                  <w:color w:val="0000EE"/>
                  <w:w w:val="96"/>
                </w:rPr>
                <w:t>Form of Stock Option Grant Agreement under the SEACOR Marine Holdings Inc. 2017 Equity Incentive Plan (incorporated herein by</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7"/>
          </w:tcPr>
          <w:p>
            <w:pPr>
              <w:spacing w:after="0" w:line="196" w:lineRule="exact"/>
              <w:rPr>
                <w:rFonts w:ascii="Arial" w:cs="Arial" w:eastAsia="Arial" w:hAnsi="Arial"/>
                <w:sz w:val="18"/>
                <w:szCs w:val="18"/>
                <w:color w:val="0000EE"/>
                <w:w w:val="93"/>
              </w:rPr>
            </w:pPr>
            <w:hyperlink r:id="rId114">
              <w:r>
                <w:rPr>
                  <w:rFonts w:ascii="Arial" w:cs="Arial" w:eastAsia="Arial" w:hAnsi="Arial"/>
                  <w:sz w:val="18"/>
                  <w:szCs w:val="18"/>
                  <w:color w:val="0000EE"/>
                  <w:w w:val="93"/>
                </w:rPr>
                <w:t>reference to Exhibit 99.2 of SEACOR Marine Holdings Inc.’s S-8 filed with the Commission on November 20, 2017 (File No. 001-37966)).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74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4"/>
                <w:szCs w:val="24"/>
                <w:color w:val="auto"/>
              </w:rPr>
            </w:pPr>
          </w:p>
        </w:tc>
        <w:tc>
          <w:tcPr>
            <w:tcW w:w="10160" w:type="dxa"/>
            <w:vAlign w:val="bottom"/>
            <w:tcBorders>
              <w:bottom w:val="single" w:sz="8" w:color="0000EE"/>
            </w:tcBorders>
            <w:gridSpan w:val="17"/>
          </w:tcPr>
          <w:p>
            <w:pPr>
              <w:spacing w:after="0"/>
              <w:rPr>
                <w:rFonts w:ascii="Arial" w:cs="Arial" w:eastAsia="Arial" w:hAnsi="Arial"/>
                <w:sz w:val="18"/>
                <w:szCs w:val="18"/>
                <w:color w:val="0000EE"/>
                <w:w w:val="93"/>
              </w:rPr>
            </w:pPr>
            <w:hyperlink r:id="rId115">
              <w:r>
                <w:rPr>
                  <w:rFonts w:ascii="Arial" w:cs="Arial" w:eastAsia="Arial" w:hAnsi="Arial"/>
                  <w:sz w:val="18"/>
                  <w:szCs w:val="18"/>
                  <w:color w:val="0000EE"/>
                  <w:w w:val="93"/>
                </w:rPr>
                <w:t>Form of Restricted Stock Grant Agreement under the SEACOR Marine Holdings Inc. 2017 Equity Incentive Plan (incorporated herein by</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7"/>
          </w:tcPr>
          <w:p>
            <w:pPr>
              <w:spacing w:after="0" w:line="196" w:lineRule="exact"/>
              <w:rPr>
                <w:rFonts w:ascii="Arial" w:cs="Arial" w:eastAsia="Arial" w:hAnsi="Arial"/>
                <w:sz w:val="18"/>
                <w:szCs w:val="18"/>
                <w:color w:val="0000EE"/>
                <w:w w:val="93"/>
              </w:rPr>
            </w:pPr>
            <w:hyperlink r:id="rId115">
              <w:r>
                <w:rPr>
                  <w:rFonts w:ascii="Arial" w:cs="Arial" w:eastAsia="Arial" w:hAnsi="Arial"/>
                  <w:sz w:val="18"/>
                  <w:szCs w:val="18"/>
                  <w:color w:val="0000EE"/>
                  <w:w w:val="93"/>
                </w:rPr>
                <w:t>reference to Exhibit 99.3 of SEACOR Marine Holdings Inc.’s S-8 filed with the Commission on November 20, 2017 (File No. 001-37966)).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74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4"/>
                <w:szCs w:val="24"/>
                <w:color w:val="auto"/>
              </w:rPr>
            </w:pPr>
          </w:p>
        </w:tc>
        <w:tc>
          <w:tcPr>
            <w:tcW w:w="10160" w:type="dxa"/>
            <w:vAlign w:val="bottom"/>
            <w:tcBorders>
              <w:bottom w:val="single" w:sz="8" w:color="0000EE"/>
            </w:tcBorders>
            <w:gridSpan w:val="17"/>
          </w:tcPr>
          <w:p>
            <w:pPr>
              <w:spacing w:after="0"/>
              <w:rPr>
                <w:rFonts w:ascii="Arial" w:cs="Arial" w:eastAsia="Arial" w:hAnsi="Arial"/>
                <w:sz w:val="18"/>
                <w:szCs w:val="18"/>
                <w:color w:val="0000EE"/>
                <w:w w:val="97"/>
              </w:rPr>
            </w:pPr>
            <w:hyperlink r:id="rId116">
              <w:r>
                <w:rPr>
                  <w:rFonts w:ascii="Arial" w:cs="Arial" w:eastAsia="Arial" w:hAnsi="Arial"/>
                  <w:sz w:val="18"/>
                  <w:szCs w:val="18"/>
                  <w:color w:val="0000EE"/>
                  <w:w w:val="97"/>
                </w:rPr>
                <w:t>Form of Performance Restricted Stock Unit Grant Agreement under the SEACOR Marine Holdings Inc. 2017 Equity Incentive Plan</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7"/>
          </w:tcPr>
          <w:p>
            <w:pPr>
              <w:spacing w:after="0" w:line="196" w:lineRule="exact"/>
              <w:rPr>
                <w:rFonts w:ascii="Arial" w:cs="Arial" w:eastAsia="Arial" w:hAnsi="Arial"/>
                <w:sz w:val="18"/>
                <w:szCs w:val="18"/>
                <w:color w:val="0000EE"/>
                <w:w w:val="98"/>
              </w:rPr>
            </w:pPr>
            <w:hyperlink r:id="rId116">
              <w:r>
                <w:rPr>
                  <w:rFonts w:ascii="Arial" w:cs="Arial" w:eastAsia="Arial" w:hAnsi="Arial"/>
                  <w:sz w:val="18"/>
                  <w:szCs w:val="18"/>
                  <w:color w:val="0000EE"/>
                  <w:w w:val="98"/>
                </w:rPr>
                <w:t>(incorporated herein by reference to Exhibit 10.1 of SEACOR Marine Holdings Inc.’s Quarterly Report on Form 10-Q filed with the</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7"/>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Commission on May 10, 2019 (File No. 001-37966)).</w:t>
              </w:r>
            </w:hyperlink>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4"/>
                <w:szCs w:val="24"/>
                <w:color w:val="auto"/>
              </w:rPr>
            </w:pPr>
          </w:p>
        </w:tc>
        <w:tc>
          <w:tcPr>
            <w:tcW w:w="31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125">
              <w:r>
                <w:rPr>
                  <w:rFonts w:ascii="Arial" w:cs="Arial" w:eastAsia="Arial" w:hAnsi="Arial"/>
                  <w:sz w:val="18"/>
                  <w:szCs w:val="18"/>
                  <w:color w:val="0000EE"/>
                  <w:w w:val="91"/>
                </w:rPr>
                <w:t>Compensation of Non-Employee Directors</w:t>
              </w:r>
            </w:hyperlink>
          </w:p>
        </w:tc>
        <w:tc>
          <w:tcPr>
            <w:tcW w:w="760" w:type="dxa"/>
            <w:vAlign w:val="bottom"/>
            <w:tcBorders>
              <w:top w:val="single" w:sz="8" w:color="0000EE"/>
            </w:tcBorders>
            <w:gridSpan w:val="2"/>
          </w:tcPr>
          <w:p>
            <w:pPr>
              <w:spacing w:after="0"/>
              <w:rPr>
                <w:sz w:val="24"/>
                <w:szCs w:val="24"/>
                <w:color w:val="auto"/>
              </w:rPr>
            </w:pPr>
          </w:p>
        </w:tc>
        <w:tc>
          <w:tcPr>
            <w:tcW w:w="6300" w:type="dxa"/>
            <w:vAlign w:val="bottom"/>
            <w:gridSpan w:val="8"/>
          </w:tcPr>
          <w:p>
            <w:pPr>
              <w:spacing w:after="0"/>
              <w:rPr>
                <w:sz w:val="24"/>
                <w:szCs w:val="24"/>
                <w:color w:val="auto"/>
              </w:rPr>
            </w:pPr>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4"/>
                <w:szCs w:val="24"/>
                <w:color w:val="auto"/>
              </w:rPr>
            </w:pPr>
          </w:p>
        </w:tc>
        <w:tc>
          <w:tcPr>
            <w:tcW w:w="10160" w:type="dxa"/>
            <w:vAlign w:val="bottom"/>
            <w:tcBorders>
              <w:bottom w:val="single" w:sz="8" w:color="0000EE"/>
            </w:tcBorders>
            <w:gridSpan w:val="17"/>
          </w:tcPr>
          <w:p>
            <w:pPr>
              <w:spacing w:after="0"/>
              <w:rPr>
                <w:rFonts w:ascii="Arial" w:cs="Arial" w:eastAsia="Arial" w:hAnsi="Arial"/>
                <w:sz w:val="18"/>
                <w:szCs w:val="18"/>
                <w:color w:val="0000EE"/>
                <w:w w:val="92"/>
              </w:rPr>
            </w:pPr>
            <w:hyperlink r:id="rId117">
              <w:r>
                <w:rPr>
                  <w:rFonts w:ascii="Arial" w:cs="Arial" w:eastAsia="Arial" w:hAnsi="Arial"/>
                  <w:sz w:val="18"/>
                  <w:szCs w:val="18"/>
                  <w:color w:val="0000EE"/>
                  <w:w w:val="92"/>
                </w:rPr>
                <w:t>Credit Agreement, dated September 26, 2018, by and among SEACOR Marine Foreign Holdings Inc., SEACOR Marine Holdings Inc., the</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117">
              <w:r>
                <w:rPr>
                  <w:rFonts w:ascii="Arial" w:cs="Arial" w:eastAsia="Arial" w:hAnsi="Arial"/>
                  <w:sz w:val="18"/>
                  <w:szCs w:val="18"/>
                  <w:color w:val="0000EE"/>
                  <w:w w:val="93"/>
                </w:rPr>
                <w:t>Entities Identified on Schedule 1-A thereto, DNB Bank ASA, New York Branch, the Financial Institutions identified on Schedule 1b, DNB</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r:id="rId117">
              <w:r>
                <w:rPr>
                  <w:rFonts w:ascii="Arial" w:cs="Arial" w:eastAsia="Arial" w:hAnsi="Arial"/>
                  <w:sz w:val="18"/>
                  <w:szCs w:val="18"/>
                  <w:color w:val="0000EE"/>
                  <w:w w:val="94"/>
                </w:rPr>
                <w:t>Markets, Inc., Clifford Capital Pte. Ltd. And NIBC Bank N.V. and DNB Markets, Inc., (incorporated herein by reference to Exhibit 10.1 of</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7"/>
          </w:tcPr>
          <w:p>
            <w:pPr>
              <w:spacing w:after="0" w:line="196" w:lineRule="exact"/>
              <w:rPr>
                <w:rFonts w:ascii="Arial" w:cs="Arial" w:eastAsia="Arial" w:hAnsi="Arial"/>
                <w:sz w:val="18"/>
                <w:szCs w:val="18"/>
                <w:color w:val="0000EE"/>
                <w:w w:val="94"/>
              </w:rPr>
            </w:pPr>
            <w:hyperlink r:id="rId117">
              <w:r>
                <w:rPr>
                  <w:rFonts w:ascii="Arial" w:cs="Arial" w:eastAsia="Arial" w:hAnsi="Arial"/>
                  <w:sz w:val="18"/>
                  <w:szCs w:val="18"/>
                  <w:color w:val="0000EE"/>
                  <w:w w:val="94"/>
                </w:rPr>
                <w:t>SEACOR Marine Holdings Inc.’s Quarterly Report on Form 10-Q filed with the Commission on November 13, 2018 (File No. 1-37966)).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gridSpan w:val="6"/>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92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24"/>
                <w:szCs w:val="24"/>
                <w:color w:val="auto"/>
              </w:rPr>
            </w:pPr>
          </w:p>
        </w:tc>
        <w:tc>
          <w:tcPr>
            <w:tcW w:w="10160" w:type="dxa"/>
            <w:vAlign w:val="bottom"/>
            <w:tcBorders>
              <w:bottom w:val="single" w:sz="8" w:color="0000EE"/>
            </w:tcBorders>
            <w:gridSpan w:val="17"/>
          </w:tcPr>
          <w:p>
            <w:pPr>
              <w:spacing w:after="0"/>
              <w:rPr>
                <w:rFonts w:ascii="Arial" w:cs="Arial" w:eastAsia="Arial" w:hAnsi="Arial"/>
                <w:sz w:val="18"/>
                <w:szCs w:val="18"/>
                <w:color w:val="0000EE"/>
                <w:w w:val="96"/>
              </w:rPr>
            </w:pPr>
            <w:hyperlink r:id="rId118">
              <w:r>
                <w:rPr>
                  <w:rFonts w:ascii="Arial" w:cs="Arial" w:eastAsia="Arial" w:hAnsi="Arial"/>
                  <w:sz w:val="18"/>
                  <w:szCs w:val="18"/>
                  <w:color w:val="0000EE"/>
                  <w:w w:val="96"/>
                </w:rPr>
                <w:t>Guaranty, dated September 26, 2018, by SEACOR Marine Holdings Inc. in favor of DNB Bank ASA, New York Branch (incorporated</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r:id="rId118">
              <w:r>
                <w:rPr>
                  <w:rFonts w:ascii="Arial" w:cs="Arial" w:eastAsia="Arial" w:hAnsi="Arial"/>
                  <w:sz w:val="18"/>
                  <w:szCs w:val="18"/>
                  <w:color w:val="0000EE"/>
                  <w:w w:val="96"/>
                </w:rPr>
                <w:t>herein by reference to Exhibit 10.2 of SEACOR Marine Holdings Inc.’s Quarterly Report on Form 10-Q filed with the Commission on</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November 13, 2018 (File No. 1-37966)).</w:t>
              </w:r>
            </w:hyperlink>
          </w:p>
        </w:tc>
        <w:tc>
          <w:tcPr>
            <w:tcW w:w="7220" w:type="dxa"/>
            <w:vAlign w:val="bottom"/>
            <w:gridSpan w:val="11"/>
          </w:tcPr>
          <w:p>
            <w:pPr>
              <w:spacing w:after="0"/>
              <w:rPr>
                <w:sz w:val="17"/>
                <w:szCs w:val="17"/>
                <w:color w:val="auto"/>
              </w:rPr>
            </w:pPr>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4"/>
                <w:szCs w:val="24"/>
                <w:color w:val="auto"/>
              </w:rPr>
            </w:pPr>
          </w:p>
        </w:tc>
        <w:tc>
          <w:tcPr>
            <w:tcW w:w="10160" w:type="dxa"/>
            <w:vAlign w:val="bottom"/>
            <w:tcBorders>
              <w:bottom w:val="single" w:sz="8" w:color="0000EE"/>
            </w:tcBorders>
            <w:gridSpan w:val="17"/>
          </w:tcPr>
          <w:p>
            <w:pPr>
              <w:spacing w:after="0"/>
              <w:rPr>
                <w:rFonts w:ascii="Arial" w:cs="Arial" w:eastAsia="Arial" w:hAnsi="Arial"/>
                <w:sz w:val="18"/>
                <w:szCs w:val="18"/>
                <w:color w:val="0000EE"/>
                <w:w w:val="96"/>
              </w:rPr>
            </w:pPr>
            <w:hyperlink r:id="rId119">
              <w:r>
                <w:rPr>
                  <w:rFonts w:ascii="Arial" w:cs="Arial" w:eastAsia="Arial" w:hAnsi="Arial"/>
                  <w:sz w:val="18"/>
                  <w:szCs w:val="18"/>
                  <w:color w:val="0000EE"/>
                  <w:w w:val="96"/>
                </w:rPr>
                <w:t>Form of Director Stock Option Grant Agreement Pursuant to the SEACOR Marine Holdings Inc. 2017 Equity Incentive Plan, between</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r:id="rId119">
              <w:r>
                <w:rPr>
                  <w:rFonts w:ascii="Arial" w:cs="Arial" w:eastAsia="Arial" w:hAnsi="Arial"/>
                  <w:sz w:val="18"/>
                  <w:szCs w:val="18"/>
                  <w:color w:val="0000EE"/>
                  <w:w w:val="96"/>
                </w:rPr>
                <w:t>SEACOR Marine Holdings Inc., and the non-employee director specified therein, (incorporated herein by reference to Exhibit 10.4 of</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SEACOR Marine Holdings Inc.’s Quarterly Report on Form 10-Q filed with the Commission on August 9, 2018 (File No. 1-37966)).</w:t>
              </w:r>
            </w:hyperlink>
          </w:p>
        </w:tc>
        <w:tc>
          <w:tcPr>
            <w:tcW w:w="560" w:type="dxa"/>
            <w:vAlign w:val="bottom"/>
            <w:gridSpan w:val="4"/>
          </w:tcPr>
          <w:p>
            <w:pPr>
              <w:spacing w:after="0"/>
              <w:rPr>
                <w:sz w:val="17"/>
                <w:szCs w:val="17"/>
                <w:color w:val="auto"/>
              </w:rPr>
            </w:pPr>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4"/>
                <w:szCs w:val="24"/>
                <w:color w:val="auto"/>
              </w:rPr>
            </w:pPr>
          </w:p>
        </w:tc>
        <w:tc>
          <w:tcPr>
            <w:tcW w:w="10160" w:type="dxa"/>
            <w:vAlign w:val="bottom"/>
            <w:tcBorders>
              <w:bottom w:val="single" w:sz="8" w:color="0000EE"/>
            </w:tcBorders>
            <w:gridSpan w:val="17"/>
          </w:tcPr>
          <w:p>
            <w:pPr>
              <w:spacing w:after="0"/>
              <w:rPr>
                <w:rFonts w:ascii="Arial" w:cs="Arial" w:eastAsia="Arial" w:hAnsi="Arial"/>
                <w:sz w:val="18"/>
                <w:szCs w:val="18"/>
                <w:color w:val="0000EE"/>
                <w:w w:val="92"/>
              </w:rPr>
            </w:pPr>
            <w:hyperlink r:id="rId120">
              <w:r>
                <w:rPr>
                  <w:rFonts w:ascii="Arial" w:cs="Arial" w:eastAsia="Arial" w:hAnsi="Arial"/>
                  <w:sz w:val="18"/>
                  <w:szCs w:val="18"/>
                  <w:color w:val="0000EE"/>
                  <w:w w:val="92"/>
                </w:rPr>
                <w:t>Subscription Agreement, dated as of April 20, 2018, by and among SEACOR Marine Holdings Inc., the Purchasers named on Schedule A</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7"/>
          </w:tcPr>
          <w:p>
            <w:pP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thereto, (incorporated herein by reference to Exhibit 10.5 of SEACOR Marine Holdings Inc.’s Quarterly Report on Form 10-Q filed with the</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Commission on May 10, 2018 (File No. 1-37966)).</w:t>
              </w:r>
            </w:hyperlink>
          </w:p>
        </w:tc>
        <w:tc>
          <w:tcPr>
            <w:tcW w:w="20" w:type="dxa"/>
            <w:vAlign w:val="bottom"/>
          </w:tcPr>
          <w:p>
            <w:pPr>
              <w:spacing w:after="0"/>
              <w:rPr>
                <w:sz w:val="17"/>
                <w:szCs w:val="17"/>
                <w:color w:val="auto"/>
              </w:rPr>
            </w:pPr>
          </w:p>
        </w:tc>
      </w:tr>
      <w:tr>
        <w:trPr>
          <w:trHeight w:val="452"/>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Borders>
              <w:top w:val="single" w:sz="8" w:color="0000EE"/>
            </w:tcBorders>
            <w:gridSpan w:val="8"/>
          </w:tcPr>
          <w:p>
            <w:pPr>
              <w:spacing w:after="0"/>
              <w:rPr>
                <w:sz w:val="24"/>
                <w:szCs w:val="24"/>
                <w:color w:val="auto"/>
              </w:rPr>
            </w:pPr>
          </w:p>
        </w:tc>
        <w:tc>
          <w:tcPr>
            <w:tcW w:w="3800" w:type="dxa"/>
            <w:vAlign w:val="bottom"/>
            <w:gridSpan w:val="3"/>
          </w:tcPr>
          <w:p>
            <w:pPr>
              <w:jc w:val="right"/>
              <w:ind w:right="2750"/>
              <w:spacing w:after="0"/>
              <w:rPr>
                <w:sz w:val="20"/>
                <w:szCs w:val="20"/>
                <w:color w:val="auto"/>
              </w:rPr>
            </w:pPr>
            <w:r>
              <w:rPr>
                <w:rFonts w:ascii="Arial" w:cs="Arial" w:eastAsia="Arial" w:hAnsi="Arial"/>
                <w:sz w:val="18"/>
                <w:szCs w:val="18"/>
                <w:color w:val="auto"/>
              </w:rPr>
              <w:t>71</w:t>
            </w: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6"/>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760" w:type="dxa"/>
            <w:vAlign w:val="bottom"/>
            <w:gridSpan w:val="7"/>
          </w:tcPr>
          <w:p>
            <w:pPr>
              <w:ind w:left="240"/>
              <w:spacing w:after="0"/>
              <w:rPr>
                <w:sz w:val="20"/>
                <w:szCs w:val="20"/>
                <w:color w:val="auto"/>
              </w:rPr>
            </w:pPr>
            <w:r>
              <w:rPr>
                <w:rFonts w:ascii="Arial" w:cs="Arial" w:eastAsia="Arial" w:hAnsi="Arial"/>
                <w:sz w:val="18"/>
                <w:szCs w:val="18"/>
                <w:b w:val="1"/>
                <w:bCs w:val="1"/>
                <w:color w:val="auto"/>
              </w:rPr>
              <w:t>Description</w:t>
            </w:r>
          </w:p>
        </w:tc>
      </w:tr>
      <w:tr>
        <w:trPr>
          <w:trHeight w:val="290"/>
        </w:trPr>
        <w:tc>
          <w:tcPr>
            <w:tcW w:w="10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24"/>
                <w:szCs w:val="24"/>
                <w:color w:val="auto"/>
              </w:rPr>
            </w:pPr>
          </w:p>
        </w:tc>
        <w:tc>
          <w:tcPr>
            <w:tcW w:w="10160" w:type="dxa"/>
            <w:vAlign w:val="bottom"/>
            <w:tcBorders>
              <w:top w:val="single" w:sz="8" w:color="auto"/>
              <w:bottom w:val="single" w:sz="8" w:color="0000EE"/>
            </w:tcBorders>
            <w:gridSpan w:val="12"/>
          </w:tcPr>
          <w:p>
            <w:pPr>
              <w:spacing w:after="0"/>
              <w:rPr>
                <w:rFonts w:ascii="Arial" w:cs="Arial" w:eastAsia="Arial" w:hAnsi="Arial"/>
                <w:sz w:val="18"/>
                <w:szCs w:val="18"/>
                <w:color w:val="0000EE"/>
                <w:w w:val="93"/>
              </w:rPr>
            </w:pPr>
            <w:hyperlink r:id="rId123">
              <w:r>
                <w:rPr>
                  <w:rFonts w:ascii="Arial" w:cs="Arial" w:eastAsia="Arial" w:hAnsi="Arial"/>
                  <w:sz w:val="18"/>
                  <w:szCs w:val="18"/>
                  <w:color w:val="0000EE"/>
                  <w:w w:val="93"/>
                </w:rPr>
                <w:t>Amendment and Exchange Agreement, dated as of May 2, 2018, by and among SEACOR Marine Holdings Inc., CEOF II DE I AIV, L.P.,</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w w:val="95"/>
              </w:rPr>
            </w:pPr>
            <w:hyperlink r:id="rId123">
              <w:r>
                <w:rPr>
                  <w:rFonts w:ascii="Arial" w:cs="Arial" w:eastAsia="Arial" w:hAnsi="Arial"/>
                  <w:sz w:val="18"/>
                  <w:szCs w:val="18"/>
                  <w:color w:val="0000EE"/>
                  <w:w w:val="95"/>
                </w:rPr>
                <w:t>CEOF II COINVESTMENT (DE), L.P. and CEOF II COINVESTMENT B (DE), L.P., (incorporated herein by reference to Exhibit 10.1 of</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3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SEACOR Marine Holdings Inc.’s Current Report on Form 8-K filed with the Commission on May 2, 2018 (File No. 001-37966)).</w:t>
              </w:r>
            </w:hyperlink>
          </w:p>
        </w:tc>
        <w:tc>
          <w:tcPr>
            <w:tcW w:w="7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000" w:type="dxa"/>
            <w:vAlign w:val="bottom"/>
          </w:tcPr>
          <w:p>
            <w:pPr>
              <w:ind w:left="60"/>
              <w:spacing w:after="0"/>
              <w:rPr>
                <w:sz w:val="20"/>
                <w:szCs w:val="20"/>
                <w:color w:val="auto"/>
              </w:rPr>
            </w:pPr>
            <w:r>
              <w:rPr>
                <w:rFonts w:ascii="Arial" w:cs="Arial" w:eastAsia="Arial" w:hAnsi="Arial"/>
                <w:sz w:val="18"/>
                <w:szCs w:val="18"/>
                <w:color w:val="auto"/>
              </w:rPr>
              <w:t>10.15*+</w:t>
            </w:r>
          </w:p>
        </w:tc>
        <w:tc>
          <w:tcPr>
            <w:tcW w:w="80" w:type="dxa"/>
            <w:vAlign w:val="bottom"/>
          </w:tcPr>
          <w:p>
            <w:pPr>
              <w:spacing w:after="0"/>
              <w:rPr>
                <w:sz w:val="24"/>
                <w:szCs w:val="24"/>
                <w:color w:val="auto"/>
              </w:rPr>
            </w:pPr>
          </w:p>
        </w:tc>
        <w:tc>
          <w:tcPr>
            <w:tcW w:w="10160" w:type="dxa"/>
            <w:vAlign w:val="bottom"/>
            <w:tcBorders>
              <w:bottom w:val="single" w:sz="8" w:color="0000EE"/>
            </w:tcBorders>
            <w:gridSpan w:val="12"/>
          </w:tcPr>
          <w:p>
            <w:pPr>
              <w:spacing w:after="0"/>
              <w:rPr>
                <w:rFonts w:ascii="Arial" w:cs="Arial" w:eastAsia="Arial" w:hAnsi="Arial"/>
                <w:sz w:val="18"/>
                <w:szCs w:val="18"/>
                <w:color w:val="0000EE"/>
                <w:w w:val="95"/>
              </w:rPr>
            </w:pPr>
            <w:hyperlink r:id="rId124">
              <w:r>
                <w:rPr>
                  <w:rFonts w:ascii="Arial" w:cs="Arial" w:eastAsia="Arial" w:hAnsi="Arial"/>
                  <w:sz w:val="18"/>
                  <w:szCs w:val="18"/>
                  <w:color w:val="0000EE"/>
                  <w:w w:val="95"/>
                </w:rPr>
                <w:t>Employment Agreement, dated November 5, 2019, between SEACOR Marine Holdings Inc. and John Gellert (incorporated herein by</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reference to Exhibit 10.2 of SEACOR Marine Holdings Inc.’s Quarterly Report on Form 10-Q filed with the Commission on November 12,</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2019 (File No. 001-37966)).</w:t>
              </w:r>
            </w:hyperlink>
          </w:p>
        </w:tc>
        <w:tc>
          <w:tcPr>
            <w:tcW w:w="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24"/>
                <w:szCs w:val="24"/>
                <w:color w:val="auto"/>
              </w:rPr>
            </w:pPr>
          </w:p>
        </w:tc>
        <w:tc>
          <w:tcPr>
            <w:tcW w:w="10160" w:type="dxa"/>
            <w:vAlign w:val="bottom"/>
            <w:tcBorders>
              <w:bottom w:val="single" w:sz="8" w:color="0000EE"/>
            </w:tcBorders>
            <w:gridSpan w:val="12"/>
          </w:tcPr>
          <w:p>
            <w:pPr>
              <w:spacing w:after="0"/>
              <w:rPr>
                <w:rFonts w:ascii="Arial" w:cs="Arial" w:eastAsia="Arial" w:hAnsi="Arial"/>
                <w:sz w:val="18"/>
                <w:szCs w:val="18"/>
                <w:color w:val="0000EE"/>
                <w:w w:val="95"/>
              </w:rPr>
            </w:pPr>
            <w:hyperlink r:id="rId125">
              <w:r>
                <w:rPr>
                  <w:rFonts w:ascii="Arial" w:cs="Arial" w:eastAsia="Arial" w:hAnsi="Arial"/>
                  <w:sz w:val="18"/>
                  <w:szCs w:val="18"/>
                  <w:color w:val="0000EE"/>
                  <w:w w:val="95"/>
                </w:rPr>
                <w:t>Employment Agreement, dated November 5, 2019, between SEACOR Marine Holdings Inc. and Jesús Llorca (incorporated herein by</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w w:val="93"/>
              </w:rPr>
            </w:pPr>
            <w:hyperlink r:id="rId125">
              <w:r>
                <w:rPr>
                  <w:rFonts w:ascii="Arial" w:cs="Arial" w:eastAsia="Arial" w:hAnsi="Arial"/>
                  <w:sz w:val="18"/>
                  <w:szCs w:val="18"/>
                  <w:color w:val="0000EE"/>
                  <w:w w:val="93"/>
                </w:rPr>
                <w:t>reference to Exhibit 10.3 of SEACOR Marine Holdings Inc.’s Quarterly Report on Form 10-Q filed with the Commission on November 12,</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2019 (File No. 001-37966)).</w:t>
              </w:r>
            </w:hyperlink>
          </w:p>
        </w:tc>
        <w:tc>
          <w:tcPr>
            <w:tcW w:w="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10.17*+</w:t>
            </w:r>
          </w:p>
        </w:tc>
        <w:tc>
          <w:tcPr>
            <w:tcW w:w="8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3"/>
              </w:rPr>
            </w:pPr>
            <w:hyperlink r:id="rId126">
              <w:r>
                <w:rPr>
                  <w:rFonts w:ascii="Arial" w:cs="Arial" w:eastAsia="Arial" w:hAnsi="Arial"/>
                  <w:sz w:val="18"/>
                  <w:szCs w:val="18"/>
                  <w:color w:val="0000EE"/>
                  <w:w w:val="93"/>
                </w:rPr>
                <w:t>Employment Agreement, dated November 5, 2019, between SEACOR Marine Holdings Inc. and Gregory Rossmiller (incorporated herein</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26">
              <w:r>
                <w:rPr>
                  <w:rFonts w:ascii="Arial" w:cs="Arial" w:eastAsia="Arial" w:hAnsi="Arial"/>
                  <w:sz w:val="18"/>
                  <w:szCs w:val="18"/>
                  <w:color w:val="0000EE"/>
                  <w:w w:val="93"/>
                </w:rPr>
                <w:t>by reference to Exhibit 10.4 of SEACOR Marine Holdings Inc.’s Quarterly Report on Form 10-Q filed with the Commission on November</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12, 2019 (File No. 001-37966)).</w:t>
              </w:r>
            </w:hyperlink>
          </w:p>
        </w:tc>
        <w:tc>
          <w:tcPr>
            <w:tcW w:w="7840" w:type="dxa"/>
            <w:vAlign w:val="bottom"/>
            <w:gridSpan w:val="9"/>
          </w:tcPr>
          <w:p>
            <w:pPr>
              <w:spacing w:after="0"/>
              <w:rPr>
                <w:sz w:val="17"/>
                <w:szCs w:val="17"/>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10.18*+</w:t>
            </w:r>
          </w:p>
        </w:tc>
        <w:tc>
          <w:tcPr>
            <w:tcW w:w="8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2"/>
              </w:rPr>
            </w:pPr>
            <w:hyperlink r:id="rId127">
              <w:r>
                <w:rPr>
                  <w:rFonts w:ascii="Arial" w:cs="Arial" w:eastAsia="Arial" w:hAnsi="Arial"/>
                  <w:sz w:val="18"/>
                  <w:szCs w:val="18"/>
                  <w:color w:val="0000EE"/>
                  <w:w w:val="92"/>
                </w:rPr>
                <w:t>Employment Agreement, dated November 5, 2019, between SEACOR Marine Holdings Inc. and Andrew H. Everett II (incorporated herein</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27">
              <w:r>
                <w:rPr>
                  <w:rFonts w:ascii="Arial" w:cs="Arial" w:eastAsia="Arial" w:hAnsi="Arial"/>
                  <w:sz w:val="18"/>
                  <w:szCs w:val="18"/>
                  <w:color w:val="0000EE"/>
                  <w:w w:val="93"/>
                </w:rPr>
                <w:t>by reference to Exhibit 10.5 of SEACOR Marine Holdings Inc.’s Quarterly Report on Form 10-Q filed with the Commission on November</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12, 2019 (File No. 001-37966)).</w:t>
              </w:r>
            </w:hyperlink>
          </w:p>
        </w:tc>
        <w:tc>
          <w:tcPr>
            <w:tcW w:w="7840" w:type="dxa"/>
            <w:vAlign w:val="bottom"/>
            <w:gridSpan w:val="9"/>
          </w:tcPr>
          <w:p>
            <w:pPr>
              <w:spacing w:after="0"/>
              <w:rPr>
                <w:sz w:val="17"/>
                <w:szCs w:val="17"/>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10.19*</w:t>
            </w:r>
          </w:p>
        </w:tc>
        <w:tc>
          <w:tcPr>
            <w:tcW w:w="80" w:type="dxa"/>
            <w:vAlign w:val="bottom"/>
          </w:tcPr>
          <w:p>
            <w:pPr>
              <w:spacing w:after="0"/>
              <w:rPr>
                <w:sz w:val="24"/>
                <w:szCs w:val="24"/>
                <w:color w:val="auto"/>
              </w:rPr>
            </w:pPr>
          </w:p>
        </w:tc>
        <w:tc>
          <w:tcPr>
            <w:tcW w:w="10160" w:type="dxa"/>
            <w:vAlign w:val="bottom"/>
            <w:tcBorders>
              <w:bottom w:val="single" w:sz="8" w:color="0000EE"/>
            </w:tcBorders>
            <w:gridSpan w:val="12"/>
          </w:tcPr>
          <w:p>
            <w:pPr>
              <w:spacing w:after="0"/>
              <w:rPr>
                <w:rFonts w:ascii="Arial" w:cs="Arial" w:eastAsia="Arial" w:hAnsi="Arial"/>
                <w:sz w:val="18"/>
                <w:szCs w:val="18"/>
                <w:color w:val="0000EE"/>
                <w:w w:val="90"/>
              </w:rPr>
            </w:pPr>
            <w:hyperlink r:id="rId128">
              <w:r>
                <w:rPr>
                  <w:rFonts w:ascii="Arial" w:cs="Arial" w:eastAsia="Arial" w:hAnsi="Arial"/>
                  <w:sz w:val="18"/>
                  <w:szCs w:val="18"/>
                  <w:color w:val="0000EE"/>
                  <w:w w:val="90"/>
                </w:rPr>
                <w:t>Amendment No. 1 to Credit Agreement and Parent Guaranty, dated as of August 6, 2019, by and among SEACOR Marine Foreign Holdings</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r:id="rId128">
              <w:r>
                <w:rPr>
                  <w:rFonts w:ascii="Arial" w:cs="Arial" w:eastAsia="Arial" w:hAnsi="Arial"/>
                  <w:sz w:val="18"/>
                  <w:szCs w:val="18"/>
                  <w:color w:val="0000EE"/>
                  <w:w w:val="96"/>
                </w:rPr>
                <w:t>Inc., SEACOR Marine Holdings Inc., DNB Bank ASA, New York Branch, DNB Markets Inc., Clifford Capital Pte. Ltd, NIBC Bank N.V.</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w w:val="97"/>
              </w:rPr>
            </w:pPr>
            <w:hyperlink r:id="rId128">
              <w:r>
                <w:rPr>
                  <w:rFonts w:ascii="Arial" w:cs="Arial" w:eastAsia="Arial" w:hAnsi="Arial"/>
                  <w:sz w:val="18"/>
                  <w:szCs w:val="18"/>
                  <w:color w:val="0000EE"/>
                  <w:w w:val="97"/>
                </w:rPr>
                <w:t>and entities identified on schedules to the Amendment No. 1. (incorporated herein by reference to Exhibit 10.3 of SEACOR Marine</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Holdings Inc.’s Quarterly Report on Form 10-Q filed with the Commission on August 7, 2019 (File No. 001-37966)).</w:t>
              </w:r>
            </w:hyperlink>
          </w:p>
        </w:tc>
        <w:tc>
          <w:tcPr>
            <w:tcW w:w="1640" w:type="dxa"/>
            <w:vAlign w:val="bottom"/>
            <w:tcBorders>
              <w:top w:val="single" w:sz="8" w:color="0000EE"/>
            </w:tcBorders>
            <w:gridSpan w:val="2"/>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Agreement for the Sale and Purchase of the Share Capital of Boston Putford Offshore Safety Limited, dated as of November 1, 2019, by and</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29">
              <w:r>
                <w:rPr>
                  <w:rFonts w:ascii="Arial" w:cs="Arial" w:eastAsia="Arial" w:hAnsi="Arial"/>
                  <w:sz w:val="18"/>
                  <w:szCs w:val="18"/>
                  <w:color w:val="0000EE"/>
                  <w:w w:val="93"/>
                </w:rPr>
                <w:t>among SEACOR Capital (UK) Limited, SEACOR Marine (Guernsey) Limited, Putford Phoenix Limited, Putford Defender Limited, Stirling</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r:id="rId129">
              <w:r>
                <w:rPr>
                  <w:rFonts w:ascii="Arial" w:cs="Arial" w:eastAsia="Arial" w:hAnsi="Arial"/>
                  <w:sz w:val="18"/>
                  <w:szCs w:val="18"/>
                  <w:color w:val="0000EE"/>
                  <w:w w:val="97"/>
                </w:rPr>
                <w:t>Offshore Limited, North Star Holdco Limited and SEACOR Marine Holdings Inc. (incorporated herein by reference to Exhibit 10.1 of</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SEACOR Marine Holdings Inc.’s Quarterly Report on Form 10-Q filed with the Commission on November 12, 2019 (File No. 001-37966)).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10.21*</w:t>
            </w:r>
          </w:p>
        </w:tc>
        <w:tc>
          <w:tcPr>
            <w:tcW w:w="8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2"/>
              </w:rPr>
            </w:pPr>
            <w:hyperlink r:id="rId130">
              <w:r>
                <w:rPr>
                  <w:rFonts w:ascii="Arial" w:cs="Arial" w:eastAsia="Arial" w:hAnsi="Arial"/>
                  <w:sz w:val="18"/>
                  <w:szCs w:val="18"/>
                  <w:color w:val="0000EE"/>
                  <w:w w:val="92"/>
                </w:rPr>
                <w:t>Amendment No. 2 to Credit Agreement, dated as of November 26, 2019, by and among SEACOR Marine Foreign Holdings Inc., SEACOR</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2"/>
          </w:tcPr>
          <w:p>
            <w:pPr>
              <w:spacing w:after="0" w:line="196" w:lineRule="exact"/>
              <w:rPr>
                <w:rFonts w:ascii="Arial" w:cs="Arial" w:eastAsia="Arial" w:hAnsi="Arial"/>
                <w:sz w:val="18"/>
                <w:szCs w:val="18"/>
                <w:color w:val="0000EE"/>
                <w:w w:val="98"/>
              </w:rPr>
            </w:pPr>
            <w:hyperlink r:id="rId130">
              <w:r>
                <w:rPr>
                  <w:rFonts w:ascii="Arial" w:cs="Arial" w:eastAsia="Arial" w:hAnsi="Arial"/>
                  <w:sz w:val="18"/>
                  <w:szCs w:val="18"/>
                  <w:color w:val="0000EE"/>
                  <w:w w:val="98"/>
                </w:rPr>
                <w:t>Marine Holdings Inc., DNB Bank ASA, New York Branch, DNB Markets Inc., Clifford Capital Pte, Ltd, NIBC Bank N.V. and entities</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r:id="rId130">
              <w:r>
                <w:rPr>
                  <w:rFonts w:ascii="Arial" w:cs="Arial" w:eastAsia="Arial" w:hAnsi="Arial"/>
                  <w:sz w:val="18"/>
                  <w:szCs w:val="18"/>
                  <w:color w:val="0000EE"/>
                  <w:w w:val="95"/>
                </w:rPr>
                <w:t>identified on schedules to the Amendment No. 2. (incorporated herein by reference to Exhibit 10.1 of SEACOR Marine Holdings Inc.’s</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Current Report on Form 8-K filed with the Commission on December 3, 2019 (File No. 001-37966)).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10.22*</w:t>
            </w:r>
          </w:p>
        </w:tc>
        <w:tc>
          <w:tcPr>
            <w:tcW w:w="80" w:type="dxa"/>
            <w:vAlign w:val="bottom"/>
          </w:tcPr>
          <w:p>
            <w:pPr>
              <w:spacing w:after="0"/>
              <w:rPr>
                <w:sz w:val="24"/>
                <w:szCs w:val="24"/>
                <w:color w:val="auto"/>
              </w:rPr>
            </w:pPr>
          </w:p>
        </w:tc>
        <w:tc>
          <w:tcPr>
            <w:tcW w:w="10160" w:type="dxa"/>
            <w:vAlign w:val="bottom"/>
            <w:tcBorders>
              <w:bottom w:val="single" w:sz="8" w:color="0000EE"/>
            </w:tcBorders>
            <w:gridSpan w:val="12"/>
          </w:tcPr>
          <w:p>
            <w:pPr>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Sale and Purchase Agreement, dated May 31, 2020, by and between China Shipping Fan Tai Limited, China Shipping Industry (Hong Kong)</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31">
              <w:r>
                <w:rPr>
                  <w:rFonts w:ascii="Arial" w:cs="Arial" w:eastAsia="Arial" w:hAnsi="Arial"/>
                  <w:sz w:val="18"/>
                  <w:szCs w:val="18"/>
                  <w:color w:val="0000EE"/>
                  <w:w w:val="93"/>
                </w:rPr>
                <w:t>Co. Limited and SEACOR Offshore Asia LLC (incorporated herein by reference to Exhibit 10.1 of SEACOR Marine Holdings Inc.’s Form</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8-K filed with the Commission on June 4, 2020 (File No. 001-37966)).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10.23*</w:t>
            </w:r>
          </w:p>
        </w:tc>
        <w:tc>
          <w:tcPr>
            <w:tcW w:w="80" w:type="dxa"/>
            <w:vAlign w:val="bottom"/>
          </w:tcPr>
          <w:p>
            <w:pPr>
              <w:spacing w:after="0"/>
              <w:rPr>
                <w:sz w:val="24"/>
                <w:szCs w:val="24"/>
                <w:color w:val="auto"/>
              </w:rPr>
            </w:pPr>
          </w:p>
        </w:tc>
        <w:tc>
          <w:tcPr>
            <w:tcW w:w="10160" w:type="dxa"/>
            <w:vAlign w:val="bottom"/>
            <w:tcBorders>
              <w:bottom w:val="single" w:sz="8" w:color="0000EE"/>
            </w:tcBorders>
            <w:gridSpan w:val="12"/>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Parent Guarantee, dated May 31, 2020, by SEACOR Marine Holdings Inc. in favour of China Shipping Fan Tai Limited and China Shipping</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w w:val="95"/>
              </w:rPr>
            </w:pPr>
            <w:hyperlink r:id="rId132">
              <w:r>
                <w:rPr>
                  <w:rFonts w:ascii="Arial" w:cs="Arial" w:eastAsia="Arial" w:hAnsi="Arial"/>
                  <w:sz w:val="18"/>
                  <w:szCs w:val="18"/>
                  <w:color w:val="0000EE"/>
                  <w:w w:val="95"/>
                </w:rPr>
                <w:t>Industry (Hong Kong) Co., Limited (incorporated herein by reference to Exhibit 10.2 of SEACOR Marine Holdings Inc.’s Form 8-K filed</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with the Commission on June 4, 2020 (File No. 001-37966)).</w:t>
              </w:r>
            </w:hyperlink>
          </w:p>
        </w:tc>
        <w:tc>
          <w:tcPr>
            <w:tcW w:w="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7"/>
        </w:trPr>
        <w:tc>
          <w:tcPr>
            <w:tcW w:w="1000" w:type="dxa"/>
            <w:vAlign w:val="bottom"/>
          </w:tcPr>
          <w:p>
            <w:pPr>
              <w:ind w:left="20"/>
              <w:spacing w:after="0"/>
              <w:rPr>
                <w:sz w:val="20"/>
                <w:szCs w:val="20"/>
                <w:color w:val="auto"/>
              </w:rPr>
            </w:pPr>
            <w:r>
              <w:rPr>
                <w:rFonts w:ascii="Arial" w:cs="Arial" w:eastAsia="Arial" w:hAnsi="Arial"/>
                <w:sz w:val="18"/>
                <w:szCs w:val="18"/>
                <w:color w:val="auto"/>
              </w:rPr>
              <w:t>10.24*</w:t>
            </w:r>
          </w:p>
        </w:tc>
        <w:tc>
          <w:tcPr>
            <w:tcW w:w="8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3"/>
              </w:rPr>
            </w:pPr>
            <w:hyperlink r:id="rId133">
              <w:r>
                <w:rPr>
                  <w:rFonts w:ascii="Arial" w:cs="Arial" w:eastAsia="Arial" w:hAnsi="Arial"/>
                  <w:sz w:val="18"/>
                  <w:szCs w:val="18"/>
                  <w:color w:val="0000EE"/>
                  <w:w w:val="93"/>
                </w:rPr>
                <w:t>Form of Parent Guarantee by SEACOR Marine Holdings Inc. and COSCO Shipping Heavy Industry (Guangdong) Co., Ltd (incorporated</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5300" w:type="dxa"/>
            <w:vAlign w:val="bottom"/>
            <w:gridSpan w:val="4"/>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herein by reference to Exhibit 10.3 of SEACOR Marine Holdings Inc.’s Form 8-K filed with the Commission on June 4, 2020 (File No. 001-</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33">
              <w:r>
                <w:rPr>
                  <w:rFonts w:ascii="Arial" w:cs="Arial" w:eastAsia="Arial" w:hAnsi="Arial"/>
                  <w:sz w:val="18"/>
                  <w:szCs w:val="18"/>
                  <w:color w:val="0000EE"/>
                  <w:w w:val="88"/>
                </w:rPr>
                <w:t>37966).</w:t>
              </w:r>
            </w:hyperlink>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10.25*</w:t>
            </w:r>
          </w:p>
        </w:tc>
        <w:tc>
          <w:tcPr>
            <w:tcW w:w="8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4"/>
              </w:rPr>
            </w:pPr>
            <w:hyperlink r:id="rId134">
              <w:r>
                <w:rPr>
                  <w:rFonts w:ascii="Arial" w:cs="Arial" w:eastAsia="Arial" w:hAnsi="Arial"/>
                  <w:sz w:val="18"/>
                  <w:szCs w:val="18"/>
                  <w:color w:val="0000EE"/>
                  <w:w w:val="94"/>
                </w:rPr>
                <w:t>Tax Refund and Indemnification Agreement, dated as of June 26, 2020, by and between SEACOR Marine Holdings Inc. and SEACOR</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5300" w:type="dxa"/>
            <w:vAlign w:val="bottom"/>
            <w:gridSpan w:val="4"/>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Holdings Inc. (incorporated herein by reference to Exhibit 10.1 of SEACOR Marine Holdings Inc.’s Form 8-K filed with the Commission on</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June 29, 2020 (File No. 001-37966)).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5300" w:type="dxa"/>
            <w:vAlign w:val="bottom"/>
            <w:gridSpan w:val="4"/>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10.26*</w:t>
            </w:r>
          </w:p>
        </w:tc>
        <w:tc>
          <w:tcPr>
            <w:tcW w:w="80" w:type="dxa"/>
            <w:vAlign w:val="bottom"/>
          </w:tcPr>
          <w:p>
            <w:pPr>
              <w:spacing w:after="0"/>
              <w:rPr>
                <w:sz w:val="24"/>
                <w:szCs w:val="24"/>
                <w:color w:val="auto"/>
              </w:rPr>
            </w:pPr>
          </w:p>
        </w:tc>
        <w:tc>
          <w:tcPr>
            <w:tcW w:w="10160" w:type="dxa"/>
            <w:vAlign w:val="bottom"/>
            <w:tcBorders>
              <w:bottom w:val="single" w:sz="8" w:color="0000EE"/>
            </w:tcBorders>
            <w:gridSpan w:val="12"/>
          </w:tcPr>
          <w:p>
            <w:pP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Amendment No. 3 to Credit Agreement and Parent Guaranty, dated as of June 29, 2020, by and among SEACOR Marine Foreign Holdings</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r:id="rId135">
              <w:r>
                <w:rPr>
                  <w:rFonts w:ascii="Arial" w:cs="Arial" w:eastAsia="Arial" w:hAnsi="Arial"/>
                  <w:sz w:val="18"/>
                  <w:szCs w:val="18"/>
                  <w:color w:val="0000EE"/>
                  <w:w w:val="95"/>
                </w:rPr>
                <w:t>Inc., SEACOR Marine Holdings Inc., DNB Bank ASA, New York Branch, DNB Capital LLC, Clifford Capital Pte, Ltd, Hancock Whitney</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w w:val="95"/>
              </w:rPr>
            </w:pPr>
            <w:hyperlink r:id="rId135">
              <w:r>
                <w:rPr>
                  <w:rFonts w:ascii="Arial" w:cs="Arial" w:eastAsia="Arial" w:hAnsi="Arial"/>
                  <w:sz w:val="18"/>
                  <w:szCs w:val="18"/>
                  <w:color w:val="0000EE"/>
                  <w:w w:val="95"/>
                </w:rPr>
                <w:t>Bank, Citicorp North America, Inc., and the entities identified on schedules thereto (incorporated herein by reference to Exhibit 10.1 of</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SEACOR Marine Holdings Inc.’s Form 8-K filed with the Commission on July 6, 2020 (File No. 001-37966)).</w:t>
              </w:r>
            </w:hyperlink>
          </w:p>
        </w:tc>
        <w:tc>
          <w:tcPr>
            <w:tcW w:w="60" w:type="dxa"/>
            <w:vAlign w:val="bottom"/>
          </w:tcPr>
          <w:p>
            <w:pPr>
              <w:spacing w:after="0"/>
              <w:rPr>
                <w:sz w:val="17"/>
                <w:szCs w:val="17"/>
                <w:color w:val="auto"/>
              </w:rPr>
            </w:pPr>
          </w:p>
        </w:tc>
      </w:tr>
      <w:tr>
        <w:trPr>
          <w:trHeight w:val="452"/>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00" w:type="dxa"/>
            <w:vAlign w:val="bottom"/>
            <w:tcBorders>
              <w:top w:val="single" w:sz="8" w:color="0000EE"/>
            </w:tcBorders>
            <w:gridSpan w:val="6"/>
          </w:tcPr>
          <w:p>
            <w:pPr>
              <w:ind w:left="4460"/>
              <w:spacing w:after="0"/>
              <w:rPr>
                <w:sz w:val="20"/>
                <w:szCs w:val="20"/>
                <w:color w:val="auto"/>
              </w:rPr>
            </w:pPr>
            <w:r>
              <w:rPr>
                <w:rFonts w:ascii="Arial" w:cs="Arial" w:eastAsia="Arial" w:hAnsi="Arial"/>
                <w:sz w:val="18"/>
                <w:szCs w:val="18"/>
                <w:color w:val="auto"/>
              </w:rPr>
              <w:t>72</w:t>
            </w:r>
          </w:p>
        </w:tc>
        <w:tc>
          <w:tcPr>
            <w:tcW w:w="22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6"/>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80" w:type="dxa"/>
            <w:vAlign w:val="bottom"/>
            <w:gridSpan w:val="7"/>
          </w:tcPr>
          <w:p>
            <w:pPr>
              <w:ind w:left="560"/>
              <w:spacing w:after="0"/>
              <w:rPr>
                <w:sz w:val="20"/>
                <w:szCs w:val="20"/>
                <w:color w:val="auto"/>
              </w:rPr>
            </w:pPr>
            <w:r>
              <w:rPr>
                <w:rFonts w:ascii="Arial" w:cs="Arial" w:eastAsia="Arial" w:hAnsi="Arial"/>
                <w:sz w:val="18"/>
                <w:szCs w:val="18"/>
                <w:b w:val="1"/>
                <w:bCs w:val="1"/>
                <w:color w:val="auto"/>
              </w:rPr>
              <w:t>Description</w:t>
            </w:r>
          </w:p>
        </w:tc>
      </w:tr>
      <w:tr>
        <w:trPr>
          <w:trHeight w:val="290"/>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10.27*</w:t>
            </w:r>
          </w:p>
        </w:tc>
        <w:tc>
          <w:tcPr>
            <w:tcW w:w="80" w:type="dxa"/>
            <w:vAlign w:val="bottom"/>
          </w:tcPr>
          <w:p>
            <w:pPr>
              <w:spacing w:after="0"/>
              <w:rPr>
                <w:sz w:val="24"/>
                <w:szCs w:val="24"/>
                <w:color w:val="auto"/>
              </w:rPr>
            </w:pPr>
          </w:p>
        </w:tc>
        <w:tc>
          <w:tcPr>
            <w:tcW w:w="10160" w:type="dxa"/>
            <w:vAlign w:val="bottom"/>
            <w:tcBorders>
              <w:top w:val="single" w:sz="8" w:color="auto"/>
            </w:tcBorders>
            <w:gridSpan w:val="13"/>
          </w:tcPr>
          <w:p>
            <w:pPr>
              <w:spacing w:after="0"/>
              <w:rPr>
                <w:rFonts w:ascii="Arial" w:cs="Arial" w:eastAsia="Arial" w:hAnsi="Arial"/>
                <w:sz w:val="18"/>
                <w:szCs w:val="18"/>
                <w:color w:val="0000EE"/>
                <w:w w:val="95"/>
              </w:rPr>
            </w:pPr>
            <w:hyperlink r:id="rId138">
              <w:r>
                <w:rPr>
                  <w:rFonts w:ascii="Arial" w:cs="Arial" w:eastAsia="Arial" w:hAnsi="Arial"/>
                  <w:sz w:val="18"/>
                  <w:szCs w:val="18"/>
                  <w:color w:val="0000EE"/>
                  <w:w w:val="95"/>
                </w:rPr>
                <w:t>Agreement for the Sale and Purchase of the Share Capital of Windcat Workboats Holdings Limited, dated December 18, 2020, by and</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among Seabulk Overseas Transport, Inc., CMB N.V. and SEACOR Marine Holdings Inc. (incorporated herein by reference to Exhibit 10.1</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7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of SEACOR Marine Holdings Inc.’s Form 8-K filed with the Commission on December 18, 2020 (File No. 001-37966)).</w:t>
              </w:r>
            </w:hyperlink>
          </w:p>
        </w:tc>
        <w:tc>
          <w:tcPr>
            <w:tcW w:w="1460" w:type="dxa"/>
            <w:vAlign w:val="bottom"/>
            <w:gridSpan w:val="4"/>
          </w:tcPr>
          <w:p>
            <w:pPr>
              <w:spacing w:after="0"/>
              <w:rPr>
                <w:sz w:val="17"/>
                <w:szCs w:val="17"/>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24"/>
                <w:szCs w:val="24"/>
                <w:color w:val="auto"/>
              </w:rPr>
            </w:pPr>
          </w:p>
        </w:tc>
        <w:tc>
          <w:tcPr>
            <w:tcW w:w="10160" w:type="dxa"/>
            <w:vAlign w:val="bottom"/>
            <w:tcBorders>
              <w:bottom w:val="single" w:sz="8" w:color="0000EE"/>
            </w:tcBorders>
            <w:gridSpan w:val="13"/>
          </w:tcPr>
          <w:p>
            <w:pPr>
              <w:spacing w:after="0"/>
              <w:rPr>
                <w:rFonts w:ascii="Arial" w:cs="Arial" w:eastAsia="Arial" w:hAnsi="Arial"/>
                <w:sz w:val="18"/>
                <w:szCs w:val="18"/>
                <w:color w:val="0000EE"/>
                <w:w w:val="93"/>
              </w:rPr>
            </w:pPr>
            <w:hyperlink r:id="rId139">
              <w:r>
                <w:rPr>
                  <w:rFonts w:ascii="Arial" w:cs="Arial" w:eastAsia="Arial" w:hAnsi="Arial"/>
                  <w:sz w:val="18"/>
                  <w:szCs w:val="18"/>
                  <w:color w:val="0000EE"/>
                  <w:w w:val="93"/>
                </w:rPr>
                <w:t>Letter Agreement, dated December 18, 2020, by and among SEACOR Marine Foreign Holdings Inc., SEACOR Marine Holdings Inc. and</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DNB Bank ASA, New York Branch, as facility agent and on behalf of the majority lenders (incorporated herein by reference to Exhibit 10.2</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7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of SEACOR Marine Holdings Inc.’s Form 8-K filed with the Commission on December 18, 2020 (File No. 001-37966)).</w:t>
              </w:r>
            </w:hyperlink>
          </w:p>
        </w:tc>
        <w:tc>
          <w:tcPr>
            <w:tcW w:w="1460" w:type="dxa"/>
            <w:vAlign w:val="bottom"/>
            <w:gridSpan w:val="4"/>
          </w:tcPr>
          <w:p>
            <w:pPr>
              <w:spacing w:after="0"/>
              <w:rPr>
                <w:sz w:val="17"/>
                <w:szCs w:val="17"/>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10.29*+</w:t>
            </w:r>
          </w:p>
        </w:tc>
        <w:tc>
          <w:tcPr>
            <w:tcW w:w="80" w:type="dxa"/>
            <w:vAlign w:val="bottom"/>
          </w:tcPr>
          <w:p>
            <w:pPr>
              <w:spacing w:after="0"/>
              <w:rPr>
                <w:sz w:val="24"/>
                <w:szCs w:val="24"/>
                <w:color w:val="auto"/>
              </w:rPr>
            </w:pPr>
          </w:p>
        </w:tc>
        <w:tc>
          <w:tcPr>
            <w:tcW w:w="10160" w:type="dxa"/>
            <w:vAlign w:val="bottom"/>
            <w:tcBorders>
              <w:bottom w:val="single" w:sz="8" w:color="0000EE"/>
            </w:tcBorders>
            <w:gridSpan w:val="13"/>
          </w:tcPr>
          <w:p>
            <w:pPr>
              <w:spacing w:after="0"/>
              <w:rPr>
                <w:rFonts w:ascii="Arial" w:cs="Arial" w:eastAsia="Arial" w:hAnsi="Arial"/>
                <w:sz w:val="18"/>
                <w:szCs w:val="18"/>
                <w:color w:val="0000EE"/>
                <w:w w:val="96"/>
              </w:rPr>
            </w:pPr>
            <w:hyperlink r:id="rId140">
              <w:r>
                <w:rPr>
                  <w:rFonts w:ascii="Arial" w:cs="Arial" w:eastAsia="Arial" w:hAnsi="Arial"/>
                  <w:sz w:val="18"/>
                  <w:szCs w:val="18"/>
                  <w:color w:val="0000EE"/>
                  <w:w w:val="96"/>
                </w:rPr>
                <w:t>SEACOR Marine Holdings Inc. 2020 Equity Incentive Plan (incorporated by reference to Annex A of SEACOR Marine Holding Inc.’s</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definitive proxy statement on Schedule 14A as filed with the Commission on April 22, 2020 (SEC File No. 001-37966)).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10.30*+</w:t>
            </w:r>
          </w:p>
        </w:tc>
        <w:tc>
          <w:tcPr>
            <w:tcW w:w="80" w:type="dxa"/>
            <w:vAlign w:val="bottom"/>
          </w:tcPr>
          <w:p>
            <w:pPr>
              <w:spacing w:after="0"/>
              <w:rPr>
                <w:sz w:val="24"/>
                <w:szCs w:val="24"/>
                <w:color w:val="auto"/>
              </w:rPr>
            </w:pPr>
          </w:p>
        </w:tc>
        <w:tc>
          <w:tcPr>
            <w:tcW w:w="10160" w:type="dxa"/>
            <w:vAlign w:val="bottom"/>
            <w:tcBorders>
              <w:bottom w:val="single" w:sz="8" w:color="0000EE"/>
            </w:tcBorders>
            <w:gridSpan w:val="13"/>
          </w:tcPr>
          <w:p>
            <w:pPr>
              <w:spacing w:after="0"/>
              <w:rPr>
                <w:rFonts w:ascii="Arial" w:cs="Arial" w:eastAsia="Arial" w:hAnsi="Arial"/>
                <w:sz w:val="18"/>
                <w:szCs w:val="18"/>
                <w:color w:val="0000EE"/>
                <w:w w:val="93"/>
              </w:rPr>
            </w:pPr>
            <w:hyperlink r:id="rId141">
              <w:r>
                <w:rPr>
                  <w:rFonts w:ascii="Arial" w:cs="Arial" w:eastAsia="Arial" w:hAnsi="Arial"/>
                  <w:sz w:val="18"/>
                  <w:szCs w:val="18"/>
                  <w:color w:val="0000EE"/>
                  <w:w w:val="93"/>
                </w:rPr>
                <w:t>Form of Restricted Stock Grant Agreement under the SEACOR Marine Holdings Inc. 2020 Equity Incentive Plan (incorporated herein by</w:t>
              </w:r>
            </w:hyperlink>
          </w:p>
        </w:tc>
      </w:tr>
      <w:tr>
        <w:trPr>
          <w:trHeight w:val="223"/>
        </w:trPr>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160" w:type="dxa"/>
            <w:vAlign w:val="bottom"/>
            <w:tcBorders>
              <w:bottom w:val="single" w:sz="8" w:color="0000EE"/>
            </w:tcBorders>
            <w:gridSpan w:val="13"/>
          </w:tcPr>
          <w:p>
            <w:pPr>
              <w:spacing w:after="0"/>
              <w:rPr>
                <w:rFonts w:ascii="Arial" w:cs="Arial" w:eastAsia="Arial" w:hAnsi="Arial"/>
                <w:sz w:val="18"/>
                <w:szCs w:val="18"/>
                <w:color w:val="0000EE"/>
                <w:w w:val="92"/>
              </w:rPr>
            </w:pPr>
            <w:hyperlink r:id="rId141">
              <w:r>
                <w:rPr>
                  <w:rFonts w:ascii="Arial" w:cs="Arial" w:eastAsia="Arial" w:hAnsi="Arial"/>
                  <w:sz w:val="18"/>
                  <w:szCs w:val="18"/>
                  <w:color w:val="0000EE"/>
                  <w:w w:val="92"/>
                </w:rPr>
                <w:t>reference to Exhibit 10.40 of SEACOR Holdings Inc.’s Annual Report on Form 10-K for the fiscal year ended December 31, 2020 filed with</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the Commission on March 11, 2021 (File No. 1-37966)).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10.31*+</w:t>
            </w:r>
          </w:p>
        </w:tc>
        <w:tc>
          <w:tcPr>
            <w:tcW w:w="80" w:type="dxa"/>
            <w:vAlign w:val="bottom"/>
          </w:tcPr>
          <w:p>
            <w:pPr>
              <w:spacing w:after="0"/>
              <w:rPr>
                <w:sz w:val="24"/>
                <w:szCs w:val="24"/>
                <w:color w:val="auto"/>
              </w:rPr>
            </w:pPr>
          </w:p>
        </w:tc>
        <w:tc>
          <w:tcPr>
            <w:tcW w:w="10160" w:type="dxa"/>
            <w:vAlign w:val="bottom"/>
            <w:tcBorders>
              <w:bottom w:val="single" w:sz="8" w:color="0000EE"/>
            </w:tcBorders>
            <w:gridSpan w:val="13"/>
          </w:tcPr>
          <w:p>
            <w:pPr>
              <w:spacing w:after="0"/>
              <w:rPr>
                <w:rFonts w:ascii="Arial" w:cs="Arial" w:eastAsia="Arial" w:hAnsi="Arial"/>
                <w:sz w:val="18"/>
                <w:szCs w:val="18"/>
                <w:color w:val="0000EE"/>
                <w:w w:val="96"/>
              </w:rPr>
            </w:pPr>
            <w:hyperlink r:id="rId142">
              <w:r>
                <w:rPr>
                  <w:rFonts w:ascii="Arial" w:cs="Arial" w:eastAsia="Arial" w:hAnsi="Arial"/>
                  <w:sz w:val="18"/>
                  <w:szCs w:val="18"/>
                  <w:color w:val="0000EE"/>
                  <w:w w:val="96"/>
                </w:rPr>
                <w:t>Form of Stock Option Grant Agreement under the SEACOR Marine Holdings Inc. 2020 Equity Incentive Plan (incorporated herein by</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reference to Exhibit 10.41 of SEACOR Holdings Inc.’s Annual Report on Form 10-K for the fiscal year ended December 31, 2020 filed with</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the Commission on March 11, 2021 (File No. 1-37966)).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24"/>
                <w:szCs w:val="24"/>
                <w:color w:val="auto"/>
              </w:rPr>
            </w:pPr>
          </w:p>
        </w:tc>
        <w:tc>
          <w:tcPr>
            <w:tcW w:w="10160" w:type="dxa"/>
            <w:vAlign w:val="bottom"/>
            <w:tcBorders>
              <w:bottom w:val="single" w:sz="8" w:color="0000EE"/>
            </w:tcBorders>
            <w:gridSpan w:val="13"/>
          </w:tcPr>
          <w:p>
            <w:pPr>
              <w:spacing w:after="0"/>
              <w:rPr>
                <w:rFonts w:ascii="Arial" w:cs="Arial" w:eastAsia="Arial" w:hAnsi="Arial"/>
                <w:sz w:val="18"/>
                <w:szCs w:val="18"/>
                <w:color w:val="0000EE"/>
                <w:w w:val="97"/>
              </w:rPr>
            </w:pPr>
            <w:hyperlink r:id="rId143">
              <w:r>
                <w:rPr>
                  <w:rFonts w:ascii="Arial" w:cs="Arial" w:eastAsia="Arial" w:hAnsi="Arial"/>
                  <w:sz w:val="18"/>
                  <w:szCs w:val="18"/>
                  <w:color w:val="0000EE"/>
                  <w:w w:val="97"/>
                </w:rPr>
                <w:t>Form of Performance Restricted Stock Unit Grant Agreement under the SEACOR Marine Holdings Inc. 2020 Equity Incentive Plan</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w w:val="96"/>
              </w:rPr>
            </w:pPr>
            <w:hyperlink r:id="rId143">
              <w:r>
                <w:rPr>
                  <w:rFonts w:ascii="Arial" w:cs="Arial" w:eastAsia="Arial" w:hAnsi="Arial"/>
                  <w:sz w:val="18"/>
                  <w:szCs w:val="18"/>
                  <w:color w:val="0000EE"/>
                  <w:w w:val="96"/>
                </w:rPr>
                <w:t>(incorporated herein by reference to Exhibit 10.42 of SEACOR Holdings Inc.’s Annual Report on Form 10-K for the fiscal year ended</w:t>
              </w:r>
            </w:hyperlink>
          </w:p>
        </w:tc>
      </w:tr>
      <w:tr>
        <w:trPr>
          <w:trHeight w:val="223"/>
        </w:trPr>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140" w:type="dxa"/>
            <w:vAlign w:val="bottom"/>
            <w:tcBorders>
              <w:top w:val="single" w:sz="8" w:color="0000EE"/>
            </w:tcBorders>
            <w:gridSpan w:val="12"/>
          </w:tcPr>
          <w:p>
            <w:pPr>
              <w:spacing w:after="0" w:line="223" w:lineRule="exact"/>
              <w:rPr>
                <w:rFonts w:ascii="Arial" w:cs="Arial" w:eastAsia="Arial" w:hAnsi="Arial"/>
                <w:sz w:val="18"/>
                <w:szCs w:val="18"/>
                <w:color w:val="0000EE"/>
              </w:rPr>
            </w:pPr>
            <w:hyperlink r:id="rId143">
              <w:r>
                <w:rPr>
                  <w:rFonts w:ascii="Arial" w:cs="Arial" w:eastAsia="Arial" w:hAnsi="Arial"/>
                  <w:sz w:val="18"/>
                  <w:szCs w:val="18"/>
                  <w:color w:val="0000EE"/>
                </w:rPr>
                <w:t>December 31, 2020 filed with the Commission on March 11, 2021 (File No. 1-37966))</w:t>
              </w:r>
              <w:r>
                <w:rPr>
                  <w:rFonts w:ascii="Arial" w:cs="Arial" w:eastAsia="Arial" w:hAnsi="Arial"/>
                  <w:sz w:val="21"/>
                  <w:szCs w:val="21"/>
                  <w:color w:val="000000"/>
                </w:rPr>
                <w:t>.</w:t>
              </w:r>
            </w:hyperlink>
          </w:p>
        </w:tc>
        <w:tc>
          <w:tcPr>
            <w:tcW w:w="2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10.33*+</w:t>
            </w:r>
          </w:p>
        </w:tc>
        <w:tc>
          <w:tcPr>
            <w:tcW w:w="80" w:type="dxa"/>
            <w:vAlign w:val="bottom"/>
          </w:tcPr>
          <w:p>
            <w:pPr>
              <w:spacing w:after="0"/>
              <w:rPr>
                <w:sz w:val="24"/>
                <w:szCs w:val="24"/>
                <w:color w:val="auto"/>
              </w:rPr>
            </w:pPr>
          </w:p>
        </w:tc>
        <w:tc>
          <w:tcPr>
            <w:tcW w:w="10160" w:type="dxa"/>
            <w:vAlign w:val="bottom"/>
            <w:tcBorders>
              <w:bottom w:val="single" w:sz="8" w:color="0000EE"/>
            </w:tcBorders>
            <w:gridSpan w:val="13"/>
          </w:tcPr>
          <w:p>
            <w:pPr>
              <w:spacing w:after="0"/>
              <w:rPr>
                <w:rFonts w:ascii="Arial" w:cs="Arial" w:eastAsia="Arial" w:hAnsi="Arial"/>
                <w:sz w:val="18"/>
                <w:szCs w:val="18"/>
                <w:color w:val="0000EE"/>
                <w:w w:val="94"/>
              </w:rPr>
            </w:pPr>
            <w:hyperlink r:id="rId144">
              <w:r>
                <w:rPr>
                  <w:rFonts w:ascii="Arial" w:cs="Arial" w:eastAsia="Arial" w:hAnsi="Arial"/>
                  <w:sz w:val="18"/>
                  <w:szCs w:val="18"/>
                  <w:color w:val="0000EE"/>
                  <w:w w:val="94"/>
                </w:rPr>
                <w:t>Form of Director Stock Option Agreement under the SEACOR Marine Holdings Inc. 2020 Equity Incentive Plan (incorporated herein by</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44">
              <w:r>
                <w:rPr>
                  <w:rFonts w:ascii="Arial" w:cs="Arial" w:eastAsia="Arial" w:hAnsi="Arial"/>
                  <w:sz w:val="18"/>
                  <w:szCs w:val="18"/>
                  <w:color w:val="0000EE"/>
                  <w:w w:val="92"/>
                </w:rPr>
                <w:t>reference to Exhibit 10.43 of SEACOR Holdings Inc.’s Annual Report on Form 10-K for the fiscal year ended December 31, 2020 filed with</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the Commission on March 11, 2021 (File No. 1-37966)).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10.34*</w:t>
            </w:r>
          </w:p>
        </w:tc>
        <w:tc>
          <w:tcPr>
            <w:tcW w:w="80" w:type="dxa"/>
            <w:vAlign w:val="bottom"/>
          </w:tcPr>
          <w:p>
            <w:pPr>
              <w:spacing w:after="0"/>
              <w:rPr>
                <w:sz w:val="24"/>
                <w:szCs w:val="24"/>
                <w:color w:val="auto"/>
              </w:rPr>
            </w:pPr>
          </w:p>
        </w:tc>
        <w:tc>
          <w:tcPr>
            <w:tcW w:w="10160" w:type="dxa"/>
            <w:vAlign w:val="bottom"/>
            <w:gridSpan w:val="13"/>
          </w:tcPr>
          <w:p>
            <w:pPr>
              <w:spacing w:after="0"/>
              <w:rPr>
                <w:rFonts w:ascii="Arial" w:cs="Arial" w:eastAsia="Arial" w:hAnsi="Arial"/>
                <w:sz w:val="18"/>
                <w:szCs w:val="18"/>
                <w:color w:val="0000EE"/>
                <w:w w:val="95"/>
              </w:rPr>
            </w:pPr>
            <w:hyperlink r:id="rId145">
              <w:r>
                <w:rPr>
                  <w:rFonts w:ascii="Arial" w:cs="Arial" w:eastAsia="Arial" w:hAnsi="Arial"/>
                  <w:sz w:val="18"/>
                  <w:szCs w:val="18"/>
                  <w:color w:val="0000EE"/>
                  <w:w w:val="95"/>
                </w:rPr>
                <w:t>Second Amendment and Conditional Payoff Agreement, dated June 10, 2021, by and among Falcon Global USA LLC, the other loan</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parties, SEACOR Marine Holdings Inc., JPMorgan Chase Bank, N.A., as administrative agent for the lenders, and the lenders party thereto</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r:id="rId145">
              <w:r>
                <w:rPr>
                  <w:rFonts w:ascii="Arial" w:cs="Arial" w:eastAsia="Arial" w:hAnsi="Arial"/>
                  <w:sz w:val="18"/>
                  <w:szCs w:val="18"/>
                  <w:color w:val="0000EE"/>
                  <w:w w:val="95"/>
                </w:rPr>
                <w:t>(incorporated herein by reference to Exhibit 10.1 of SEACOR Marine Holdings Inc.’s Form 8-K filed with the Commission on June 11,</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2021 (File No. 001-37966)).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10.35*</w:t>
            </w:r>
          </w:p>
        </w:tc>
        <w:tc>
          <w:tcPr>
            <w:tcW w:w="80" w:type="dxa"/>
            <w:vAlign w:val="bottom"/>
          </w:tcPr>
          <w:p>
            <w:pPr>
              <w:spacing w:after="0"/>
              <w:rPr>
                <w:sz w:val="24"/>
                <w:szCs w:val="24"/>
                <w:color w:val="auto"/>
              </w:rPr>
            </w:pPr>
          </w:p>
        </w:tc>
        <w:tc>
          <w:tcPr>
            <w:tcW w:w="10160" w:type="dxa"/>
            <w:vAlign w:val="bottom"/>
            <w:tcBorders>
              <w:bottom w:val="single" w:sz="8" w:color="0000EE"/>
            </w:tcBorders>
            <w:gridSpan w:val="13"/>
          </w:tcPr>
          <w:p>
            <w:pPr>
              <w:spacing w:after="0"/>
              <w:rPr>
                <w:rFonts w:ascii="Arial" w:cs="Arial" w:eastAsia="Arial" w:hAnsi="Arial"/>
                <w:sz w:val="18"/>
                <w:szCs w:val="18"/>
                <w:color w:val="0000EE"/>
                <w:w w:val="93"/>
              </w:rPr>
            </w:pPr>
            <w:hyperlink r:id="rId146">
              <w:r>
                <w:rPr>
                  <w:rFonts w:ascii="Arial" w:cs="Arial" w:eastAsia="Arial" w:hAnsi="Arial"/>
                  <w:sz w:val="18"/>
                  <w:szCs w:val="18"/>
                  <w:color w:val="0000EE"/>
                  <w:w w:val="93"/>
                </w:rPr>
                <w:t>Conditional Payoff Guaranty, dated June 10, 2021, by and between SEACOR Marine Holdings Inc., as guarantor, and JPMorgan Chase</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r:id="rId146">
              <w:r>
                <w:rPr>
                  <w:rFonts w:ascii="Arial" w:cs="Arial" w:eastAsia="Arial" w:hAnsi="Arial"/>
                  <w:sz w:val="18"/>
                  <w:szCs w:val="18"/>
                  <w:color w:val="0000EE"/>
                  <w:w w:val="94"/>
                </w:rPr>
                <w:t>Bank, N.A., as administrative agent for the lenders (incorporated herein by reference to Exhibit 10.2 of SEACOR Marine Holdings Inc.’s</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Form 8-K filed with the Commission on June 11, 2021 (File No. 001-37966)).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10.36*+</w:t>
            </w:r>
          </w:p>
        </w:tc>
        <w:tc>
          <w:tcPr>
            <w:tcW w:w="80" w:type="dxa"/>
            <w:vAlign w:val="bottom"/>
          </w:tcPr>
          <w:p>
            <w:pPr>
              <w:spacing w:after="0"/>
              <w:rPr>
                <w:sz w:val="24"/>
                <w:szCs w:val="24"/>
                <w:color w:val="auto"/>
              </w:rPr>
            </w:pPr>
          </w:p>
        </w:tc>
        <w:tc>
          <w:tcPr>
            <w:tcW w:w="10160" w:type="dxa"/>
            <w:vAlign w:val="bottom"/>
            <w:tcBorders>
              <w:bottom w:val="single" w:sz="8" w:color="0000EE"/>
            </w:tcBorders>
            <w:gridSpan w:val="13"/>
          </w:tcPr>
          <w:p>
            <w:pPr>
              <w:spacing w:after="0"/>
              <w:rPr>
                <w:rFonts w:ascii="Arial" w:cs="Arial" w:eastAsia="Arial" w:hAnsi="Arial"/>
                <w:sz w:val="18"/>
                <w:szCs w:val="18"/>
                <w:color w:val="0000EE"/>
                <w:w w:val="94"/>
              </w:rPr>
            </w:pPr>
            <w:hyperlink r:id="rId147">
              <w:r>
                <w:rPr>
                  <w:rFonts w:ascii="Arial" w:cs="Arial" w:eastAsia="Arial" w:hAnsi="Arial"/>
                  <w:sz w:val="18"/>
                  <w:szCs w:val="18"/>
                  <w:color w:val="0000EE"/>
                  <w:w w:val="94"/>
                </w:rPr>
                <w:t>Form of Director Restricted Stock Grant Agreement under the SEACOR Marine Holdings Inc. 2020 Equity Incentive Plan (incorporated</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r:id="rId147">
              <w:r>
                <w:rPr>
                  <w:rFonts w:ascii="Arial" w:cs="Arial" w:eastAsia="Arial" w:hAnsi="Arial"/>
                  <w:sz w:val="18"/>
                  <w:szCs w:val="18"/>
                  <w:color w:val="0000EE"/>
                  <w:w w:val="96"/>
                </w:rPr>
                <w:t>herein by reference to Exhibit 10.3 of SEACOR Marine Holdings Inc.’s Quarterly Report on Form 10-Q filed with the Commission on</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August 4, 2021 (File No. 1-37966)).</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10.37</w:t>
            </w:r>
          </w:p>
        </w:tc>
        <w:tc>
          <w:tcPr>
            <w:tcW w:w="80" w:type="dxa"/>
            <w:vAlign w:val="bottom"/>
          </w:tcPr>
          <w:p>
            <w:pPr>
              <w:spacing w:after="0"/>
              <w:rPr>
                <w:sz w:val="24"/>
                <w:szCs w:val="24"/>
                <w:color w:val="auto"/>
              </w:rPr>
            </w:pPr>
          </w:p>
        </w:tc>
        <w:tc>
          <w:tcPr>
            <w:tcW w:w="101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26">
              <w:r>
                <w:rPr>
                  <w:rFonts w:ascii="Arial" w:cs="Arial" w:eastAsia="Arial" w:hAnsi="Arial"/>
                  <w:sz w:val="18"/>
                  <w:szCs w:val="18"/>
                  <w:color w:val="0000EE"/>
                  <w:w w:val="90"/>
                </w:rPr>
                <w:t>Second Amended and Restated Credit Facility Agreement, dated as of December 31, 2021, by and among SEACOR Offshore OSV LLC, the</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other borrowers thereunder, DNB Bank ASA, New York Branch, DNB Markets, Inc., DNB Capital LLC and Comerica Bank.</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5140" w:type="dxa"/>
            <w:vAlign w:val="bottom"/>
            <w:gridSpan w:val="5"/>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10.38</w:t>
            </w:r>
          </w:p>
        </w:tc>
        <w:tc>
          <w:tcPr>
            <w:tcW w:w="80" w:type="dxa"/>
            <w:vAlign w:val="bottom"/>
          </w:tcPr>
          <w:p>
            <w:pPr>
              <w:spacing w:after="0"/>
              <w:rPr>
                <w:sz w:val="24"/>
                <w:szCs w:val="24"/>
                <w:color w:val="auto"/>
              </w:rPr>
            </w:pPr>
          </w:p>
        </w:tc>
        <w:tc>
          <w:tcPr>
            <w:tcW w:w="10160" w:type="dxa"/>
            <w:vAlign w:val="bottom"/>
            <w:gridSpan w:val="13"/>
          </w:tcPr>
          <w:p>
            <w:pPr>
              <w:spacing w:after="0"/>
              <w:rPr>
                <w:rFonts w:ascii="Arial" w:cs="Arial" w:eastAsia="Arial" w:hAnsi="Arial"/>
                <w:sz w:val="18"/>
                <w:szCs w:val="18"/>
                <w:color w:val="0000EE"/>
                <w:w w:val="94"/>
              </w:rPr>
            </w:pPr>
            <w:hyperlink w:anchor="page266">
              <w:r>
                <w:rPr>
                  <w:rFonts w:ascii="Arial" w:cs="Arial" w:eastAsia="Arial" w:hAnsi="Arial"/>
                  <w:sz w:val="18"/>
                  <w:szCs w:val="18"/>
                  <w:color w:val="0000EE"/>
                  <w:w w:val="94"/>
                </w:rPr>
                <w:t>Guaranty, dated as of December 31, 2021, by SEACOR Marine Holdings Inc. in favor of DNB Bank ASA, New York Branch, as security</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trustee.</w:t>
              </w:r>
            </w:hyperlink>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1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4"/>
                <w:szCs w:val="24"/>
                <w:color w:val="auto"/>
              </w:rPr>
            </w:pPr>
          </w:p>
        </w:tc>
        <w:tc>
          <w:tcPr>
            <w:tcW w:w="10160" w:type="dxa"/>
            <w:vAlign w:val="bottom"/>
            <w:gridSpan w:val="13"/>
          </w:tcPr>
          <w:p>
            <w:pPr>
              <w:spacing w:after="0"/>
              <w:rPr>
                <w:rFonts w:ascii="Arial" w:cs="Arial" w:eastAsia="Arial" w:hAnsi="Arial"/>
                <w:sz w:val="18"/>
                <w:szCs w:val="18"/>
                <w:color w:val="0000EE"/>
              </w:rPr>
            </w:pPr>
            <w:hyperlink w:anchor="page276">
              <w:r>
                <w:rPr>
                  <w:rFonts w:ascii="Arial" w:cs="Arial" w:eastAsia="Arial" w:hAnsi="Arial"/>
                  <w:sz w:val="18"/>
                  <w:szCs w:val="18"/>
                  <w:color w:val="0000EE"/>
                </w:rPr>
                <w:t>List of subsidiaries of SEACOR Marine Holdings Inc.</w:t>
              </w:r>
            </w:hyperlink>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279">
              <w:r>
                <w:rPr>
                  <w:rFonts w:ascii="Arial" w:cs="Arial" w:eastAsia="Arial" w:hAnsi="Arial"/>
                  <w:sz w:val="18"/>
                  <w:szCs w:val="18"/>
                  <w:color w:val="0000EE"/>
                  <w:w w:val="91"/>
                </w:rPr>
                <w:t>Consent of Grant Thornton LLP</w:t>
              </w:r>
            </w:hyperlink>
          </w:p>
        </w:tc>
        <w:tc>
          <w:tcPr>
            <w:tcW w:w="1580" w:type="dxa"/>
            <w:vAlign w:val="bottom"/>
            <w:tcBorders>
              <w:top w:val="single" w:sz="8" w:color="0000EE"/>
            </w:tcBorders>
            <w:gridSpan w:val="2"/>
          </w:tcPr>
          <w:p>
            <w:pPr>
              <w:spacing w:after="0"/>
              <w:rPr>
                <w:sz w:val="24"/>
                <w:szCs w:val="24"/>
                <w:color w:val="auto"/>
              </w:rPr>
            </w:pPr>
          </w:p>
        </w:tc>
        <w:tc>
          <w:tcPr>
            <w:tcW w:w="6260" w:type="dxa"/>
            <w:vAlign w:val="bottom"/>
            <w:gridSpan w:val="8"/>
          </w:tcPr>
          <w:p>
            <w:pPr>
              <w:spacing w:after="0"/>
              <w:rPr>
                <w:sz w:val="24"/>
                <w:szCs w:val="24"/>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1014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280">
              <w:r>
                <w:rPr>
                  <w:rFonts w:ascii="Arial" w:cs="Arial" w:eastAsia="Arial" w:hAnsi="Arial"/>
                  <w:sz w:val="18"/>
                  <w:szCs w:val="18"/>
                  <w:color w:val="0000EE"/>
                  <w:w w:val="91"/>
                </w:rPr>
                <w:t>Certification by the Principal Executive Officer pursuant to Rule 13a-14(a) and Rule 15d-14(a) of the Securities Exchange Act, as amended.</w:t>
              </w:r>
            </w:hyperlink>
          </w:p>
        </w:tc>
        <w:tc>
          <w:tcPr>
            <w:tcW w:w="20" w:type="dxa"/>
            <w:vAlign w:val="bottom"/>
          </w:tcPr>
          <w:p>
            <w:pPr>
              <w:spacing w:after="0"/>
              <w:rPr>
                <w:sz w:val="24"/>
                <w:szCs w:val="24"/>
                <w:color w:val="auto"/>
              </w:rPr>
            </w:pPr>
          </w:p>
        </w:tc>
      </w:tr>
      <w:tr>
        <w:trPr>
          <w:trHeight w:val="317"/>
        </w:trPr>
        <w:tc>
          <w:tcPr>
            <w:tcW w:w="1000" w:type="dxa"/>
            <w:vAlign w:val="bottom"/>
          </w:tcPr>
          <w:p>
            <w:pPr>
              <w:ind w:left="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10160" w:type="dxa"/>
            <w:vAlign w:val="bottom"/>
            <w:gridSpan w:val="13"/>
          </w:tcPr>
          <w:p>
            <w:pPr>
              <w:spacing w:after="0"/>
              <w:rPr>
                <w:rFonts w:ascii="Arial" w:cs="Arial" w:eastAsia="Arial" w:hAnsi="Arial"/>
                <w:sz w:val="18"/>
                <w:szCs w:val="18"/>
                <w:color w:val="0000EE"/>
                <w:w w:val="91"/>
              </w:rPr>
            </w:pPr>
            <w:hyperlink w:anchor="page281">
              <w:r>
                <w:rPr>
                  <w:rFonts w:ascii="Arial" w:cs="Arial" w:eastAsia="Arial" w:hAnsi="Arial"/>
                  <w:sz w:val="18"/>
                  <w:szCs w:val="18"/>
                  <w:color w:val="0000EE"/>
                  <w:w w:val="91"/>
                </w:rPr>
                <w:t>Certification by the Principal Financial Officer pursuant to Rule 13a-14(a) and Rule 15d-14(a) of the Securities Exchange Act, as amended.</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4" w:lineRule="exact"/>
        <w:rPr>
          <w:sz w:val="20"/>
          <w:szCs w:val="20"/>
          <w:color w:val="auto"/>
        </w:rPr>
      </w:pPr>
    </w:p>
    <w:p>
      <w:pPr>
        <w:ind w:left="1080" w:hanging="1068"/>
        <w:spacing w:after="0" w:line="277" w:lineRule="auto"/>
        <w:tabs>
          <w:tab w:leader="none" w:pos="1080" w:val="left"/>
        </w:tabs>
        <w:numPr>
          <w:ilvl w:val="0"/>
          <w:numId w:val="38"/>
        </w:numPr>
        <w:rPr>
          <w:rFonts w:ascii="Arial" w:cs="Arial" w:eastAsia="Arial" w:hAnsi="Arial"/>
          <w:sz w:val="18"/>
          <w:szCs w:val="18"/>
          <w:u w:val="single" w:color="auto"/>
          <w:color w:val="0000EE"/>
        </w:rPr>
      </w:pPr>
      <w:hyperlink w:anchor="page282">
        <w:r>
          <w:rPr>
            <w:rFonts w:ascii="Arial" w:cs="Arial" w:eastAsia="Arial" w:hAnsi="Arial"/>
            <w:sz w:val="18"/>
            <w:szCs w:val="18"/>
            <w:u w:val="single" w:color="auto"/>
            <w:color w:val="0000EE"/>
          </w:rPr>
          <w:t>Certification by the Principal Executive Officer and Principal Financial Officer pursuant to 18 U.S.C. Section 1350, as adopted pursuant to</w:t>
        </w:r>
      </w:hyperlink>
      <w:r>
        <w:rPr>
          <w:rFonts w:ascii="Arial" w:cs="Arial" w:eastAsia="Arial" w:hAnsi="Arial"/>
          <w:sz w:val="18"/>
          <w:szCs w:val="18"/>
          <w:u w:val="single" w:color="auto"/>
          <w:color w:val="0000EE"/>
        </w:rPr>
        <w:t xml:space="preserve"> </w:t>
      </w:r>
      <w:hyperlink w:anchor="page282">
        <w:r>
          <w:rPr>
            <w:rFonts w:ascii="Arial" w:cs="Arial" w:eastAsia="Arial" w:hAnsi="Arial"/>
            <w:sz w:val="18"/>
            <w:szCs w:val="18"/>
            <w:u w:val="single" w:color="auto"/>
            <w:color w:val="0000EE"/>
          </w:rPr>
          <w:t>Section 906 of the Sarbanes-Oxley Act of 2002.</w:t>
        </w:r>
      </w:hyperlink>
    </w:p>
    <w:p>
      <w:pPr>
        <w:spacing w:after="0" w:line="17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6"/>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10160" w:type="dxa"/>
            <w:vAlign w:val="bottom"/>
          </w:tcPr>
          <w:p>
            <w:pPr>
              <w:spacing w:after="0"/>
              <w:rPr>
                <w:sz w:val="18"/>
                <w:szCs w:val="18"/>
                <w:color w:val="auto"/>
              </w:rPr>
            </w:pPr>
          </w:p>
        </w:tc>
      </w:tr>
      <w:tr>
        <w:trPr>
          <w:trHeight w:val="234"/>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20"/>
                <w:szCs w:val="20"/>
                <w:color w:val="auto"/>
              </w:rPr>
            </w:pPr>
          </w:p>
        </w:tc>
        <w:tc>
          <w:tcPr>
            <w:tcW w:w="1016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317"/>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10160" w:type="dxa"/>
            <w:vAlign w:val="bottom"/>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r>
      <w:tr>
        <w:trPr>
          <w:trHeight w:val="230"/>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within the Inline XBRL document.</w:t>
            </w:r>
          </w:p>
        </w:tc>
      </w:tr>
      <w:tr>
        <w:trPr>
          <w:trHeight w:val="338"/>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10160" w:type="dxa"/>
            <w:vAlign w:val="bottom"/>
          </w:tcPr>
          <w:p>
            <w:pPr>
              <w:spacing w:after="0"/>
              <w:rPr>
                <w:sz w:val="20"/>
                <w:szCs w:val="20"/>
                <w:color w:val="auto"/>
              </w:rPr>
            </w:pPr>
            <w:r>
              <w:rPr>
                <w:rFonts w:ascii="Arial" w:cs="Arial" w:eastAsia="Arial" w:hAnsi="Arial"/>
                <w:sz w:val="18"/>
                <w:szCs w:val="18"/>
                <w:color w:val="auto"/>
              </w:rPr>
              <w:t>Inline XBRL Taxonomy Extension Schema</w:t>
            </w:r>
          </w:p>
        </w:tc>
      </w:tr>
      <w:tr>
        <w:trPr>
          <w:trHeight w:val="338"/>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10160" w:type="dxa"/>
            <w:vAlign w:val="bottom"/>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338"/>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10160" w:type="dxa"/>
            <w:vAlign w:val="bottom"/>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338"/>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10160" w:type="dxa"/>
            <w:vAlign w:val="bottom"/>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338"/>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10160" w:type="dxa"/>
            <w:vAlign w:val="bottom"/>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107" w:lineRule="exact"/>
        <w:rPr>
          <w:sz w:val="20"/>
          <w:szCs w:val="20"/>
          <w:color w:val="auto"/>
        </w:rPr>
      </w:pPr>
    </w:p>
    <w:p>
      <w:pPr>
        <w:ind w:left="1080" w:right="20" w:hanging="1068"/>
        <w:spacing w:after="0" w:line="277"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cover page for the Company’s Annual Report on Form 10-K for the year ended December 31, 2021, has been formatted in Inline XBRL.</w:t>
      </w:r>
    </w:p>
    <w:p>
      <w:pPr>
        <w:spacing w:after="0" w:line="1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w:t>
      </w:r>
      <w:r>
        <w:rPr>
          <w:rFonts w:ascii="Arial" w:cs="Arial" w:eastAsia="Arial" w:hAnsi="Arial"/>
          <w:sz w:val="12"/>
          <w:szCs w:val="12"/>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9512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ind w:left="760" w:hanging="752"/>
        <w:spacing w:after="0" w:line="221" w:lineRule="auto"/>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ind w:left="760" w:hanging="752"/>
        <w:spacing w:after="0" w:line="237" w:lineRule="auto"/>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749"/>
        <w:spacing w:after="0" w:line="342" w:lineRule="auto"/>
        <w:rPr>
          <w:sz w:val="20"/>
          <w:szCs w:val="20"/>
          <w:color w:val="auto"/>
        </w:rPr>
      </w:pPr>
      <w:r>
        <w:rPr>
          <w:rFonts w:ascii="Arial" w:cs="Arial" w:eastAsia="Arial" w:hAnsi="Arial"/>
          <w:sz w:val="16"/>
          <w:szCs w:val="16"/>
          <w:color w:val="auto"/>
        </w:rPr>
        <w:t>Pursuant to the requirements of Section 13 of the Securities Exchange Act of 1934, the registrant has duly caused this Annual Report on Form 10-K for the fiscal year ended December 31, 2021, to be signed on its behalf by the undersigned, and in the capacities indicated, thereunto duly authorized.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SEACOR Marine Holdings Inc. (Registrant)</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14605</wp:posOffset>
            </wp:positionV>
            <wp:extent cx="27686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Jesús Llorca, </w:t>
      </w:r>
      <w:r>
        <w:rPr>
          <w:rFonts w:ascii="Arial" w:cs="Arial" w:eastAsia="Arial" w:hAnsi="Arial"/>
          <w:sz w:val="18"/>
          <w:szCs w:val="18"/>
          <w:i w:val="1"/>
          <w:iCs w:val="1"/>
          <w:color w:val="auto"/>
        </w:rPr>
        <w:t>Executive Vice President and Chief</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Financial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2022</w:t>
      </w:r>
    </w:p>
    <w:p>
      <w:pPr>
        <w:spacing w:after="0" w:line="225"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Signer</w:t>
            </w:r>
          </w:p>
        </w:tc>
        <w:tc>
          <w:tcPr>
            <w:tcW w:w="120" w:type="dxa"/>
            <w:vAlign w:val="bottom"/>
          </w:tcPr>
          <w:p>
            <w:pPr>
              <w:spacing w:after="0"/>
              <w:rPr>
                <w:sz w:val="20"/>
                <w:szCs w:val="20"/>
                <w:color w:val="auto"/>
              </w:rPr>
            </w:pPr>
          </w:p>
        </w:tc>
        <w:tc>
          <w:tcPr>
            <w:tcW w:w="4720" w:type="dxa"/>
            <w:vAlign w:val="bottom"/>
            <w:tcBorders>
              <w:bottom w:val="single" w:sz="8" w:color="auto"/>
            </w:tcBorders>
          </w:tcPr>
          <w:p>
            <w:pPr>
              <w:ind w:left="218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33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John Gellert</w:t>
            </w:r>
          </w:p>
        </w:tc>
        <w:tc>
          <w:tcPr>
            <w:tcW w:w="120" w:type="dxa"/>
            <w:vAlign w:val="bottom"/>
          </w:tcPr>
          <w:p>
            <w:pPr>
              <w:spacing w:after="0"/>
              <w:rPr>
                <w:sz w:val="24"/>
                <w:szCs w:val="24"/>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0"/>
              </w:rPr>
              <w:t>John Gellert</w:t>
            </w:r>
          </w:p>
        </w:tc>
        <w:tc>
          <w:tcPr>
            <w:tcW w:w="120" w:type="dxa"/>
            <w:vAlign w:val="bottom"/>
          </w:tcPr>
          <w:p>
            <w:pPr>
              <w:spacing w:after="0"/>
              <w:rPr>
                <w:sz w:val="19"/>
                <w:szCs w:val="19"/>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2460" w:type="dxa"/>
            <w:vAlign w:val="bottom"/>
          </w:tcPr>
          <w:p>
            <w:pPr>
              <w:spacing w:after="0"/>
              <w:rPr>
                <w:sz w:val="19"/>
                <w:szCs w:val="19"/>
                <w:color w:val="auto"/>
              </w:rPr>
            </w:pPr>
          </w:p>
        </w:tc>
      </w:tr>
      <w:tr>
        <w:trPr>
          <w:trHeight w:val="323"/>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Jesús Llorca</w:t>
            </w:r>
          </w:p>
        </w:tc>
        <w:tc>
          <w:tcPr>
            <w:tcW w:w="120" w:type="dxa"/>
            <w:vAlign w:val="bottom"/>
          </w:tcPr>
          <w:p>
            <w:pPr>
              <w:spacing w:after="0"/>
              <w:rPr>
                <w:sz w:val="24"/>
                <w:szCs w:val="24"/>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87"/>
              </w:rPr>
              <w:t>Jesús Llorca</w:t>
            </w:r>
          </w:p>
        </w:tc>
        <w:tc>
          <w:tcPr>
            <w:tcW w:w="120" w:type="dxa"/>
            <w:vAlign w:val="bottom"/>
          </w:tcPr>
          <w:p>
            <w:pPr>
              <w:spacing w:after="0"/>
              <w:rPr>
                <w:sz w:val="19"/>
                <w:szCs w:val="19"/>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c>
          <w:tcPr>
            <w:tcW w:w="2460" w:type="dxa"/>
            <w:vAlign w:val="bottom"/>
          </w:tcPr>
          <w:p>
            <w:pPr>
              <w:spacing w:after="0"/>
              <w:rPr>
                <w:sz w:val="19"/>
                <w:szCs w:val="19"/>
                <w:color w:val="auto"/>
              </w:rPr>
            </w:pPr>
          </w:p>
        </w:tc>
      </w:tr>
      <w:tr>
        <w:trPr>
          <w:trHeight w:val="323"/>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Gregory S. Rossmiller</w:t>
            </w:r>
          </w:p>
        </w:tc>
        <w:tc>
          <w:tcPr>
            <w:tcW w:w="120" w:type="dxa"/>
            <w:vAlign w:val="bottom"/>
          </w:tcPr>
          <w:p>
            <w:pPr>
              <w:spacing w:after="0"/>
              <w:rPr>
                <w:sz w:val="24"/>
                <w:szCs w:val="24"/>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 Chief Accounting Officer</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0"/>
              </w:rPr>
              <w:t>Gregory S. Rossmiller</w:t>
            </w:r>
          </w:p>
        </w:tc>
        <w:tc>
          <w:tcPr>
            <w:tcW w:w="120" w:type="dxa"/>
            <w:vAlign w:val="bottom"/>
          </w:tcPr>
          <w:p>
            <w:pPr>
              <w:spacing w:after="0"/>
              <w:rPr>
                <w:sz w:val="19"/>
                <w:szCs w:val="19"/>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c>
          <w:tcPr>
            <w:tcW w:w="2460" w:type="dxa"/>
            <w:vAlign w:val="bottom"/>
          </w:tcPr>
          <w:p>
            <w:pPr>
              <w:spacing w:after="0"/>
              <w:rPr>
                <w:sz w:val="19"/>
                <w:szCs w:val="19"/>
                <w:color w:val="auto"/>
              </w:rPr>
            </w:pPr>
          </w:p>
        </w:tc>
      </w:tr>
      <w:tr>
        <w:trPr>
          <w:trHeight w:val="323"/>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Andrew R. Morse</w:t>
            </w:r>
          </w:p>
        </w:tc>
        <w:tc>
          <w:tcPr>
            <w:tcW w:w="120" w:type="dxa"/>
            <w:vAlign w:val="bottom"/>
          </w:tcPr>
          <w:p>
            <w:pPr>
              <w:spacing w:after="0"/>
              <w:rPr>
                <w:sz w:val="24"/>
                <w:szCs w:val="24"/>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Non-Executive Chairman of the Board</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2"/>
              </w:rPr>
              <w:t>Andrew R. Morse</w:t>
            </w:r>
          </w:p>
        </w:tc>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23"/>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 Christopher Regan</w:t>
            </w:r>
          </w:p>
        </w:tc>
        <w:tc>
          <w:tcPr>
            <w:tcW w:w="120" w:type="dxa"/>
            <w:vAlign w:val="bottom"/>
          </w:tcPr>
          <w:p>
            <w:pPr>
              <w:spacing w:after="0"/>
              <w:rPr>
                <w:sz w:val="24"/>
                <w:szCs w:val="24"/>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89"/>
              </w:rPr>
              <w:t>R. Christopher Regan</w:t>
            </w:r>
          </w:p>
        </w:tc>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23"/>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Alfredo Miguel Bejos</w:t>
            </w:r>
          </w:p>
        </w:tc>
        <w:tc>
          <w:tcPr>
            <w:tcW w:w="120" w:type="dxa"/>
            <w:vAlign w:val="bottom"/>
          </w:tcPr>
          <w:p>
            <w:pPr>
              <w:spacing w:after="0"/>
              <w:rPr>
                <w:sz w:val="24"/>
                <w:szCs w:val="24"/>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5"/>
              </w:rPr>
              <w:t>Alfredo Miguel Bejos</w:t>
            </w:r>
          </w:p>
        </w:tc>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37"/>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Julie Persily</w:t>
            </w:r>
          </w:p>
        </w:tc>
        <w:tc>
          <w:tcPr>
            <w:tcW w:w="120" w:type="dxa"/>
            <w:vAlign w:val="bottom"/>
          </w:tcPr>
          <w:p>
            <w:pPr>
              <w:spacing w:after="0"/>
              <w:rPr>
                <w:sz w:val="24"/>
                <w:szCs w:val="24"/>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1"/>
              </w:rPr>
              <w:t>Julie Persily</w:t>
            </w:r>
          </w:p>
        </w:tc>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634"/>
        </w:trPr>
        <w:tc>
          <w:tcPr>
            <w:tcW w:w="3820" w:type="dxa"/>
            <w:vAlign w:val="bottom"/>
          </w:tcPr>
          <w:p>
            <w:pPr>
              <w:spacing w:after="0"/>
              <w:rPr>
                <w:sz w:val="24"/>
                <w:szCs w:val="24"/>
                <w:color w:val="auto"/>
              </w:rPr>
            </w:pPr>
          </w:p>
        </w:tc>
        <w:tc>
          <w:tcPr>
            <w:tcW w:w="4840" w:type="dxa"/>
            <w:vAlign w:val="bottom"/>
            <w:gridSpan w:val="2"/>
          </w:tcPr>
          <w:p>
            <w:pPr>
              <w:jc w:val="right"/>
              <w:ind w:right="285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ind w:left="4020"/>
        <w:spacing w:after="0"/>
        <w:rPr>
          <w:sz w:val="20"/>
          <w:szCs w:val="20"/>
          <w:color w:val="auto"/>
        </w:rPr>
      </w:pPr>
      <w:r>
        <w:rPr>
          <w:rFonts w:ascii="Arial" w:cs="Arial" w:eastAsia="Arial" w:hAnsi="Arial"/>
          <w:sz w:val="18"/>
          <w:szCs w:val="18"/>
          <w:b w:val="1"/>
          <w:bCs w:val="1"/>
          <w:color w:val="auto"/>
        </w:rPr>
        <w:t>INDEX TO FINANCIAL STATEMENTS</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SEACOR MARINE HOLDINGS INC</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627"/>
        </w:trPr>
        <w:tc>
          <w:tcPr>
            <w:tcW w:w="10500" w:type="dxa"/>
            <w:vAlign w:val="bottom"/>
            <w:gridSpan w:val="9"/>
          </w:tcPr>
          <w:p>
            <w:pPr>
              <w:spacing w:after="0"/>
              <w:rPr>
                <w:sz w:val="20"/>
                <w:szCs w:val="20"/>
                <w:color w:val="auto"/>
              </w:rPr>
            </w:pPr>
            <w:r>
              <w:rPr>
                <w:rFonts w:ascii="Arial" w:cs="Arial" w:eastAsia="Arial" w:hAnsi="Arial"/>
                <w:sz w:val="18"/>
                <w:szCs w:val="18"/>
                <w:color w:val="auto"/>
              </w:rPr>
              <w:t>AUDITED CONSOLIDATED FINANCIAL STATEMENTS AND SCHEDULE:</w:t>
            </w:r>
          </w:p>
        </w:tc>
        <w:tc>
          <w:tcPr>
            <w:tcW w:w="740" w:type="dxa"/>
            <w:vAlign w:val="bottom"/>
          </w:tcPr>
          <w:p>
            <w:pPr>
              <w:spacing w:after="0"/>
              <w:rPr>
                <w:sz w:val="24"/>
                <w:szCs w:val="24"/>
                <w:color w:val="auto"/>
              </w:rPr>
            </w:pPr>
          </w:p>
        </w:tc>
      </w:tr>
      <w:tr>
        <w:trPr>
          <w:trHeight w:val="190"/>
        </w:trPr>
        <w:tc>
          <w:tcPr>
            <w:tcW w:w="10500" w:type="dxa"/>
            <w:vAlign w:val="bottom"/>
            <w:gridSpan w:val="9"/>
          </w:tcPr>
          <w:p>
            <w:pPr>
              <w:spacing w:after="0" w:line="190" w:lineRule="exact"/>
              <w:rPr>
                <w:rFonts w:ascii="Arial" w:cs="Arial" w:eastAsia="Arial" w:hAnsi="Arial"/>
                <w:sz w:val="18"/>
                <w:szCs w:val="18"/>
                <w:color w:val="0000EE"/>
              </w:rPr>
            </w:pPr>
            <w:hyperlink w:anchor="page79">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Number 248)</w:t>
            </w:r>
          </w:p>
        </w:tc>
        <w:tc>
          <w:tcPr>
            <w:tcW w:w="740" w:type="dxa"/>
            <w:vAlign w:val="bottom"/>
          </w:tcPr>
          <w:p>
            <w:pPr>
              <w:jc w:val="right"/>
              <w:spacing w:after="0" w:line="190" w:lineRule="exact"/>
              <w:rPr>
                <w:sz w:val="20"/>
                <w:szCs w:val="20"/>
                <w:color w:val="auto"/>
              </w:rPr>
            </w:pPr>
            <w:r>
              <w:rPr>
                <w:rFonts w:ascii="Arial" w:cs="Arial" w:eastAsia="Arial" w:hAnsi="Arial"/>
                <w:sz w:val="18"/>
                <w:szCs w:val="18"/>
                <w:color w:val="auto"/>
              </w:rPr>
              <w:t>77</w:t>
            </w:r>
          </w:p>
        </w:tc>
      </w:tr>
      <w:tr>
        <w:trPr>
          <w:trHeight w:val="438"/>
        </w:trPr>
        <w:tc>
          <w:tcPr>
            <w:tcW w:w="42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Audited Consolidated Financial Statements:</w:t>
            </w:r>
          </w:p>
        </w:tc>
        <w:tc>
          <w:tcPr>
            <w:tcW w:w="6280" w:type="dxa"/>
            <w:vAlign w:val="bottom"/>
            <w:gridSpan w:val="7"/>
          </w:tcPr>
          <w:p>
            <w:pPr>
              <w:spacing w:after="0"/>
              <w:rPr>
                <w:sz w:val="24"/>
                <w:szCs w:val="24"/>
                <w:color w:val="auto"/>
              </w:rPr>
            </w:pPr>
          </w:p>
        </w:tc>
        <w:tc>
          <w:tcPr>
            <w:tcW w:w="740" w:type="dxa"/>
            <w:vAlign w:val="bottom"/>
          </w:tcPr>
          <w:p>
            <w:pPr>
              <w:spacing w:after="0"/>
              <w:rPr>
                <w:sz w:val="24"/>
                <w:szCs w:val="24"/>
                <w:color w:val="auto"/>
              </w:rPr>
            </w:pPr>
          </w:p>
        </w:tc>
      </w:tr>
      <w:tr>
        <w:trPr>
          <w:trHeight w:val="190"/>
        </w:trPr>
        <w:tc>
          <w:tcPr>
            <w:tcW w:w="4660" w:type="dxa"/>
            <w:vAlign w:val="bottom"/>
            <w:tcBorders>
              <w:bottom w:val="single" w:sz="8" w:color="0000EE"/>
            </w:tcBorders>
            <w:gridSpan w:val="3"/>
          </w:tcPr>
          <w:p>
            <w:pPr>
              <w:spacing w:after="0" w:line="190"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Consolidated Balance Sheets as of December 31, 2021 and 2020</w:t>
              </w:r>
            </w:hyperlink>
          </w:p>
        </w:tc>
        <w:tc>
          <w:tcPr>
            <w:tcW w:w="5840" w:type="dxa"/>
            <w:vAlign w:val="bottom"/>
            <w:gridSpan w:val="6"/>
          </w:tcPr>
          <w:p>
            <w:pPr>
              <w:spacing w:after="0"/>
              <w:rPr>
                <w:sz w:val="16"/>
                <w:szCs w:val="16"/>
                <w:color w:val="auto"/>
              </w:rPr>
            </w:pPr>
          </w:p>
        </w:tc>
        <w:tc>
          <w:tcPr>
            <w:tcW w:w="740" w:type="dxa"/>
            <w:vAlign w:val="bottom"/>
          </w:tcPr>
          <w:p>
            <w:pPr>
              <w:jc w:val="right"/>
              <w:spacing w:after="0" w:line="190" w:lineRule="exact"/>
              <w:rPr>
                <w:sz w:val="20"/>
                <w:szCs w:val="20"/>
                <w:color w:val="auto"/>
              </w:rPr>
            </w:pPr>
            <w:r>
              <w:rPr>
                <w:rFonts w:ascii="Arial" w:cs="Arial" w:eastAsia="Arial" w:hAnsi="Arial"/>
                <w:sz w:val="18"/>
                <w:szCs w:val="18"/>
                <w:color w:val="auto"/>
              </w:rPr>
              <w:t>78</w:t>
            </w:r>
          </w:p>
        </w:tc>
      </w:tr>
      <w:tr>
        <w:trPr>
          <w:trHeight w:val="196"/>
        </w:trPr>
        <w:tc>
          <w:tcPr>
            <w:tcW w:w="71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Consolidated Statements of Income (Loss) for the years ended December 31, 2021, 2020, and 2019</w:t>
              </w:r>
            </w:hyperlink>
          </w:p>
        </w:tc>
        <w:tc>
          <w:tcPr>
            <w:tcW w:w="3340" w:type="dxa"/>
            <w:vAlign w:val="bottom"/>
            <w:gridSpan w:val="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8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Consolidated Statements of Comprehensive Income (Loss) for the years ended December 31, 2021, 2020, and 2019</w:t>
              </w:r>
            </w:hyperlink>
          </w:p>
        </w:tc>
        <w:tc>
          <w:tcPr>
            <w:tcW w:w="2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10500" w:type="dxa"/>
            <w:vAlign w:val="bottom"/>
            <w:gridSpan w:val="9"/>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Consolidated Statements of Changes in Equity for the years ended December 31, 2021, 2020, and 2019</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69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Consolidated Statements of Cash Flows for the years ended December 31, 2021, 2020, and 2019</w:t>
              </w:r>
            </w:hyperlink>
          </w:p>
        </w:tc>
        <w:tc>
          <w:tcPr>
            <w:tcW w:w="480" w:type="dxa"/>
            <w:vAlign w:val="bottom"/>
            <w:tcBorders>
              <w:top w:val="single" w:sz="8" w:color="0000EE"/>
            </w:tcBorders>
            <w:gridSpan w:val="2"/>
          </w:tcPr>
          <w:p>
            <w:pPr>
              <w:spacing w:after="0"/>
              <w:rPr>
                <w:sz w:val="17"/>
                <w:szCs w:val="17"/>
                <w:color w:val="auto"/>
              </w:rPr>
            </w:pPr>
          </w:p>
        </w:tc>
        <w:tc>
          <w:tcPr>
            <w:tcW w:w="3060" w:type="dxa"/>
            <w:vAlign w:val="bottom"/>
            <w:gridSpan w:val="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Notes to Consolidated Financial Statements</w:t>
              </w:r>
            </w:hyperlink>
          </w:p>
        </w:tc>
        <w:tc>
          <w:tcPr>
            <w:tcW w:w="7340" w:type="dxa"/>
            <w:vAlign w:val="bottom"/>
            <w:gridSpan w:val="8"/>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222"/>
        </w:trPr>
        <w:tc>
          <w:tcPr>
            <w:tcW w:w="10500" w:type="dxa"/>
            <w:vAlign w:val="bottom"/>
            <w:gridSpan w:val="9"/>
          </w:tcPr>
          <w:p>
            <w:pPr>
              <w:spacing w:after="0"/>
              <w:rPr>
                <w:sz w:val="20"/>
                <w:szCs w:val="20"/>
                <w:color w:val="auto"/>
              </w:rPr>
            </w:pPr>
            <w:r>
              <w:rPr>
                <w:rFonts w:ascii="Arial" w:cs="Arial" w:eastAsia="Arial" w:hAnsi="Arial"/>
                <w:sz w:val="18"/>
                <w:szCs w:val="18"/>
                <w:color w:val="auto"/>
              </w:rPr>
              <w:t>Financial Statement Schedule:</w:t>
            </w:r>
          </w:p>
        </w:tc>
        <w:tc>
          <w:tcPr>
            <w:tcW w:w="740" w:type="dxa"/>
            <w:vAlign w:val="bottom"/>
          </w:tcPr>
          <w:p>
            <w:pPr>
              <w:spacing w:after="0"/>
              <w:rPr>
                <w:sz w:val="19"/>
                <w:szCs w:val="19"/>
                <w:color w:val="auto"/>
              </w:rPr>
            </w:pPr>
          </w:p>
        </w:tc>
      </w:tr>
      <w:tr>
        <w:trPr>
          <w:trHeight w:val="190"/>
        </w:trPr>
        <w:tc>
          <w:tcPr>
            <w:tcW w:w="10500" w:type="dxa"/>
            <w:vAlign w:val="bottom"/>
            <w:gridSpan w:val="9"/>
          </w:tcPr>
          <w:p>
            <w:pPr>
              <w:spacing w:after="0" w:line="190" w:lineRule="exact"/>
              <w:rPr>
                <w:rFonts w:ascii="Arial" w:cs="Arial" w:eastAsia="Arial" w:hAnsi="Arial"/>
                <w:sz w:val="18"/>
                <w:szCs w:val="18"/>
                <w:color w:val="0000EE"/>
              </w:rPr>
            </w:pPr>
            <w:hyperlink w:anchor="page124">
              <w:r>
                <w:rPr>
                  <w:rFonts w:ascii="Arial" w:cs="Arial" w:eastAsia="Arial" w:hAnsi="Arial"/>
                  <w:sz w:val="18"/>
                  <w:szCs w:val="18"/>
                  <w:color w:val="0000EE"/>
                </w:rPr>
                <w:t>Schedule II - Valuation and Qualifying Accounts for the years ended December 31, 2021, 2020, and 2019</w:t>
              </w:r>
            </w:hyperlink>
          </w:p>
        </w:tc>
        <w:tc>
          <w:tcPr>
            <w:tcW w:w="740" w:type="dxa"/>
            <w:vAlign w:val="bottom"/>
          </w:tcPr>
          <w:p>
            <w:pPr>
              <w:jc w:val="right"/>
              <w:spacing w:after="0" w:line="190" w:lineRule="exact"/>
              <w:rPr>
                <w:sz w:val="20"/>
                <w:szCs w:val="20"/>
                <w:color w:val="auto"/>
              </w:rPr>
            </w:pPr>
            <w:r>
              <w:rPr>
                <w:rFonts w:ascii="Arial" w:cs="Arial" w:eastAsia="Arial" w:hAnsi="Arial"/>
                <w:sz w:val="18"/>
                <w:szCs w:val="18"/>
                <w:color w:val="auto"/>
              </w:rPr>
              <w:t>122</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 Financial Statement Schedule set forth above, all other required schedules have been omitted since the information is either included in the consolidated financial statements, not applicable or not required.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SEACOR Marine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audited the accompanying consolidated balance sheets of SEACOR Marine Holdings Inc. (a Delaware corporation) and subsidiaries (the “Company”) as of December 31, 2021 and 2020, the related consolidated statements of income (loss), comprehensive income (loss), changes in equity, and cash flows for each of the three years in the period ended December 31, 2021, and the related notes and schedule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3"/>
                <w:szCs w:val="13"/>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1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140" w:type="dxa"/>
            <w:vAlign w:val="bottom"/>
            <w:shd w:val="clear" w:color="auto" w:fill="CFF0FC"/>
          </w:tcPr>
          <w:p>
            <w:pPr>
              <w:ind w:left="3840"/>
              <w:spacing w:after="0" w:line="142" w:lineRule="exact"/>
              <w:rPr>
                <w:sz w:val="20"/>
                <w:szCs w:val="20"/>
                <w:color w:val="auto"/>
              </w:rPr>
            </w:pPr>
            <w:r>
              <w:rPr>
                <w:rFonts w:ascii="Arial" w:cs="Arial" w:eastAsia="Arial" w:hAnsi="Arial"/>
                <w:sz w:val="13"/>
                <w:szCs w:val="13"/>
                <w:b w:val="1"/>
                <w:bCs w:val="1"/>
                <w:color w:val="auto"/>
              </w:rPr>
              <w:t>ASSETS</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tcPr>
          <w:p>
            <w:pPr>
              <w:spacing w:after="0"/>
              <w:rPr>
                <w:sz w:val="20"/>
                <w:szCs w:val="20"/>
                <w:color w:val="auto"/>
              </w:rPr>
            </w:pPr>
            <w:r>
              <w:rPr>
                <w:rFonts w:ascii="Arial" w:cs="Arial" w:eastAsia="Arial" w:hAnsi="Arial"/>
                <w:sz w:val="13"/>
                <w:szCs w:val="13"/>
                <w:color w:val="auto"/>
              </w:rPr>
              <w:t>Current Assets: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and cash equivalents</w:t>
            </w:r>
          </w:p>
        </w:tc>
        <w:tc>
          <w:tcPr>
            <w:tcW w:w="500" w:type="dxa"/>
            <w:vAlign w:val="bottom"/>
            <w:gridSpan w:val="2"/>
            <w:shd w:val="clear" w:color="auto" w:fill="CFF0FC"/>
          </w:tcPr>
          <w:p>
            <w:pPr>
              <w:jc w:val="right"/>
              <w:ind w:right="188"/>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37,619</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32,666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40" w:type="dxa"/>
            <w:vAlign w:val="bottom"/>
          </w:tcPr>
          <w:p>
            <w:pPr>
              <w:ind w:left="260"/>
              <w:spacing w:after="0"/>
              <w:rPr>
                <w:sz w:val="20"/>
                <w:szCs w:val="20"/>
                <w:color w:val="auto"/>
              </w:rPr>
            </w:pPr>
            <w:r>
              <w:rPr>
                <w:rFonts w:ascii="Arial" w:cs="Arial" w:eastAsia="Arial" w:hAnsi="Arial"/>
                <w:sz w:val="13"/>
                <w:szCs w:val="13"/>
                <w:color w:val="auto"/>
              </w:rPr>
              <w:t>Restricted cash</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3,601</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Receivables:</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tcPr>
          <w:p>
            <w:pPr>
              <w:ind w:left="500"/>
              <w:spacing w:after="0"/>
              <w:rPr>
                <w:sz w:val="20"/>
                <w:szCs w:val="20"/>
                <w:color w:val="auto"/>
              </w:rPr>
            </w:pPr>
            <w:r>
              <w:rPr>
                <w:rFonts w:ascii="Arial" w:cs="Arial" w:eastAsia="Arial" w:hAnsi="Arial"/>
                <w:sz w:val="13"/>
                <w:szCs w:val="13"/>
                <w:color w:val="auto"/>
              </w:rPr>
              <w:t>Trade, net of allowance for credit loss accounts of $1,312 and $582 in 2021 and 2020, respectively</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55,544</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45,325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6,118</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10,924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tcPr>
          <w:p>
            <w:pPr>
              <w:ind w:left="260"/>
              <w:spacing w:after="0"/>
              <w:rPr>
                <w:sz w:val="20"/>
                <w:szCs w:val="20"/>
                <w:color w:val="auto"/>
              </w:rPr>
            </w:pPr>
            <w:r>
              <w:rPr>
                <w:rFonts w:ascii="Arial" w:cs="Arial" w:eastAsia="Arial" w:hAnsi="Arial"/>
                <w:sz w:val="13"/>
                <w:szCs w:val="13"/>
                <w:color w:val="auto"/>
              </w:rPr>
              <w:t>Receivable from SEACOR Holdings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18,832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Tax receivable</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1,238</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13,556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40" w:type="dxa"/>
            <w:vAlign w:val="bottom"/>
          </w:tcPr>
          <w:p>
            <w:pPr>
              <w:ind w:left="260"/>
              <w:spacing w:after="0"/>
              <w:rPr>
                <w:sz w:val="20"/>
                <w:szCs w:val="20"/>
                <w:color w:val="auto"/>
              </w:rPr>
            </w:pPr>
            <w:r>
              <w:rPr>
                <w:rFonts w:ascii="Arial" w:cs="Arial" w:eastAsia="Arial" w:hAnsi="Arial"/>
                <w:sz w:val="13"/>
                <w:szCs w:val="13"/>
                <w:color w:val="auto"/>
              </w:rPr>
              <w:t>Inventories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928</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Prepaid expenses and other</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3,730</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tcPr>
          <w:p>
            <w:pPr>
              <w:ind w:left="260"/>
              <w:spacing w:after="0"/>
              <w:rPr>
                <w:sz w:val="20"/>
                <w:szCs w:val="20"/>
                <w:color w:val="auto"/>
              </w:rPr>
            </w:pPr>
            <w:r>
              <w:rPr>
                <w:rFonts w:ascii="Arial" w:cs="Arial" w:eastAsia="Arial" w:hAnsi="Arial"/>
                <w:sz w:val="13"/>
                <w:szCs w:val="13"/>
                <w:color w:val="auto"/>
              </w:rPr>
              <w:t>Assets held for sale</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50,235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40" w:type="dxa"/>
            <w:vAlign w:val="bottom"/>
            <w:tcBorders>
              <w:top w:val="single" w:sz="8" w:color="CFF0FC"/>
            </w:tcBorders>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current assets</w:t>
            </w:r>
          </w:p>
        </w:tc>
        <w:tc>
          <w:tcPr>
            <w:tcW w:w="2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108,778</w:t>
            </w:r>
          </w:p>
        </w:tc>
        <w:tc>
          <w:tcPr>
            <w:tcW w:w="30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spacing w:after="0"/>
              <w:rPr>
                <w:sz w:val="12"/>
                <w:szCs w:val="12"/>
                <w:color w:val="auto"/>
              </w:rPr>
            </w:pP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178,696</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40" w:type="dxa"/>
            <w:vAlign w:val="bottom"/>
          </w:tcPr>
          <w:p>
            <w:pPr>
              <w:spacing w:after="0" w:line="142" w:lineRule="exact"/>
              <w:rPr>
                <w:sz w:val="20"/>
                <w:szCs w:val="20"/>
                <w:color w:val="auto"/>
              </w:rPr>
            </w:pPr>
            <w:r>
              <w:rPr>
                <w:rFonts w:ascii="Arial" w:cs="Arial" w:eastAsia="Arial" w:hAnsi="Arial"/>
                <w:sz w:val="13"/>
                <w:szCs w:val="13"/>
                <w:color w:val="auto"/>
              </w:rPr>
              <w:t>Property and Equipment: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Historical cost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1,025,284</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1,012,873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tcPr>
          <w:p>
            <w:pPr>
              <w:ind w:left="260"/>
              <w:spacing w:after="0"/>
              <w:rPr>
                <w:sz w:val="20"/>
                <w:szCs w:val="20"/>
                <w:color w:val="auto"/>
              </w:rPr>
            </w:pPr>
            <w:r>
              <w:rPr>
                <w:rFonts w:ascii="Arial" w:cs="Arial" w:eastAsia="Arial" w:hAnsi="Arial"/>
                <w:sz w:val="13"/>
                <w:szCs w:val="13"/>
                <w:color w:val="auto"/>
              </w:rPr>
              <w:t>Accumulated depreciation</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(317,297)</w:t>
            </w:r>
          </w:p>
        </w:tc>
        <w:tc>
          <w:tcPr>
            <w:tcW w:w="28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(291,538)</w:t>
            </w:r>
          </w:p>
        </w:tc>
        <w:tc>
          <w:tcPr>
            <w:tcW w:w="0" w:type="dxa"/>
            <w:vAlign w:val="bottom"/>
          </w:tcPr>
          <w:p>
            <w:pPr>
              <w:spacing w:after="0"/>
              <w:rPr>
                <w:sz w:val="1"/>
                <w:szCs w:val="1"/>
                <w:color w:val="auto"/>
              </w:rPr>
            </w:pPr>
          </w:p>
        </w:tc>
      </w:tr>
      <w:tr>
        <w:trPr>
          <w:trHeight w:val="142"/>
        </w:trPr>
        <w:tc>
          <w:tcPr>
            <w:tcW w:w="81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707,987</w:t>
            </w:r>
          </w:p>
        </w:tc>
        <w:tc>
          <w:tcPr>
            <w:tcW w:w="30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721,335</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Construction in progress</w:t>
            </w:r>
          </w:p>
        </w:tc>
        <w:tc>
          <w:tcPr>
            <w:tcW w:w="2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15,531</w:t>
            </w:r>
          </w:p>
        </w:tc>
        <w:tc>
          <w:tcPr>
            <w:tcW w:w="3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32,327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40" w:type="dxa"/>
            <w:vAlign w:val="bottom"/>
            <w:shd w:val="clear" w:color="auto" w:fill="CFF0FC"/>
          </w:tcPr>
          <w:p>
            <w:pPr>
              <w:ind w:left="260"/>
              <w:spacing w:after="0" w:line="142" w:lineRule="exact"/>
              <w:rPr>
                <w:sz w:val="20"/>
                <w:szCs w:val="20"/>
                <w:color w:val="auto"/>
              </w:rPr>
            </w:pPr>
            <w:r>
              <w:rPr>
                <w:rFonts w:ascii="Arial" w:cs="Arial" w:eastAsia="Arial" w:hAnsi="Arial"/>
                <w:sz w:val="13"/>
                <w:szCs w:val="13"/>
                <w:color w:val="auto"/>
              </w:rPr>
              <w:t>Net property and equipment</w:t>
            </w:r>
          </w:p>
        </w:tc>
        <w:tc>
          <w:tcPr>
            <w:tcW w:w="2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723,518</w:t>
            </w:r>
          </w:p>
        </w:tc>
        <w:tc>
          <w:tcPr>
            <w:tcW w:w="30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753,662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40" w:type="dxa"/>
            <w:vAlign w:val="bottom"/>
          </w:tcPr>
          <w:p>
            <w:pPr>
              <w:spacing w:after="0" w:line="142" w:lineRule="exact"/>
              <w:rPr>
                <w:sz w:val="20"/>
                <w:szCs w:val="20"/>
                <w:color w:val="auto"/>
              </w:rPr>
            </w:pPr>
            <w:r>
              <w:rPr>
                <w:rFonts w:ascii="Arial" w:cs="Arial" w:eastAsia="Arial" w:hAnsi="Arial"/>
                <w:sz w:val="13"/>
                <w:szCs w:val="13"/>
                <w:color w:val="auto"/>
              </w:rPr>
              <w:t>Right-of-use asset - operating leases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3"/>
                <w:szCs w:val="13"/>
                <w:color w:val="auto"/>
              </w:rPr>
              <w:t>6,608</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7,134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40" w:type="dxa"/>
            <w:vAlign w:val="bottom"/>
            <w:shd w:val="clear" w:color="auto" w:fill="CFF0FC"/>
          </w:tcPr>
          <w:p>
            <w:pPr>
              <w:spacing w:after="0"/>
              <w:rPr>
                <w:sz w:val="20"/>
                <w:szCs w:val="20"/>
                <w:color w:val="auto"/>
              </w:rPr>
            </w:pPr>
            <w:r>
              <w:rPr>
                <w:rFonts w:ascii="Arial" w:cs="Arial" w:eastAsia="Arial" w:hAnsi="Arial"/>
                <w:sz w:val="13"/>
                <w:szCs w:val="13"/>
                <w:color w:val="auto"/>
              </w:rPr>
              <w:t>Right-of-use asset - finance leases</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tcPr>
          <w:p>
            <w:pPr>
              <w:spacing w:after="0" w:line="148" w:lineRule="exact"/>
              <w:rPr>
                <w:sz w:val="20"/>
                <w:szCs w:val="20"/>
                <w:color w:val="auto"/>
              </w:rPr>
            </w:pPr>
            <w:r>
              <w:rPr>
                <w:rFonts w:ascii="Arial" w:cs="Arial" w:eastAsia="Arial" w:hAnsi="Arial"/>
                <w:sz w:val="13"/>
                <w:szCs w:val="13"/>
                <w:color w:val="auto"/>
              </w:rPr>
              <w:t>Investments, at equity, and advances to 50% or less owned companies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Arial" w:cs="Arial" w:eastAsia="Arial" w:hAnsi="Arial"/>
                <w:sz w:val="13"/>
                <w:szCs w:val="13"/>
                <w:color w:val="auto"/>
              </w:rPr>
              <w:t>71,727</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75,308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Other assets</w:t>
            </w:r>
          </w:p>
        </w:tc>
        <w:tc>
          <w:tcPr>
            <w:tcW w:w="2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1,771</w:t>
            </w:r>
          </w:p>
        </w:tc>
        <w:tc>
          <w:tcPr>
            <w:tcW w:w="3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40" w:type="dxa"/>
            <w:vAlign w:val="bottom"/>
            <w:tcBorders>
              <w:bottom w:val="single" w:sz="8" w:color="CFF0FC"/>
            </w:tcBorders>
            <w:shd w:val="clear" w:color="auto" w:fill="CFF0FC"/>
          </w:tcPr>
          <w:p>
            <w:pPr>
              <w:ind w:left="500"/>
              <w:spacing w:after="0" w:line="141" w:lineRule="exact"/>
              <w:rPr>
                <w:sz w:val="20"/>
                <w:szCs w:val="20"/>
                <w:color w:val="auto"/>
              </w:rPr>
            </w:pPr>
            <w:r>
              <w:rPr>
                <w:rFonts w:ascii="Arial" w:cs="Arial" w:eastAsia="Arial" w:hAnsi="Arial"/>
                <w:sz w:val="13"/>
                <w:szCs w:val="13"/>
                <w:color w:val="auto"/>
              </w:rPr>
              <w:t>Total assets</w:t>
            </w:r>
          </w:p>
        </w:tc>
        <w:tc>
          <w:tcPr>
            <w:tcW w:w="2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912,502</w:t>
            </w:r>
          </w:p>
        </w:tc>
        <w:tc>
          <w:tcPr>
            <w:tcW w:w="3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1,017,663</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140" w:type="dxa"/>
            <w:vAlign w:val="bottom"/>
            <w:vMerge w:val="restart"/>
          </w:tcPr>
          <w:p>
            <w:pPr>
              <w:ind w:left="3260"/>
              <w:spacing w:after="0"/>
              <w:rPr>
                <w:sz w:val="20"/>
                <w:szCs w:val="20"/>
                <w:color w:val="auto"/>
              </w:rPr>
            </w:pPr>
            <w:r>
              <w:rPr>
                <w:rFonts w:ascii="Arial" w:cs="Arial" w:eastAsia="Arial" w:hAnsi="Arial"/>
                <w:sz w:val="13"/>
                <w:szCs w:val="13"/>
                <w:b w:val="1"/>
                <w:bCs w:val="1"/>
                <w:color w:val="auto"/>
              </w:rPr>
              <w:t>LIABILITIES AND EQUITY</w:t>
            </w: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1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140" w:type="dxa"/>
            <w:vAlign w:val="bottom"/>
            <w:shd w:val="clear" w:color="auto" w:fill="CFF0FC"/>
          </w:tcPr>
          <w:p>
            <w:pPr>
              <w:spacing w:after="0"/>
              <w:rPr>
                <w:sz w:val="20"/>
                <w:szCs w:val="20"/>
                <w:color w:val="auto"/>
              </w:rPr>
            </w:pPr>
            <w:r>
              <w:rPr>
                <w:rFonts w:ascii="Arial" w:cs="Arial" w:eastAsia="Arial" w:hAnsi="Arial"/>
                <w:sz w:val="13"/>
                <w:szCs w:val="13"/>
                <w:color w:val="auto"/>
              </w:rPr>
              <w:t>Current Liabilities:</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40" w:type="dxa"/>
            <w:vAlign w:val="bottom"/>
          </w:tcPr>
          <w:p>
            <w:pPr>
              <w:ind w:left="260"/>
              <w:spacing w:after="0"/>
              <w:rPr>
                <w:sz w:val="20"/>
                <w:szCs w:val="20"/>
                <w:color w:val="auto"/>
              </w:rPr>
            </w:pPr>
            <w:r>
              <w:rPr>
                <w:rFonts w:ascii="Arial" w:cs="Arial" w:eastAsia="Arial" w:hAnsi="Arial"/>
                <w:sz w:val="13"/>
                <w:szCs w:val="13"/>
                <w:color w:val="auto"/>
              </w:rPr>
              <w:t>Current portion of operating lease liabilities</w:t>
            </w:r>
          </w:p>
        </w:tc>
        <w:tc>
          <w:tcPr>
            <w:tcW w:w="500" w:type="dxa"/>
            <w:vAlign w:val="bottom"/>
            <w:gridSpan w:val="2"/>
          </w:tcPr>
          <w:p>
            <w:pPr>
              <w:jc w:val="right"/>
              <w:ind w:right="188"/>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1,986</w:t>
            </w:r>
          </w:p>
        </w:tc>
        <w:tc>
          <w:tcPr>
            <w:tcW w:w="300" w:type="dxa"/>
            <w:vAlign w:val="bottom"/>
          </w:tcPr>
          <w:p>
            <w:pPr>
              <w:spacing w:after="0"/>
              <w:rPr>
                <w:sz w:val="12"/>
                <w:szCs w:val="12"/>
                <w:color w:val="auto"/>
              </w:rPr>
            </w:pP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7,030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Current portion of finance lease liabilities</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tcPr>
          <w:p>
            <w:pPr>
              <w:ind w:left="260"/>
              <w:spacing w:after="0"/>
              <w:rPr>
                <w:sz w:val="20"/>
                <w:szCs w:val="20"/>
                <w:color w:val="auto"/>
              </w:rPr>
            </w:pPr>
            <w:r>
              <w:rPr>
                <w:rFonts w:ascii="Arial" w:cs="Arial" w:eastAsia="Arial" w:hAnsi="Arial"/>
                <w:sz w:val="13"/>
                <w:szCs w:val="13"/>
                <w:color w:val="auto"/>
              </w:rPr>
              <w:t>Current portion of long-term debt: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Recourse</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31,602</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26,734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tcPr>
          <w:p>
            <w:pPr>
              <w:ind w:left="500"/>
              <w:spacing w:after="0"/>
              <w:rPr>
                <w:sz w:val="20"/>
                <w:szCs w:val="20"/>
                <w:color w:val="auto"/>
              </w:rPr>
            </w:pPr>
            <w:r>
              <w:rPr>
                <w:rFonts w:ascii="Arial" w:cs="Arial" w:eastAsia="Arial" w:hAnsi="Arial"/>
                <w:sz w:val="13"/>
                <w:szCs w:val="13"/>
                <w:color w:val="auto"/>
              </w:rPr>
              <w:t>Non-recourse</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5,643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Accounts payable and accrued expenses</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28,419</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29,967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tcPr>
          <w:p>
            <w:pPr>
              <w:ind w:left="260"/>
              <w:spacing w:after="0"/>
              <w:rPr>
                <w:sz w:val="20"/>
                <w:szCs w:val="20"/>
                <w:color w:val="auto"/>
              </w:rPr>
            </w:pPr>
            <w:r>
              <w:rPr>
                <w:rFonts w:ascii="Arial" w:cs="Arial" w:eastAsia="Arial" w:hAnsi="Arial"/>
                <w:sz w:val="13"/>
                <w:szCs w:val="13"/>
                <w:color w:val="auto"/>
              </w:rPr>
              <w:t>Due to SEACOR Holdings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274</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wages and benefits</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3,711</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tcPr>
          <w:p>
            <w:pPr>
              <w:ind w:left="260"/>
              <w:spacing w:after="0"/>
              <w:rPr>
                <w:sz w:val="20"/>
                <w:szCs w:val="20"/>
                <w:color w:val="auto"/>
              </w:rPr>
            </w:pPr>
            <w:r>
              <w:rPr>
                <w:rFonts w:ascii="Arial" w:cs="Arial" w:eastAsia="Arial" w:hAnsi="Arial"/>
                <w:sz w:val="13"/>
                <w:szCs w:val="13"/>
                <w:color w:val="auto"/>
              </w:rPr>
              <w:t>Accrued interest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2,273</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capital, repair and maintenance expenditures</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2,438</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11,328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tcPr>
          <w:p>
            <w:pPr>
              <w:ind w:left="260"/>
              <w:spacing w:after="0"/>
              <w:rPr>
                <w:sz w:val="20"/>
                <w:szCs w:val="20"/>
                <w:color w:val="auto"/>
              </w:rPr>
            </w:pPr>
            <w:r>
              <w:rPr>
                <w:rFonts w:ascii="Arial" w:cs="Arial" w:eastAsia="Arial" w:hAnsi="Arial"/>
                <w:sz w:val="13"/>
                <w:szCs w:val="13"/>
                <w:color w:val="auto"/>
              </w:rPr>
              <w:t>Deferred revenue and unearned revenue</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1,606</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4,452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insurance deductibles and premiums</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2,720</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40" w:type="dxa"/>
            <w:vAlign w:val="bottom"/>
          </w:tcPr>
          <w:p>
            <w:pPr>
              <w:ind w:left="260"/>
              <w:spacing w:after="0"/>
              <w:rPr>
                <w:sz w:val="20"/>
                <w:szCs w:val="20"/>
                <w:color w:val="auto"/>
              </w:rPr>
            </w:pPr>
            <w:r>
              <w:rPr>
                <w:rFonts w:ascii="Arial" w:cs="Arial" w:eastAsia="Arial" w:hAnsi="Arial"/>
                <w:sz w:val="13"/>
                <w:szCs w:val="13"/>
                <w:color w:val="auto"/>
              </w:rPr>
              <w:t>Accrued professional fees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1,214</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Derivatives</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1,831</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4,591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tcPr>
          <w:p>
            <w:pPr>
              <w:ind w:left="260"/>
              <w:spacing w:after="0"/>
              <w:rPr>
                <w:sz w:val="20"/>
                <w:szCs w:val="20"/>
                <w:color w:val="auto"/>
              </w:rPr>
            </w:pPr>
            <w:r>
              <w:rPr>
                <w:rFonts w:ascii="Arial" w:cs="Arial" w:eastAsia="Arial" w:hAnsi="Arial"/>
                <w:sz w:val="13"/>
                <w:szCs w:val="13"/>
                <w:color w:val="auto"/>
              </w:rPr>
              <w:t>Other current liabilities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6,558</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4,439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Liabilities held for sale</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30,927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40" w:type="dxa"/>
            <w:vAlign w:val="bottom"/>
            <w:tcBorders>
              <w:bottom w:val="single" w:sz="8" w:color="CFF0FC"/>
            </w:tcBorders>
          </w:tcPr>
          <w:p>
            <w:pPr>
              <w:ind w:left="500"/>
              <w:spacing w:after="0" w:line="142" w:lineRule="exact"/>
              <w:rPr>
                <w:sz w:val="20"/>
                <w:szCs w:val="20"/>
                <w:color w:val="auto"/>
              </w:rPr>
            </w:pPr>
            <w:r>
              <w:rPr>
                <w:rFonts w:ascii="Arial" w:cs="Arial" w:eastAsia="Arial" w:hAnsi="Arial"/>
                <w:sz w:val="13"/>
                <w:szCs w:val="13"/>
                <w:color w:val="auto"/>
              </w:rPr>
              <w:t>Total current liabilities</w:t>
            </w:r>
          </w:p>
        </w:tc>
        <w:tc>
          <w:tcPr>
            <w:tcW w:w="20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84,665</w:t>
            </w:r>
          </w:p>
        </w:tc>
        <w:tc>
          <w:tcPr>
            <w:tcW w:w="300" w:type="dxa"/>
            <w:vAlign w:val="bottom"/>
            <w:tcBorders>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131,804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Long-term operating lease liabilities</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4,885</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4,345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40" w:type="dxa"/>
            <w:vAlign w:val="bottom"/>
          </w:tcPr>
          <w:p>
            <w:pPr>
              <w:spacing w:after="0"/>
              <w:rPr>
                <w:sz w:val="20"/>
                <w:szCs w:val="20"/>
                <w:color w:val="auto"/>
              </w:rPr>
            </w:pPr>
            <w:r>
              <w:rPr>
                <w:rFonts w:ascii="Arial" w:cs="Arial" w:eastAsia="Arial" w:hAnsi="Arial"/>
                <w:sz w:val="13"/>
                <w:szCs w:val="13"/>
                <w:color w:val="auto"/>
              </w:rPr>
              <w:t>Long-term finance lease liabilities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76</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shd w:val="clear" w:color="auto" w:fill="CFF0FC"/>
          </w:tcPr>
          <w:p>
            <w:pPr>
              <w:spacing w:after="0"/>
              <w:rPr>
                <w:sz w:val="20"/>
                <w:szCs w:val="20"/>
                <w:color w:val="auto"/>
              </w:rPr>
            </w:pPr>
            <w:r>
              <w:rPr>
                <w:rFonts w:ascii="Arial" w:cs="Arial" w:eastAsia="Arial" w:hAnsi="Arial"/>
                <w:sz w:val="13"/>
                <w:szCs w:val="13"/>
                <w:color w:val="auto"/>
              </w:rPr>
              <w:t>Long-term Debt: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tcPr>
          <w:p>
            <w:pPr>
              <w:ind w:left="260"/>
              <w:spacing w:after="0"/>
              <w:rPr>
                <w:sz w:val="20"/>
                <w:szCs w:val="20"/>
                <w:color w:val="auto"/>
              </w:rPr>
            </w:pPr>
            <w:r>
              <w:rPr>
                <w:rFonts w:ascii="Arial" w:cs="Arial" w:eastAsia="Arial" w:hAnsi="Arial"/>
                <w:sz w:val="13"/>
                <w:szCs w:val="13"/>
                <w:color w:val="auto"/>
              </w:rPr>
              <w:t>Recourse</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327,300</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328,690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Non-recourse</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5,462</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111,820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tcPr>
          <w:p>
            <w:pPr>
              <w:spacing w:after="0"/>
              <w:rPr>
                <w:sz w:val="20"/>
                <w:szCs w:val="20"/>
                <w:color w:val="auto"/>
              </w:rPr>
            </w:pPr>
            <w:r>
              <w:rPr>
                <w:rFonts w:ascii="Arial" w:cs="Arial" w:eastAsia="Arial" w:hAnsi="Arial"/>
                <w:sz w:val="13"/>
                <w:szCs w:val="13"/>
                <w:color w:val="auto"/>
              </w:rPr>
              <w:t>Conversion option liability on convertible senior notes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40" w:type="dxa"/>
            <w:vAlign w:val="bottom"/>
            <w:shd w:val="clear" w:color="auto" w:fill="CFF0FC"/>
          </w:tcPr>
          <w:p>
            <w:pPr>
              <w:spacing w:after="0"/>
              <w:rPr>
                <w:sz w:val="20"/>
                <w:szCs w:val="20"/>
                <w:color w:val="auto"/>
              </w:rPr>
            </w:pPr>
            <w:r>
              <w:rPr>
                <w:rFonts w:ascii="Arial" w:cs="Arial" w:eastAsia="Arial" w:hAnsi="Arial"/>
                <w:sz w:val="13"/>
                <w:szCs w:val="13"/>
                <w:color w:val="auto"/>
              </w:rPr>
              <w:t>Deferred income taxes</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40,682</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35,822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Deferred gains and other liabilities</w:t>
            </w:r>
          </w:p>
        </w:tc>
        <w:tc>
          <w:tcPr>
            <w:tcW w:w="2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2,891</w:t>
            </w:r>
          </w:p>
        </w:tc>
        <w:tc>
          <w:tcPr>
            <w:tcW w:w="3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40" w:type="dxa"/>
            <w:vAlign w:val="bottom"/>
            <w:shd w:val="clear" w:color="auto" w:fill="CFF0FC"/>
          </w:tcPr>
          <w:p>
            <w:pPr>
              <w:ind w:left="500"/>
              <w:spacing w:after="0" w:line="141" w:lineRule="exact"/>
              <w:rPr>
                <w:sz w:val="20"/>
                <w:szCs w:val="20"/>
                <w:color w:val="auto"/>
              </w:rPr>
            </w:pPr>
            <w:r>
              <w:rPr>
                <w:rFonts w:ascii="Arial" w:cs="Arial" w:eastAsia="Arial" w:hAnsi="Arial"/>
                <w:sz w:val="13"/>
                <w:szCs w:val="13"/>
                <w:color w:val="auto"/>
              </w:rPr>
              <w:t>Total liabilities</w:t>
            </w:r>
          </w:p>
        </w:tc>
        <w:tc>
          <w:tcPr>
            <w:tcW w:w="2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465,961</w:t>
            </w:r>
          </w:p>
        </w:tc>
        <w:tc>
          <w:tcPr>
            <w:tcW w:w="30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615,827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40" w:type="dxa"/>
            <w:vAlign w:val="bottom"/>
          </w:tcPr>
          <w:p>
            <w:pPr>
              <w:spacing w:after="0" w:line="142" w:lineRule="exact"/>
              <w:rPr>
                <w:sz w:val="20"/>
                <w:szCs w:val="20"/>
                <w:color w:val="auto"/>
              </w:rPr>
            </w:pPr>
            <w:r>
              <w:rPr>
                <w:rFonts w:ascii="Arial" w:cs="Arial" w:eastAsia="Arial" w:hAnsi="Arial"/>
                <w:sz w:val="13"/>
                <w:szCs w:val="13"/>
                <w:color w:val="auto"/>
              </w:rPr>
              <w:t>Equity:</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SEACOR Marine Holdings Inc. stockholders' equity:</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8140" w:type="dxa"/>
            <w:vAlign w:val="bottom"/>
            <w:shd w:val="clear" w:color="auto" w:fill="CFF0FC"/>
          </w:tcPr>
          <w:p>
            <w:pPr>
              <w:ind w:left="500"/>
              <w:spacing w:after="0" w:line="134" w:lineRule="exact"/>
              <w:rPr>
                <w:sz w:val="20"/>
                <w:szCs w:val="20"/>
                <w:color w:val="auto"/>
              </w:rPr>
            </w:pPr>
            <w:r>
              <w:rPr>
                <w:rFonts w:ascii="Arial" w:cs="Arial" w:eastAsia="Arial" w:hAnsi="Arial"/>
                <w:sz w:val="13"/>
                <w:szCs w:val="13"/>
                <w:color w:val="auto"/>
              </w:rPr>
              <w:t>Common stock, $.01 par value, 60,000,000 shares authorized; 26,120,124</w:t>
            </w:r>
          </w:p>
        </w:tc>
        <w:tc>
          <w:tcPr>
            <w:tcW w:w="2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140" w:type="dxa"/>
            <w:vAlign w:val="bottom"/>
            <w:shd w:val="clear" w:color="auto" w:fill="CFF0FC"/>
          </w:tcPr>
          <w:p>
            <w:pPr>
              <w:ind w:left="600"/>
              <w:spacing w:after="0"/>
              <w:rPr>
                <w:sz w:val="20"/>
                <w:szCs w:val="20"/>
                <w:color w:val="auto"/>
              </w:rPr>
            </w:pPr>
            <w:r>
              <w:rPr>
                <w:rFonts w:ascii="Arial" w:cs="Arial" w:eastAsia="Arial" w:hAnsi="Arial"/>
                <w:sz w:val="13"/>
                <w:szCs w:val="13"/>
                <w:color w:val="auto"/>
              </w:rPr>
              <w:t>and 23,504,050 shares issued in 2021 and 2020, respectively</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40" w:type="dxa"/>
            <w:vAlign w:val="bottom"/>
          </w:tcPr>
          <w:p>
            <w:pPr>
              <w:ind w:left="500"/>
              <w:spacing w:after="0"/>
              <w:rPr>
                <w:sz w:val="20"/>
                <w:szCs w:val="20"/>
                <w:color w:val="auto"/>
              </w:rPr>
            </w:pPr>
            <w:r>
              <w:rPr>
                <w:rFonts w:ascii="Arial" w:cs="Arial" w:eastAsia="Arial" w:hAnsi="Arial"/>
                <w:sz w:val="13"/>
                <w:szCs w:val="13"/>
                <w:color w:val="auto"/>
              </w:rPr>
              <w:t>Additional paid-in capital</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461,931</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451,179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Accumulated deficit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(22,907)</w:t>
            </w:r>
          </w:p>
        </w:tc>
        <w:tc>
          <w:tcPr>
            <w:tcW w:w="2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(51,839)</w:t>
            </w:r>
          </w:p>
        </w:tc>
        <w:tc>
          <w:tcPr>
            <w:tcW w:w="0" w:type="dxa"/>
            <w:vAlign w:val="bottom"/>
          </w:tcPr>
          <w:p>
            <w:pPr>
              <w:spacing w:after="0"/>
              <w:rPr>
                <w:sz w:val="1"/>
                <w:szCs w:val="1"/>
                <w:color w:val="auto"/>
              </w:rPr>
            </w:pPr>
          </w:p>
        </w:tc>
      </w:tr>
      <w:tr>
        <w:trPr>
          <w:trHeight w:val="148"/>
        </w:trPr>
        <w:tc>
          <w:tcPr>
            <w:tcW w:w="8140" w:type="dxa"/>
            <w:vAlign w:val="bottom"/>
          </w:tcPr>
          <w:p>
            <w:pPr>
              <w:ind w:left="500"/>
              <w:spacing w:after="0"/>
              <w:rPr>
                <w:sz w:val="20"/>
                <w:szCs w:val="20"/>
                <w:color w:val="auto"/>
              </w:rPr>
            </w:pPr>
            <w:r>
              <w:rPr>
                <w:rFonts w:ascii="Arial" w:cs="Arial" w:eastAsia="Arial" w:hAnsi="Arial"/>
                <w:sz w:val="13"/>
                <w:szCs w:val="13"/>
                <w:color w:val="auto"/>
              </w:rPr>
              <w:t>Shares held in treasury of 127,887 and 73,284 in 2021 and 2020, respectively, at cost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(1,120)</w:t>
            </w:r>
          </w:p>
        </w:tc>
        <w:tc>
          <w:tcPr>
            <w:tcW w:w="28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(848)</w:t>
            </w:r>
          </w:p>
        </w:tc>
        <w:tc>
          <w:tcPr>
            <w:tcW w:w="0" w:type="dxa"/>
            <w:vAlign w:val="bottom"/>
          </w:tcPr>
          <w:p>
            <w:pPr>
              <w:spacing w:after="0"/>
              <w:rPr>
                <w:sz w:val="1"/>
                <w:szCs w:val="1"/>
                <w:color w:val="auto"/>
              </w:rPr>
            </w:pPr>
          </w:p>
        </w:tc>
      </w:tr>
      <w:tr>
        <w:trPr>
          <w:trHeight w:val="149"/>
        </w:trPr>
        <w:tc>
          <w:tcPr>
            <w:tcW w:w="81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Accumulated other comprehensive income, net of tax</w:t>
            </w:r>
          </w:p>
        </w:tc>
        <w:tc>
          <w:tcPr>
            <w:tcW w:w="2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8,055</w:t>
            </w:r>
          </w:p>
        </w:tc>
        <w:tc>
          <w:tcPr>
            <w:tcW w:w="30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2,790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4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446,221</w:t>
            </w:r>
          </w:p>
        </w:tc>
        <w:tc>
          <w:tcPr>
            <w:tcW w:w="3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401,517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40" w:type="dxa"/>
            <w:vAlign w:val="bottom"/>
            <w:shd w:val="clear" w:color="auto" w:fill="CFF0FC"/>
          </w:tcPr>
          <w:p>
            <w:pPr>
              <w:ind w:left="260"/>
              <w:spacing w:after="0" w:line="142" w:lineRule="exact"/>
              <w:rPr>
                <w:sz w:val="20"/>
                <w:szCs w:val="20"/>
                <w:color w:val="auto"/>
              </w:rPr>
            </w:pPr>
            <w:r>
              <w:rPr>
                <w:rFonts w:ascii="Arial" w:cs="Arial" w:eastAsia="Arial" w:hAnsi="Arial"/>
                <w:sz w:val="13"/>
                <w:szCs w:val="13"/>
                <w:color w:val="auto"/>
              </w:rPr>
              <w:t>Noncontrolling interests in subsidiaries</w:t>
            </w:r>
          </w:p>
        </w:tc>
        <w:tc>
          <w:tcPr>
            <w:tcW w:w="2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320</w:t>
            </w:r>
          </w:p>
        </w:tc>
        <w:tc>
          <w:tcPr>
            <w:tcW w:w="30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319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40" w:type="dxa"/>
            <w:vAlign w:val="bottom"/>
            <w:tcBorders>
              <w:bottom w:val="single" w:sz="8" w:color="CFF0FC"/>
            </w:tcBorders>
          </w:tcPr>
          <w:p>
            <w:pPr>
              <w:ind w:left="500"/>
              <w:spacing w:after="0" w:line="142" w:lineRule="exact"/>
              <w:rPr>
                <w:sz w:val="20"/>
                <w:szCs w:val="20"/>
                <w:color w:val="auto"/>
              </w:rPr>
            </w:pPr>
            <w:r>
              <w:rPr>
                <w:rFonts w:ascii="Arial" w:cs="Arial" w:eastAsia="Arial" w:hAnsi="Arial"/>
                <w:sz w:val="13"/>
                <w:szCs w:val="13"/>
                <w:color w:val="auto"/>
              </w:rPr>
              <w:t>Total equity</w:t>
            </w:r>
          </w:p>
        </w:tc>
        <w:tc>
          <w:tcPr>
            <w:tcW w:w="2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446,541</w:t>
            </w:r>
          </w:p>
        </w:tc>
        <w:tc>
          <w:tcPr>
            <w:tcW w:w="3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401,836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40" w:type="dxa"/>
            <w:vAlign w:val="bottom"/>
            <w:tcBorders>
              <w:bottom w:val="single" w:sz="8" w:color="CFF0FC"/>
            </w:tcBorders>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liabilities and equity</w:t>
            </w:r>
          </w:p>
        </w:tc>
        <w:tc>
          <w:tcPr>
            <w:tcW w:w="2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912,502</w:t>
            </w:r>
          </w:p>
        </w:tc>
        <w:tc>
          <w:tcPr>
            <w:tcW w:w="3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1,017,663</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 and should be read in conjunction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ind w:left="640"/>
              <w:spacing w:after="0"/>
              <w:rPr>
                <w:sz w:val="20"/>
                <w:szCs w:val="20"/>
                <w:color w:val="auto"/>
              </w:rPr>
            </w:pPr>
            <w:r>
              <w:rPr>
                <w:rFonts w:ascii="Arial" w:cs="Arial" w:eastAsia="Arial" w:hAnsi="Arial"/>
                <w:sz w:val="18"/>
                <w:szCs w:val="18"/>
                <w:b w:val="1"/>
                <w:bCs w:val="1"/>
                <w:color w:val="auto"/>
                <w:w w:val="90"/>
              </w:rPr>
              <w:t>For the years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170,941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141,837</w:t>
            </w:r>
          </w:p>
        </w:tc>
        <w:tc>
          <w:tcPr>
            <w:tcW w:w="2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174,453</w:t>
            </w:r>
          </w:p>
        </w:tc>
        <w:tc>
          <w:tcPr>
            <w:tcW w:w="100" w:type="dxa"/>
            <w:vAlign w:val="bottom"/>
            <w:shd w:val="clear" w:color="auto" w:fill="CFF0FC"/>
          </w:tcPr>
          <w:p>
            <w:pPr>
              <w:spacing w:after="0"/>
              <w:rPr>
                <w:sz w:val="19"/>
                <w:szCs w:val="19"/>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127,406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91,145</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109,523</w:t>
            </w:r>
          </w:p>
        </w:tc>
        <w:tc>
          <w:tcPr>
            <w:tcW w:w="100" w:type="dxa"/>
            <w:vAlign w:val="bottom"/>
            <w:shd w:val="clear" w:color="auto" w:fill="CFF0FC"/>
          </w:tcPr>
          <w:p>
            <w:pPr>
              <w:spacing w:after="0"/>
              <w:rPr>
                <w:sz w:val="19"/>
                <w:szCs w:val="19"/>
                <w:color w:val="auto"/>
              </w:rPr>
            </w:pPr>
          </w:p>
        </w:tc>
      </w:tr>
      <w:tr>
        <w:trPr>
          <w:trHeight w:val="229"/>
        </w:trPr>
        <w:tc>
          <w:tcPr>
            <w:tcW w:w="6500" w:type="dxa"/>
            <w:vAlign w:val="bottom"/>
          </w:tcPr>
          <w:p>
            <w:pPr>
              <w:ind w:left="260"/>
              <w:spacing w:after="0"/>
              <w:rPr>
                <w:sz w:val="20"/>
                <w:szCs w:val="20"/>
                <w:color w:val="auto"/>
              </w:rPr>
            </w:pPr>
            <w:r>
              <w:rPr>
                <w:rFonts w:ascii="Arial" w:cs="Arial" w:eastAsia="Arial" w:hAnsi="Arial"/>
                <w:sz w:val="18"/>
                <w:szCs w:val="18"/>
                <w:color w:val="auto"/>
              </w:rPr>
              <w:t>Administrative and general</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37,639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40,051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39,791</w:t>
            </w: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expense</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7,525</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15,840</w:t>
            </w:r>
          </w:p>
        </w:tc>
        <w:tc>
          <w:tcPr>
            <w:tcW w:w="100" w:type="dxa"/>
            <w:vAlign w:val="bottom"/>
            <w:shd w:val="clear" w:color="auto" w:fill="CFF0FC"/>
          </w:tcPr>
          <w:p>
            <w:pPr>
              <w:spacing w:after="0"/>
              <w:rPr>
                <w:sz w:val="19"/>
                <w:szCs w:val="19"/>
                <w:color w:val="auto"/>
              </w:rPr>
            </w:pPr>
          </w:p>
        </w:tc>
      </w:tr>
      <w:tr>
        <w:trPr>
          <w:trHeight w:val="229"/>
        </w:trPr>
        <w:tc>
          <w:tcPr>
            <w:tcW w:w="6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57,395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57,167</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57,166</w:t>
            </w:r>
          </w:p>
        </w:tc>
        <w:tc>
          <w:tcPr>
            <w:tcW w:w="100" w:type="dxa"/>
            <w:vAlign w:val="bottom"/>
            <w:tcBorders>
              <w:bottom w:val="single" w:sz="8" w:color="CFF0FC"/>
            </w:tcBorders>
          </w:tcPr>
          <w:p>
            <w:pPr>
              <w:spacing w:after="0"/>
              <w:rPr>
                <w:sz w:val="19"/>
                <w:szCs w:val="19"/>
                <w:color w:val="auto"/>
              </w:rPr>
            </w:pPr>
          </w:p>
        </w:tc>
      </w:tr>
      <w:tr>
        <w:trPr>
          <w:trHeight w:val="223"/>
        </w:trPr>
        <w:tc>
          <w:tcPr>
            <w:tcW w:w="6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228,525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195,888</w:t>
            </w:r>
          </w:p>
        </w:tc>
        <w:tc>
          <w:tcPr>
            <w:tcW w:w="2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222,320</w:t>
            </w:r>
          </w:p>
        </w:tc>
        <w:tc>
          <w:tcPr>
            <w:tcW w:w="100" w:type="dxa"/>
            <w:vAlign w:val="bottom"/>
            <w:shd w:val="clear" w:color="auto" w:fill="CFF0FC"/>
          </w:tcPr>
          <w:p>
            <w:pPr>
              <w:spacing w:after="0"/>
              <w:rPr>
                <w:sz w:val="19"/>
                <w:szCs w:val="19"/>
                <w:color w:val="auto"/>
              </w:rPr>
            </w:pPr>
          </w:p>
        </w:tc>
      </w:tr>
      <w:tr>
        <w:trPr>
          <w:trHeight w:val="223"/>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Gains (Losses) on Asset Dispositions and Impairments, Net</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(17,588)</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(6,461)</w:t>
            </w:r>
          </w:p>
        </w:tc>
        <w:tc>
          <w:tcPr>
            <w:tcW w:w="100" w:type="dxa"/>
            <w:vAlign w:val="bottom"/>
            <w:tcBorders>
              <w:bottom w:val="single" w:sz="8" w:color="CFF0FC"/>
            </w:tcBorders>
          </w:tcPr>
          <w:p>
            <w:pPr>
              <w:spacing w:after="0"/>
              <w:rPr>
                <w:sz w:val="19"/>
                <w:szCs w:val="19"/>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(71,639)</w:t>
            </w:r>
          </w:p>
        </w:tc>
        <w:tc>
          <w:tcPr>
            <w:tcW w:w="2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(54,328)</w:t>
            </w:r>
          </w:p>
        </w:tc>
        <w:tc>
          <w:tcPr>
            <w:tcW w:w="100" w:type="dxa"/>
            <w:vAlign w:val="bottom"/>
            <w:shd w:val="clear" w:color="auto" w:fill="CFF0FC"/>
          </w:tcPr>
          <w:p>
            <w:pPr>
              <w:spacing w:after="0"/>
              <w:rPr>
                <w:sz w:val="19"/>
                <w:szCs w:val="19"/>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FF0FC"/>
          </w:tcPr>
          <w:p>
            <w:pPr>
              <w:spacing w:after="0"/>
              <w:rPr>
                <w:sz w:val="19"/>
                <w:szCs w:val="19"/>
                <w:color w:val="auto"/>
              </w:rPr>
            </w:pPr>
          </w:p>
        </w:tc>
      </w:tr>
      <w:tr>
        <w:trPr>
          <w:trHeight w:val="229"/>
        </w:trPr>
        <w:tc>
          <w:tcPr>
            <w:tcW w:w="65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(28,111)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(30,691)</w:t>
            </w: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(28,956)</w:t>
            </w: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SEACOR Holdings guarantee fees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w:t>
            </w:r>
          </w:p>
        </w:tc>
      </w:tr>
      <w:tr>
        <w:trPr>
          <w:trHeight w:val="229"/>
        </w:trPr>
        <w:tc>
          <w:tcPr>
            <w:tcW w:w="6500" w:type="dxa"/>
            <w:vAlign w:val="bottom"/>
          </w:tcPr>
          <w:p>
            <w:pPr>
              <w:ind w:left="260"/>
              <w:spacing w:after="0"/>
              <w:rPr>
                <w:sz w:val="20"/>
                <w:szCs w:val="20"/>
                <w:color w:val="auto"/>
              </w:rPr>
            </w:pPr>
            <w:r>
              <w:rPr>
                <w:rFonts w:ascii="Arial" w:cs="Arial" w:eastAsia="Arial" w:hAnsi="Arial"/>
                <w:sz w:val="18"/>
                <w:szCs w:val="18"/>
                <w:color w:val="auto"/>
              </w:rPr>
              <w:t>Gain on debt extinguishment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61,994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Derivative gains, net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4,310</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Foreign currency losses, net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(1,235)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(1,294)</w:t>
            </w: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(2,541)</w:t>
            </w:r>
          </w:p>
        </w:tc>
      </w:tr>
      <w:tr>
        <w:trPr>
          <w:trHeight w:val="215"/>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Gain (Loss) from return of investments in 50% or less owned companies and other,</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9,441</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w:t>
            </w:r>
          </w:p>
        </w:tc>
        <w:tc>
          <w:tcPr>
            <w:tcW w:w="4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65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43,775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(26,468)</w:t>
            </w:r>
          </w:p>
        </w:tc>
        <w:tc>
          <w:tcPr>
            <w:tcW w:w="24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(30,146)</w:t>
            </w:r>
          </w:p>
        </w:tc>
        <w:tc>
          <w:tcPr>
            <w:tcW w:w="100" w:type="dxa"/>
            <w:vAlign w:val="bottom"/>
            <w:tcBorders>
              <w:bottom w:val="single" w:sz="8" w:color="CFF0FC"/>
            </w:tcBorders>
          </w:tcPr>
          <w:p>
            <w:pPr>
              <w:spacing w:after="0"/>
              <w:rPr>
                <w:sz w:val="19"/>
                <w:szCs w:val="19"/>
                <w:color w:val="auto"/>
              </w:rPr>
            </w:pPr>
          </w:p>
        </w:tc>
      </w:tr>
      <w:tr>
        <w:trPr>
          <w:trHeight w:val="20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w w:val="94"/>
              </w:rPr>
              <w:t>Income (Loss) from Continuing Operations Before Tax Expense (Benefit) and Equity in</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Earnings of 50% or Less Owned Companies</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6,627</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(98,107)</w:t>
            </w:r>
          </w:p>
        </w:tc>
        <w:tc>
          <w:tcPr>
            <w:tcW w:w="4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(84,474)</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(25,182)</w:t>
            </w: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4,921</w:t>
            </w: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2,258</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(12,890)</w:t>
            </w:r>
          </w:p>
        </w:tc>
      </w:tr>
      <w:tr>
        <w:trPr>
          <w:trHeight w:val="223"/>
        </w:trPr>
        <w:tc>
          <w:tcPr>
            <w:tcW w:w="65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(22,924)</w:t>
            </w: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Loss Before Equity in Earnings of 50% or Less Owned Companies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(4,866)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(75,183)</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(76,505)</w:t>
            </w: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Gains (Losses) of 50% or Less Owned Companies, Net of Tax</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(8,163)</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(14,459)</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(83,346)</w:t>
            </w: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(90,964)</w:t>
            </w: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Income (Loss) on Discontinued Operations, Net of Tax (see Note 20)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(7,731)</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(82,982)</w:t>
            </w: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(98,695)</w:t>
            </w: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Noncontrolling Interests in Subsidiaries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(4,067)</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(5,858)</w:t>
            </w:r>
          </w:p>
        </w:tc>
      </w:tr>
      <w:tr>
        <w:trPr>
          <w:trHeight w:val="263"/>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 attributable to SEACOR Marine Holdings Inc.</w:t>
            </w:r>
          </w:p>
        </w:tc>
        <w:tc>
          <w:tcPr>
            <w:tcW w:w="16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33,136</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(78,915)</w:t>
            </w:r>
          </w:p>
        </w:tc>
        <w:tc>
          <w:tcPr>
            <w:tcW w:w="240" w:type="dxa"/>
            <w:vAlign w:val="bottom"/>
            <w:tcBorders>
              <w:bottom w:val="single" w:sz="8" w:color="CFF0FC"/>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(92,837)</w:t>
            </w:r>
          </w:p>
        </w:tc>
        <w:tc>
          <w:tcPr>
            <w:tcW w:w="100" w:type="dxa"/>
            <w:vAlign w:val="bottom"/>
            <w:tcBorders>
              <w:bottom w:val="single" w:sz="8" w:color="CFF0FC"/>
            </w:tcBorders>
          </w:tcPr>
          <w:p>
            <w:pPr>
              <w:spacing w:after="0"/>
              <w:rPr>
                <w:sz w:val="22"/>
                <w:szCs w:val="22"/>
                <w:color w:val="auto"/>
              </w:rPr>
            </w:pPr>
          </w:p>
        </w:tc>
      </w:tr>
      <w:tr>
        <w:trPr>
          <w:trHeight w:val="210"/>
        </w:trPr>
        <w:tc>
          <w:tcPr>
            <w:tcW w:w="6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Net Earnings (Loss) Per Common Share from Continuing Operations: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(3.20)</w:t>
            </w:r>
          </w:p>
        </w:tc>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(3.62)</w:t>
            </w: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(3.20)</w:t>
            </w: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(3.62)</w:t>
            </w: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Earnings (Loss) Per Share from Discontinued Operations: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(0.33)</w:t>
            </w:r>
          </w:p>
        </w:tc>
      </w:tr>
      <w:tr>
        <w:trPr>
          <w:trHeight w:val="229"/>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(0.33)</w:t>
            </w:r>
          </w:p>
        </w:tc>
      </w:tr>
      <w:tr>
        <w:trPr>
          <w:trHeight w:val="230"/>
        </w:trPr>
        <w:tc>
          <w:tcPr>
            <w:tcW w:w="6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Earnings (Loss) per Share:</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37"/>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160" w:type="dxa"/>
            <w:vAlign w:val="bottom"/>
            <w:shd w:val="clear" w:color="auto" w:fill="CFF0FC"/>
          </w:tcPr>
          <w:p>
            <w:pPr>
              <w:spacing w:after="0"/>
              <w:rPr>
                <w:sz w:val="20"/>
                <w:szCs w:val="20"/>
                <w:color w:val="auto"/>
              </w:rPr>
            </w:pPr>
          </w:p>
        </w:tc>
        <w:tc>
          <w:tcPr>
            <w:tcW w:w="3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(3.18)</w:t>
            </w:r>
          </w:p>
        </w:tc>
        <w:tc>
          <w:tcPr>
            <w:tcW w:w="4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(3.95)</w:t>
            </w:r>
          </w:p>
        </w:tc>
      </w:tr>
      <w:tr>
        <w:trPr>
          <w:trHeight w:val="263"/>
        </w:trPr>
        <w:tc>
          <w:tcPr>
            <w:tcW w:w="6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Borders>
              <w:bottom w:val="single" w:sz="8" w:color="CFF0FC"/>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FF0FC"/>
            </w:tcBorders>
          </w:tcPr>
          <w:p>
            <w:pPr>
              <w:spacing w:after="0"/>
              <w:rPr>
                <w:sz w:val="22"/>
                <w:szCs w:val="22"/>
                <w:color w:val="auto"/>
              </w:rPr>
            </w:pPr>
          </w:p>
        </w:tc>
      </w:tr>
      <w:tr>
        <w:trPr>
          <w:trHeight w:val="210"/>
        </w:trPr>
        <w:tc>
          <w:tcPr>
            <w:tcW w:w="6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Weighted Average Common Shares and Warrants Outstanding:</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25,444,693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24,785,744</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23,513,925</w:t>
            </w: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25,495,527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24,785,744</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23,513,925</w:t>
            </w:r>
          </w:p>
        </w:tc>
        <w:tc>
          <w:tcPr>
            <w:tcW w:w="100" w:type="dxa"/>
            <w:vAlign w:val="bottom"/>
          </w:tcPr>
          <w:p>
            <w:pPr>
              <w:spacing w:after="0"/>
              <w:rPr>
                <w:sz w:val="20"/>
                <w:szCs w:val="20"/>
                <w:color w:val="auto"/>
              </w:rPr>
            </w:pPr>
          </w:p>
        </w:tc>
      </w:tr>
    </w:tbl>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 and should be read in conjunction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16"/>
        </w:trPr>
        <w:tc>
          <w:tcPr>
            <w:tcW w:w="7120" w:type="dxa"/>
            <w:vAlign w:val="bottom"/>
            <w:gridSpan w:val="3"/>
          </w:tcPr>
          <w:p>
            <w:pPr>
              <w:jc w:val="center"/>
              <w:ind w:left="4050"/>
              <w:spacing w:after="0"/>
              <w:rPr>
                <w:sz w:val="20"/>
                <w:szCs w:val="20"/>
                <w:color w:val="auto"/>
              </w:rPr>
            </w:pPr>
            <w:r>
              <w:rPr>
                <w:rFonts w:ascii="Arial" w:cs="Arial" w:eastAsia="Arial" w:hAnsi="Arial"/>
                <w:sz w:val="18"/>
                <w:szCs w:val="18"/>
                <w:b w:val="1"/>
                <w:bCs w:val="1"/>
                <w:color w:val="auto"/>
              </w:rPr>
              <w:t>SEACOR MARINE HOLDINGS INC.</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7"/>
          </w:tcPr>
          <w:p>
            <w:pPr>
              <w:jc w:val="center"/>
              <w:ind w:left="2470"/>
              <w:spacing w:after="0"/>
              <w:rPr>
                <w:sz w:val="20"/>
                <w:szCs w:val="20"/>
                <w:color w:val="auto"/>
              </w:rPr>
            </w:pPr>
            <w:r>
              <w:rPr>
                <w:rFonts w:ascii="Arial" w:cs="Arial" w:eastAsia="Arial" w:hAnsi="Arial"/>
                <w:sz w:val="18"/>
                <w:szCs w:val="18"/>
                <w:b w:val="1"/>
                <w:bCs w:val="1"/>
                <w:color w:val="auto"/>
              </w:rPr>
              <w:t>CONSOLIDATED STATEMENTS OF COMPREHENSIVE INCOME (LOSS)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420" w:type="dxa"/>
            <w:vAlign w:val="bottom"/>
          </w:tcPr>
          <w:p>
            <w:pPr>
              <w:jc w:val="center"/>
              <w:ind w:left="475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64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(82,982)</w:t>
            </w:r>
          </w:p>
        </w:tc>
        <w:tc>
          <w:tcPr>
            <w:tcW w:w="2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(98,695)</w:t>
            </w:r>
          </w:p>
        </w:tc>
        <w:tc>
          <w:tcPr>
            <w:tcW w:w="100" w:type="dxa"/>
            <w:vAlign w:val="bottom"/>
            <w:shd w:val="clear" w:color="auto" w:fill="CFF0FC"/>
          </w:tcPr>
          <w:p>
            <w:pPr>
              <w:spacing w:after="0"/>
              <w:rPr>
                <w:sz w:val="19"/>
                <w:szCs w:val="19"/>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gains, net</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20,157</w:t>
            </w:r>
          </w:p>
        </w:tc>
        <w:tc>
          <w:tcPr>
            <w:tcW w:w="100" w:type="dxa"/>
            <w:vAlign w:val="bottom"/>
            <w:shd w:val="clear" w:color="auto" w:fill="CFF0FC"/>
          </w:tcPr>
          <w:p>
            <w:pPr>
              <w:spacing w:after="0"/>
              <w:rPr>
                <w:sz w:val="19"/>
                <w:szCs w:val="19"/>
                <w:color w:val="auto"/>
              </w:rPr>
            </w:pPr>
          </w:p>
        </w:tc>
      </w:tr>
      <w:tr>
        <w:trPr>
          <w:trHeight w:val="229"/>
        </w:trPr>
        <w:tc>
          <w:tcPr>
            <w:tcW w:w="6420" w:type="dxa"/>
            <w:vAlign w:val="bottom"/>
          </w:tcPr>
          <w:p>
            <w:pPr>
              <w:ind w:left="260"/>
              <w:spacing w:after="0"/>
              <w:rPr>
                <w:sz w:val="20"/>
                <w:szCs w:val="20"/>
                <w:color w:val="auto"/>
              </w:rPr>
            </w:pPr>
            <w:r>
              <w:rPr>
                <w:rFonts w:ascii="Arial" w:cs="Arial" w:eastAsia="Arial" w:hAnsi="Arial"/>
                <w:sz w:val="18"/>
                <w:szCs w:val="18"/>
                <w:color w:val="auto"/>
              </w:rPr>
              <w:t>Derivative gains (losses) on cash flow hedges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(2,139)</w:t>
            </w: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(1,901)</w:t>
            </w:r>
          </w:p>
        </w:tc>
      </w:tr>
      <w:tr>
        <w:trPr>
          <w:trHeight w:val="215"/>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Reclassification of derivative losses on cash flow hedges to interest</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expense</w:t>
            </w: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FF0FC"/>
          </w:tcPr>
          <w:p>
            <w:pPr>
              <w:spacing w:after="0"/>
              <w:rPr>
                <w:sz w:val="20"/>
                <w:szCs w:val="20"/>
                <w:color w:val="auto"/>
              </w:rPr>
            </w:pPr>
          </w:p>
        </w:tc>
      </w:tr>
      <w:tr>
        <w:trPr>
          <w:trHeight w:val="215"/>
        </w:trPr>
        <w:tc>
          <w:tcPr>
            <w:tcW w:w="6420" w:type="dxa"/>
            <w:vAlign w:val="bottom"/>
          </w:tcPr>
          <w:p>
            <w:pPr>
              <w:ind w:left="260"/>
              <w:spacing w:after="0"/>
              <w:rPr>
                <w:sz w:val="20"/>
                <w:szCs w:val="20"/>
                <w:color w:val="auto"/>
              </w:rPr>
            </w:pPr>
            <w:r>
              <w:rPr>
                <w:rFonts w:ascii="Arial" w:cs="Arial" w:eastAsia="Arial" w:hAnsi="Arial"/>
                <w:sz w:val="18"/>
                <w:szCs w:val="18"/>
                <w:color w:val="auto"/>
              </w:rPr>
              <w:t>Reclassification of derivative losses on cash flow hedges to equity in</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420" w:type="dxa"/>
            <w:vAlign w:val="bottom"/>
          </w:tcPr>
          <w:p>
            <w:pPr>
              <w:ind w:left="380"/>
              <w:spacing w:after="0"/>
              <w:rPr>
                <w:sz w:val="20"/>
                <w:szCs w:val="20"/>
                <w:color w:val="auto"/>
              </w:rPr>
            </w:pPr>
            <w:r>
              <w:rPr>
                <w:rFonts w:ascii="Arial" w:cs="Arial" w:eastAsia="Arial" w:hAnsi="Arial"/>
                <w:sz w:val="18"/>
                <w:szCs w:val="18"/>
                <w:color w:val="auto"/>
              </w:rPr>
              <w:t>losses of 50% or less owned companies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(156)</w:t>
            </w:r>
          </w:p>
        </w:tc>
        <w:tc>
          <w:tcPr>
            <w:tcW w:w="4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(645)</w:t>
            </w:r>
          </w:p>
        </w:tc>
      </w:tr>
      <w:tr>
        <w:trPr>
          <w:trHeight w:val="223"/>
        </w:trPr>
        <w:tc>
          <w:tcPr>
            <w:tcW w:w="64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18,163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420" w:type="dxa"/>
            <w:vAlign w:val="bottom"/>
          </w:tcPr>
          <w:p>
            <w:pPr>
              <w:ind w:left="260"/>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r>
      <w:tr>
        <w:trPr>
          <w:trHeight w:val="223"/>
        </w:trPr>
        <w:tc>
          <w:tcPr>
            <w:tcW w:w="64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38,402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(81,740)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(80,359)</w:t>
            </w:r>
          </w:p>
        </w:tc>
        <w:tc>
          <w:tcPr>
            <w:tcW w:w="100" w:type="dxa"/>
            <w:vAlign w:val="bottom"/>
          </w:tcPr>
          <w:p>
            <w:pPr>
              <w:spacing w:after="0"/>
              <w:rPr>
                <w:sz w:val="19"/>
                <w:szCs w:val="19"/>
                <w:color w:val="auto"/>
              </w:rPr>
            </w:pPr>
          </w:p>
        </w:tc>
      </w:t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w w:val="94"/>
              </w:rPr>
              <w:t>Comprehensive Income (Loss) attributable to Noncontrolling Interests in Subsidiaries</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(4,067)</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(5,858)</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Comprehensive Income (Loss) attributable to SEACOR Marine Holdings Inc.</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(77,673)</w:t>
            </w: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(74,501)</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 and should be read in conjunction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gridSpan w:val="10"/>
          </w:tcPr>
          <w:p>
            <w:pPr>
              <w:jc w:val="right"/>
              <w:ind w:right="420"/>
              <w:spacing w:after="0"/>
              <w:rPr>
                <w:sz w:val="20"/>
                <w:szCs w:val="20"/>
                <w:color w:val="auto"/>
              </w:rPr>
            </w:pPr>
            <w:r>
              <w:rPr>
                <w:rFonts w:ascii="Arial" w:cs="Arial" w:eastAsia="Arial" w:hAnsi="Arial"/>
                <w:sz w:val="13"/>
                <w:szCs w:val="13"/>
                <w:b w:val="1"/>
                <w:bCs w:val="1"/>
                <w:color w:val="auto"/>
                <w:w w:val="97"/>
              </w:rPr>
              <w:t>SEACOR Marine Holdings Inc. Stockholders' Equity</w:t>
            </w: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jc w:val="center"/>
              <w:ind w:right="380"/>
              <w:spacing w:after="0"/>
              <w:rPr>
                <w:sz w:val="20"/>
                <w:szCs w:val="20"/>
                <w:color w:val="auto"/>
              </w:rPr>
            </w:pPr>
            <w:r>
              <w:rPr>
                <w:rFonts w:ascii="Arial" w:cs="Arial" w:eastAsia="Arial" w:hAnsi="Arial"/>
                <w:sz w:val="13"/>
                <w:szCs w:val="13"/>
                <w:b w:val="1"/>
                <w:bCs w:val="1"/>
                <w:color w:val="auto"/>
                <w:w w:val="90"/>
              </w:rPr>
              <w:t>Non -</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ind w:right="13"/>
              <w:spacing w:after="0" w:line="124" w:lineRule="exact"/>
              <w:rPr>
                <w:sz w:val="20"/>
                <w:szCs w:val="20"/>
                <w:color w:val="auto"/>
              </w:rPr>
            </w:pPr>
            <w:r>
              <w:rPr>
                <w:rFonts w:ascii="Arial" w:cs="Arial" w:eastAsia="Arial" w:hAnsi="Arial"/>
                <w:sz w:val="13"/>
                <w:szCs w:val="13"/>
                <w:b w:val="1"/>
                <w:bCs w:val="1"/>
                <w:color w:val="auto"/>
                <w:w w:val="85"/>
              </w:rPr>
              <w:t>Accumulated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Shares of</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3"/>
          </w:tcPr>
          <w:p>
            <w:pPr>
              <w:jc w:val="right"/>
              <w:ind w:right="280"/>
              <w:spacing w:after="0" w:line="135" w:lineRule="exact"/>
              <w:rPr>
                <w:sz w:val="20"/>
                <w:szCs w:val="20"/>
                <w:color w:val="auto"/>
              </w:rPr>
            </w:pPr>
            <w:r>
              <w:rPr>
                <w:rFonts w:ascii="Arial" w:cs="Arial" w:eastAsia="Arial" w:hAnsi="Arial"/>
                <w:sz w:val="13"/>
                <w:szCs w:val="13"/>
                <w:b w:val="1"/>
                <w:bCs w:val="1"/>
                <w:color w:val="auto"/>
                <w:w w:val="94"/>
              </w:rPr>
              <w:t>Additional</w:t>
            </w: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Shares 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Other</w:t>
            </w:r>
          </w:p>
        </w:tc>
        <w:tc>
          <w:tcPr>
            <w:tcW w:w="94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controlling</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Common</w:t>
            </w:r>
          </w:p>
        </w:tc>
        <w:tc>
          <w:tcPr>
            <w:tcW w:w="60" w:type="dxa"/>
            <w:vAlign w:val="bottom"/>
          </w:tcPr>
          <w:p>
            <w:pPr>
              <w:spacing w:after="0"/>
              <w:rPr>
                <w:sz w:val="11"/>
                <w:szCs w:val="11"/>
                <w:color w:val="auto"/>
              </w:rPr>
            </w:pPr>
          </w:p>
        </w:tc>
        <w:tc>
          <w:tcPr>
            <w:tcW w:w="600" w:type="dxa"/>
            <w:vAlign w:val="bottom"/>
          </w:tcPr>
          <w:p>
            <w:pPr>
              <w:jc w:val="right"/>
              <w:ind w:right="13"/>
              <w:spacing w:after="0" w:line="135" w:lineRule="exact"/>
              <w:rPr>
                <w:sz w:val="20"/>
                <w:szCs w:val="20"/>
                <w:color w:val="auto"/>
              </w:rPr>
            </w:pPr>
            <w:r>
              <w:rPr>
                <w:rFonts w:ascii="Arial" w:cs="Arial" w:eastAsia="Arial" w:hAnsi="Arial"/>
                <w:sz w:val="13"/>
                <w:szCs w:val="13"/>
                <w:b w:val="1"/>
                <w:bCs w:val="1"/>
                <w:color w:val="auto"/>
                <w:w w:val="88"/>
              </w:rPr>
              <w:t>Common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w w:val="92"/>
              </w:rPr>
              <w:t>Paid-in</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Treasury</w:t>
            </w:r>
          </w:p>
        </w:tc>
        <w:tc>
          <w:tcPr>
            <w:tcW w:w="80" w:type="dxa"/>
            <w:vAlign w:val="bottom"/>
          </w:tcPr>
          <w:p>
            <w:pPr>
              <w:spacing w:after="0"/>
              <w:rPr>
                <w:sz w:val="11"/>
                <w:szCs w:val="11"/>
                <w:color w:val="auto"/>
              </w:rPr>
            </w:pPr>
          </w:p>
        </w:tc>
        <w:tc>
          <w:tcPr>
            <w:tcW w:w="84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w w:val="87"/>
              </w:rPr>
              <w:t>Treasury</w:t>
            </w:r>
          </w:p>
        </w:tc>
        <w:tc>
          <w:tcPr>
            <w:tcW w:w="80" w:type="dxa"/>
            <w:vAlign w:val="bottom"/>
          </w:tcPr>
          <w:p>
            <w:pPr>
              <w:spacing w:after="0"/>
              <w:rPr>
                <w:sz w:val="11"/>
                <w:szCs w:val="11"/>
                <w:color w:val="auto"/>
              </w:rPr>
            </w:pPr>
          </w:p>
        </w:tc>
        <w:tc>
          <w:tcPr>
            <w:tcW w:w="84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w w:val="87"/>
              </w:rPr>
              <w:t>Retained</w:t>
            </w:r>
          </w:p>
        </w:tc>
        <w:tc>
          <w:tcPr>
            <w:tcW w:w="11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Comprehensive</w:t>
            </w:r>
          </w:p>
        </w:tc>
        <w:tc>
          <w:tcPr>
            <w:tcW w:w="94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Interests in</w:t>
            </w:r>
          </w:p>
        </w:tc>
        <w:tc>
          <w:tcPr>
            <w:tcW w:w="120" w:type="dxa"/>
            <w:vAlign w:val="bottom"/>
          </w:tcPr>
          <w:p>
            <w:pPr>
              <w:spacing w:after="0"/>
              <w:rPr>
                <w:sz w:val="11"/>
                <w:szCs w:val="11"/>
                <w:color w:val="auto"/>
              </w:rPr>
            </w:pPr>
          </w:p>
        </w:tc>
        <w:tc>
          <w:tcPr>
            <w:tcW w:w="70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8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Stock</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w w:val="92"/>
              </w:rPr>
              <w:t>Capital</w:t>
            </w:r>
          </w:p>
        </w:tc>
        <w:tc>
          <w:tcPr>
            <w:tcW w:w="2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Stock</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86"/>
              </w:rPr>
              <w:t>Earnings</w:t>
            </w: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3"/>
              </w:rPr>
              <w:t>Income (Loss)</w:t>
            </w:r>
          </w:p>
        </w:tc>
        <w:tc>
          <w:tcPr>
            <w:tcW w:w="2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5"/>
              </w:rPr>
              <w:t>Subsidiaries</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Year Ended December 31, 2018</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20,439,208</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415,372</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(91)</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126,834</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(16,788)</w:t>
            </w: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29,404</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554,935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860" w:type="dxa"/>
            <w:vAlign w:val="bottom"/>
          </w:tcPr>
          <w:p>
            <w:pPr>
              <w:ind w:left="260"/>
              <w:spacing w:after="0"/>
              <w:rPr>
                <w:sz w:val="20"/>
                <w:szCs w:val="20"/>
                <w:color w:val="auto"/>
              </w:rPr>
            </w:pPr>
            <w:r>
              <w:rPr>
                <w:rFonts w:ascii="Arial" w:cs="Arial" w:eastAsia="Arial" w:hAnsi="Arial"/>
                <w:sz w:val="13"/>
                <w:szCs w:val="13"/>
                <w:color w:val="auto"/>
              </w:rPr>
              <w:t>Impact of adoption of accounting</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60" w:type="dxa"/>
            <w:vAlign w:val="bottom"/>
            <w:tcBorders>
              <w:bottom w:val="single" w:sz="8" w:color="CFF0FC"/>
            </w:tcBorders>
          </w:tcPr>
          <w:p>
            <w:pPr>
              <w:ind w:left="360"/>
              <w:spacing w:after="0"/>
              <w:rPr>
                <w:sz w:val="20"/>
                <w:szCs w:val="20"/>
                <w:color w:val="auto"/>
              </w:rPr>
            </w:pPr>
            <w:r>
              <w:rPr>
                <w:rFonts w:ascii="Arial" w:cs="Arial" w:eastAsia="Arial" w:hAnsi="Arial"/>
                <w:sz w:val="13"/>
                <w:szCs w:val="13"/>
                <w:color w:val="auto"/>
              </w:rPr>
              <w:t>principle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10,416</w:t>
            </w:r>
          </w:p>
        </w:tc>
        <w:tc>
          <w:tcPr>
            <w:tcW w:w="24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Year Ended December 31, 2018</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20,439,208</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415,372</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(91)</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137,250</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(16,788)</w:t>
            </w: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29,404</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565,351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60"/>
              <w:spacing w:after="0"/>
              <w:rPr>
                <w:sz w:val="20"/>
                <w:szCs w:val="20"/>
                <w:color w:val="auto"/>
              </w:rPr>
            </w:pPr>
            <w:r>
              <w:rPr>
                <w:rFonts w:ascii="Arial" w:cs="Arial" w:eastAsia="Arial" w:hAnsi="Arial"/>
                <w:sz w:val="13"/>
                <w:szCs w:val="13"/>
                <w:color w:val="auto"/>
              </w:rPr>
              <w:t>Issuance of common stock</w:t>
            </w:r>
          </w:p>
        </w:tc>
        <w:tc>
          <w:tcPr>
            <w:tcW w:w="720" w:type="dxa"/>
            <w:vAlign w:val="bottom"/>
          </w:tcPr>
          <w:p>
            <w:pPr>
              <w:jc w:val="right"/>
              <w:spacing w:after="0"/>
              <w:rPr>
                <w:sz w:val="20"/>
                <w:szCs w:val="20"/>
                <w:color w:val="auto"/>
              </w:rPr>
            </w:pPr>
            <w:r>
              <w:rPr>
                <w:rFonts w:ascii="Arial" w:cs="Arial" w:eastAsia="Arial" w:hAnsi="Arial"/>
                <w:sz w:val="13"/>
                <w:szCs w:val="13"/>
                <w:color w:val="auto"/>
              </w:rPr>
              <w:t>653,872</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6,589</w:t>
            </w:r>
          </w:p>
        </w:tc>
        <w:tc>
          <w:tcPr>
            <w:tcW w:w="2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6,596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Restricted stock grants</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245,400</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60"/>
              <w:spacing w:after="0"/>
              <w:rPr>
                <w:sz w:val="20"/>
                <w:szCs w:val="20"/>
                <w:color w:val="auto"/>
              </w:rPr>
            </w:pPr>
            <w:r>
              <w:rPr>
                <w:rFonts w:ascii="Arial" w:cs="Arial" w:eastAsia="Arial" w:hAnsi="Arial"/>
                <w:sz w:val="13"/>
                <w:szCs w:val="13"/>
                <w:color w:val="auto"/>
              </w:rPr>
              <w:t>Cancellation of restricted stock grants</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(2,200)</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Amortization of employee share</w:t>
            </w: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60" w:type="dxa"/>
            <w:vAlign w:val="bottom"/>
            <w:shd w:val="clear" w:color="auto" w:fill="CFF0FC"/>
          </w:tcPr>
          <w:p>
            <w:pPr>
              <w:ind w:left="360"/>
              <w:spacing w:after="0"/>
              <w:rPr>
                <w:sz w:val="20"/>
                <w:szCs w:val="20"/>
                <w:color w:val="auto"/>
              </w:rPr>
            </w:pPr>
            <w:r>
              <w:rPr>
                <w:rFonts w:ascii="Arial" w:cs="Arial" w:eastAsia="Arial" w:hAnsi="Arial"/>
                <w:sz w:val="13"/>
                <w:szCs w:val="13"/>
                <w:color w:val="auto"/>
              </w:rPr>
              <w:t>awards</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5,046</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60"/>
              <w:spacing w:after="0"/>
              <w:rPr>
                <w:sz w:val="20"/>
                <w:szCs w:val="20"/>
                <w:color w:val="auto"/>
              </w:rPr>
            </w:pPr>
            <w:r>
              <w:rPr>
                <w:rFonts w:ascii="Arial" w:cs="Arial" w:eastAsia="Arial" w:hAnsi="Arial"/>
                <w:sz w:val="13"/>
                <w:szCs w:val="13"/>
                <w:color w:val="auto"/>
              </w:rPr>
              <w:t>Exercise of options</w:t>
            </w:r>
          </w:p>
        </w:tc>
        <w:tc>
          <w:tcPr>
            <w:tcW w:w="720" w:type="dxa"/>
            <w:vAlign w:val="bottom"/>
          </w:tcPr>
          <w:p>
            <w:pPr>
              <w:jc w:val="right"/>
              <w:spacing w:after="0"/>
              <w:rPr>
                <w:sz w:val="20"/>
                <w:szCs w:val="20"/>
                <w:color w:val="auto"/>
              </w:rPr>
            </w:pPr>
            <w:r>
              <w:rPr>
                <w:rFonts w:ascii="Arial" w:cs="Arial" w:eastAsia="Arial" w:hAnsi="Arial"/>
                <w:sz w:val="13"/>
                <w:szCs w:val="13"/>
                <w:color w:val="auto"/>
              </w:rPr>
              <w:t>113,750</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1,420</w:t>
            </w:r>
          </w:p>
        </w:tc>
        <w:tc>
          <w:tcPr>
            <w:tcW w:w="2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warrants</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444,391</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60"/>
              <w:spacing w:after="0"/>
              <w:rPr>
                <w:sz w:val="20"/>
                <w:szCs w:val="20"/>
                <w:color w:val="auto"/>
              </w:rPr>
            </w:pPr>
            <w:r>
              <w:rPr>
                <w:rFonts w:ascii="Arial" w:cs="Arial" w:eastAsia="Arial" w:hAnsi="Arial"/>
                <w:sz w:val="13"/>
                <w:szCs w:val="13"/>
                <w:color w:val="auto"/>
              </w:rPr>
              <w:t>Restricted stock vesting</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(43,129)</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(2)</w:t>
            </w:r>
          </w:p>
        </w:tc>
        <w:tc>
          <w:tcPr>
            <w:tcW w:w="700" w:type="dxa"/>
            <w:vAlign w:val="bottom"/>
          </w:tcPr>
          <w:p>
            <w:pPr>
              <w:jc w:val="right"/>
              <w:spacing w:after="0"/>
              <w:rPr>
                <w:sz w:val="20"/>
                <w:szCs w:val="20"/>
                <w:color w:val="auto"/>
              </w:rPr>
            </w:pPr>
            <w:r>
              <w:rPr>
                <w:rFonts w:ascii="Arial" w:cs="Arial" w:eastAsia="Arial" w:hAnsi="Arial"/>
                <w:sz w:val="13"/>
                <w:szCs w:val="13"/>
                <w:color w:val="auto"/>
              </w:rPr>
              <w:t>43,129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(577)</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(579)</w:t>
            </w: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Director share awards</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30,197</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893</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60"/>
              <w:spacing w:after="0"/>
              <w:rPr>
                <w:sz w:val="20"/>
                <w:szCs w:val="20"/>
                <w:color w:val="auto"/>
              </w:rPr>
            </w:pPr>
            <w:r>
              <w:rPr>
                <w:rFonts w:ascii="Arial" w:cs="Arial" w:eastAsia="Arial" w:hAnsi="Arial"/>
                <w:sz w:val="13"/>
                <w:szCs w:val="13"/>
                <w:color w:val="auto"/>
              </w:rPr>
              <w:t>Acquisition of consolidated joint venture</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(2,114)</w:t>
            </w: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(2,114)</w:t>
            </w: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Sale of Standby Safety Fleet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(17,399)</w:t>
            </w: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(17,399)</w:t>
            </w:r>
          </w:p>
        </w:tc>
        <w:tc>
          <w:tcPr>
            <w:tcW w:w="0" w:type="dxa"/>
            <w:vAlign w:val="bottom"/>
          </w:tcPr>
          <w:p>
            <w:pPr>
              <w:spacing w:after="0"/>
              <w:rPr>
                <w:sz w:val="1"/>
                <w:szCs w:val="1"/>
                <w:color w:val="auto"/>
              </w:rPr>
            </w:pPr>
          </w:p>
        </w:tc>
      </w:tr>
      <w:tr>
        <w:trPr>
          <w:trHeight w:val="162"/>
        </w:trPr>
        <w:tc>
          <w:tcPr>
            <w:tcW w:w="2860" w:type="dxa"/>
            <w:vAlign w:val="bottom"/>
          </w:tcPr>
          <w:p>
            <w:pPr>
              <w:ind w:left="260"/>
              <w:spacing w:after="0"/>
              <w:rPr>
                <w:sz w:val="20"/>
                <w:szCs w:val="20"/>
                <w:color w:val="auto"/>
              </w:rPr>
            </w:pPr>
            <w:r>
              <w:rPr>
                <w:rFonts w:ascii="Arial" w:cs="Arial" w:eastAsia="Arial" w:hAnsi="Arial"/>
                <w:sz w:val="13"/>
                <w:szCs w:val="13"/>
                <w:color w:val="auto"/>
              </w:rPr>
              <w:t>Dissolution of entity</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62</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(92,837)</w:t>
            </w: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(5,858)</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(98,695)</w:t>
            </w:r>
          </w:p>
        </w:tc>
        <w:tc>
          <w:tcPr>
            <w:tcW w:w="0" w:type="dxa"/>
            <w:vAlign w:val="bottom"/>
          </w:tcPr>
          <w:p>
            <w:pPr>
              <w:spacing w:after="0"/>
              <w:rPr>
                <w:sz w:val="1"/>
                <w:szCs w:val="1"/>
                <w:color w:val="auto"/>
              </w:rPr>
            </w:pPr>
          </w:p>
        </w:tc>
      </w:tr>
      <w:tr>
        <w:trPr>
          <w:trHeight w:val="162"/>
        </w:trPr>
        <w:tc>
          <w:tcPr>
            <w:tcW w:w="286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Other comprehensive income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18,336</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18,336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Year Ended December 31, 2019</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21,881,489</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429,318</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47,185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(669)</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27,076</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21,432</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478,924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60"/>
              <w:spacing w:after="0"/>
              <w:rPr>
                <w:sz w:val="20"/>
                <w:szCs w:val="20"/>
                <w:color w:val="auto"/>
              </w:rPr>
            </w:pPr>
            <w:r>
              <w:rPr>
                <w:rFonts w:ascii="Arial" w:cs="Arial" w:eastAsia="Arial" w:hAnsi="Arial"/>
                <w:sz w:val="13"/>
                <w:szCs w:val="13"/>
                <w:color w:val="auto"/>
              </w:rPr>
              <w:t>Restricted stock grants</w:t>
            </w:r>
          </w:p>
        </w:tc>
        <w:tc>
          <w:tcPr>
            <w:tcW w:w="720" w:type="dxa"/>
            <w:vAlign w:val="bottom"/>
          </w:tcPr>
          <w:p>
            <w:pPr>
              <w:jc w:val="right"/>
              <w:spacing w:after="0"/>
              <w:rPr>
                <w:sz w:val="20"/>
                <w:szCs w:val="20"/>
                <w:color w:val="auto"/>
              </w:rPr>
            </w:pPr>
            <w:r>
              <w:rPr>
                <w:rFonts w:ascii="Arial" w:cs="Arial" w:eastAsia="Arial" w:hAnsi="Arial"/>
                <w:sz w:val="13"/>
                <w:szCs w:val="13"/>
                <w:color w:val="auto"/>
              </w:rPr>
              <w:t>289,452</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Cancellation of grants and options</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(12,650)</w:t>
            </w: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860" w:type="dxa"/>
            <w:vAlign w:val="bottom"/>
          </w:tcPr>
          <w:p>
            <w:pPr>
              <w:ind w:left="260"/>
              <w:spacing w:after="0"/>
              <w:rPr>
                <w:sz w:val="20"/>
                <w:szCs w:val="20"/>
                <w:color w:val="auto"/>
              </w:rPr>
            </w:pPr>
            <w:r>
              <w:rPr>
                <w:rFonts w:ascii="Arial" w:cs="Arial" w:eastAsia="Arial" w:hAnsi="Arial"/>
                <w:sz w:val="13"/>
                <w:szCs w:val="13"/>
                <w:color w:val="auto"/>
              </w:rPr>
              <w:t>Amortization of employee share</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60" w:type="dxa"/>
            <w:vAlign w:val="bottom"/>
          </w:tcPr>
          <w:p>
            <w:pPr>
              <w:ind w:left="360"/>
              <w:spacing w:after="0"/>
              <w:rPr>
                <w:sz w:val="20"/>
                <w:szCs w:val="20"/>
                <w:color w:val="auto"/>
              </w:rPr>
            </w:pPr>
            <w:r>
              <w:rPr>
                <w:rFonts w:ascii="Arial" w:cs="Arial" w:eastAsia="Arial" w:hAnsi="Arial"/>
                <w:sz w:val="13"/>
                <w:szCs w:val="13"/>
                <w:color w:val="auto"/>
              </w:rPr>
              <w:t>awards</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3,969</w:t>
            </w:r>
          </w:p>
        </w:tc>
        <w:tc>
          <w:tcPr>
            <w:tcW w:w="2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warrants</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338,320</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60"/>
              <w:spacing w:after="0"/>
              <w:rPr>
                <w:sz w:val="20"/>
                <w:szCs w:val="20"/>
                <w:color w:val="auto"/>
              </w:rPr>
            </w:pPr>
            <w:r>
              <w:rPr>
                <w:rFonts w:ascii="Arial" w:cs="Arial" w:eastAsia="Arial" w:hAnsi="Arial"/>
                <w:sz w:val="13"/>
                <w:szCs w:val="13"/>
                <w:color w:val="auto"/>
              </w:rPr>
              <w:t>Restricted stock vesting</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(25,745)</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25,745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(178)</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Director share awards</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59,900</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754</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60"/>
              <w:spacing w:after="0"/>
              <w:rPr>
                <w:sz w:val="20"/>
                <w:szCs w:val="20"/>
                <w:color w:val="auto"/>
              </w:rPr>
            </w:pPr>
            <w:r>
              <w:rPr>
                <w:rFonts w:ascii="Arial" w:cs="Arial" w:eastAsia="Arial" w:hAnsi="Arial"/>
                <w:sz w:val="13"/>
                <w:szCs w:val="13"/>
                <w:color w:val="auto"/>
              </w:rPr>
              <w:t>Acquisition of consolidated joint venture</w:t>
            </w:r>
          </w:p>
        </w:tc>
        <w:tc>
          <w:tcPr>
            <w:tcW w:w="720" w:type="dxa"/>
            <w:vAlign w:val="bottom"/>
          </w:tcPr>
          <w:p>
            <w:pPr>
              <w:jc w:val="right"/>
              <w:spacing w:after="0"/>
              <w:rPr>
                <w:sz w:val="20"/>
                <w:szCs w:val="20"/>
                <w:color w:val="auto"/>
              </w:rPr>
            </w:pPr>
            <w:r>
              <w:rPr>
                <w:rFonts w:ascii="Arial" w:cs="Arial" w:eastAsia="Arial" w:hAnsi="Arial"/>
                <w:sz w:val="13"/>
                <w:szCs w:val="13"/>
                <w:color w:val="auto"/>
              </w:rPr>
              <w:t>900,000</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17,037</w:t>
            </w:r>
          </w:p>
        </w:tc>
        <w:tc>
          <w:tcPr>
            <w:tcW w:w="2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(17,046)</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(78,915)</w:t>
            </w:r>
          </w:p>
        </w:tc>
        <w:tc>
          <w:tcPr>
            <w:tcW w:w="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(4,067)</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(82,982)</w:t>
            </w:r>
          </w:p>
        </w:tc>
        <w:tc>
          <w:tcPr>
            <w:tcW w:w="0" w:type="dxa"/>
            <w:vAlign w:val="bottom"/>
          </w:tcPr>
          <w:p>
            <w:pPr>
              <w:spacing w:after="0"/>
              <w:rPr>
                <w:sz w:val="1"/>
                <w:szCs w:val="1"/>
                <w:color w:val="auto"/>
              </w:rPr>
            </w:pPr>
          </w:p>
        </w:tc>
      </w:tr>
      <w:tr>
        <w:trPr>
          <w:trHeight w:val="162"/>
        </w:trPr>
        <w:tc>
          <w:tcPr>
            <w:tcW w:w="286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Other comprehensive income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1,242</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1,242</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Year Ended December 31, 2020</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23,430,766</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451,179</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73,284</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(848)</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(51,839)</w:t>
            </w: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2,790</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319</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401,836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60"/>
              <w:spacing w:after="0"/>
              <w:rPr>
                <w:sz w:val="20"/>
                <w:szCs w:val="20"/>
                <w:color w:val="auto"/>
              </w:rPr>
            </w:pPr>
            <w:r>
              <w:rPr>
                <w:rFonts w:ascii="Arial" w:cs="Arial" w:eastAsia="Arial" w:hAnsi="Arial"/>
                <w:sz w:val="13"/>
                <w:szCs w:val="13"/>
                <w:color w:val="auto"/>
              </w:rPr>
              <w:t>Restricted stock grants</w:t>
            </w:r>
          </w:p>
        </w:tc>
        <w:tc>
          <w:tcPr>
            <w:tcW w:w="720" w:type="dxa"/>
            <w:vAlign w:val="bottom"/>
          </w:tcPr>
          <w:p>
            <w:pPr>
              <w:jc w:val="right"/>
              <w:spacing w:after="0"/>
              <w:rPr>
                <w:sz w:val="20"/>
                <w:szCs w:val="20"/>
                <w:color w:val="auto"/>
              </w:rPr>
            </w:pPr>
            <w:r>
              <w:rPr>
                <w:rFonts w:ascii="Arial" w:cs="Arial" w:eastAsia="Arial" w:hAnsi="Arial"/>
                <w:sz w:val="13"/>
                <w:szCs w:val="13"/>
                <w:color w:val="auto"/>
              </w:rPr>
              <w:t>815,550</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Amortization of employee share</w:t>
            </w: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60" w:type="dxa"/>
            <w:vAlign w:val="bottom"/>
            <w:shd w:val="clear" w:color="auto" w:fill="CFF0FC"/>
          </w:tcPr>
          <w:p>
            <w:pPr>
              <w:ind w:left="360"/>
              <w:spacing w:after="0"/>
              <w:rPr>
                <w:sz w:val="20"/>
                <w:szCs w:val="20"/>
                <w:color w:val="auto"/>
              </w:rPr>
            </w:pPr>
            <w:r>
              <w:rPr>
                <w:rFonts w:ascii="Arial" w:cs="Arial" w:eastAsia="Arial" w:hAnsi="Arial"/>
                <w:sz w:val="13"/>
                <w:szCs w:val="13"/>
                <w:color w:val="auto"/>
              </w:rPr>
              <w:t>awards</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5,002</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60"/>
              <w:spacing w:after="0"/>
              <w:rPr>
                <w:sz w:val="20"/>
                <w:szCs w:val="20"/>
                <w:color w:val="auto"/>
              </w:rPr>
            </w:pPr>
            <w:r>
              <w:rPr>
                <w:rFonts w:ascii="Arial" w:cs="Arial" w:eastAsia="Arial" w:hAnsi="Arial"/>
                <w:sz w:val="13"/>
                <w:szCs w:val="13"/>
                <w:color w:val="auto"/>
              </w:rPr>
              <w:t>Exercise of Warrants</w:t>
            </w:r>
          </w:p>
        </w:tc>
        <w:tc>
          <w:tcPr>
            <w:tcW w:w="720" w:type="dxa"/>
            <w:vAlign w:val="bottom"/>
          </w:tcPr>
          <w:p>
            <w:pPr>
              <w:jc w:val="right"/>
              <w:spacing w:after="0"/>
              <w:rPr>
                <w:sz w:val="20"/>
                <w:szCs w:val="20"/>
                <w:color w:val="auto"/>
              </w:rPr>
            </w:pPr>
            <w:r>
              <w:rPr>
                <w:rFonts w:ascii="Arial" w:cs="Arial" w:eastAsia="Arial" w:hAnsi="Arial"/>
                <w:sz w:val="13"/>
                <w:szCs w:val="13"/>
                <w:color w:val="auto"/>
              </w:rPr>
              <w:t>48,809</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Restricted stock vesting</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(54,603)</w:t>
            </w: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54,603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(272)</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151"/>
        </w:trPr>
        <w:tc>
          <w:tcPr>
            <w:tcW w:w="2860" w:type="dxa"/>
            <w:vAlign w:val="bottom"/>
          </w:tcPr>
          <w:p>
            <w:pPr>
              <w:ind w:left="260"/>
              <w:spacing w:after="0"/>
              <w:rPr>
                <w:sz w:val="20"/>
                <w:szCs w:val="20"/>
                <w:color w:val="auto"/>
              </w:rPr>
            </w:pPr>
            <w:r>
              <w:rPr>
                <w:rFonts w:ascii="Arial" w:cs="Arial" w:eastAsia="Arial" w:hAnsi="Arial"/>
                <w:sz w:val="13"/>
                <w:szCs w:val="13"/>
                <w:color w:val="auto"/>
              </w:rPr>
              <w:t>Forfeiture of employee share</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60" w:type="dxa"/>
            <w:vAlign w:val="bottom"/>
          </w:tcPr>
          <w:p>
            <w:pPr>
              <w:ind w:left="260"/>
              <w:spacing w:after="0"/>
              <w:rPr>
                <w:sz w:val="20"/>
                <w:szCs w:val="20"/>
                <w:color w:val="auto"/>
              </w:rPr>
            </w:pPr>
            <w:r>
              <w:rPr>
                <w:rFonts w:ascii="Arial" w:cs="Arial" w:eastAsia="Arial" w:hAnsi="Arial"/>
                <w:sz w:val="13"/>
                <w:szCs w:val="13"/>
                <w:color w:val="auto"/>
              </w:rPr>
              <w:t>awards</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(5,250)</w:t>
            </w: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Director share awards</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189,030</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435</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60"/>
              <w:spacing w:after="0"/>
              <w:rPr>
                <w:sz w:val="20"/>
                <w:szCs w:val="20"/>
                <w:color w:val="auto"/>
              </w:rPr>
            </w:pPr>
            <w:r>
              <w:rPr>
                <w:rFonts w:ascii="Arial" w:cs="Arial" w:eastAsia="Arial" w:hAnsi="Arial"/>
                <w:sz w:val="13"/>
                <w:szCs w:val="13"/>
                <w:color w:val="auto"/>
              </w:rPr>
              <w:t>Acquisition of 50% or less owned company</w:t>
            </w:r>
          </w:p>
        </w:tc>
        <w:tc>
          <w:tcPr>
            <w:tcW w:w="720" w:type="dxa"/>
            <w:vAlign w:val="bottom"/>
          </w:tcPr>
          <w:p>
            <w:pPr>
              <w:jc w:val="right"/>
              <w:spacing w:after="0"/>
              <w:rPr>
                <w:sz w:val="20"/>
                <w:szCs w:val="20"/>
                <w:color w:val="auto"/>
              </w:rPr>
            </w:pPr>
            <w:r>
              <w:rPr>
                <w:rFonts w:ascii="Arial" w:cs="Arial" w:eastAsia="Arial" w:hAnsi="Arial"/>
                <w:sz w:val="13"/>
                <w:szCs w:val="13"/>
                <w:color w:val="auto"/>
              </w:rPr>
              <w:t>1,567,935</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5,315</w:t>
            </w:r>
          </w:p>
        </w:tc>
        <w:tc>
          <w:tcPr>
            <w:tcW w:w="2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5,331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Sale of Windcat Workboats</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(4,204)</w:t>
            </w: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(4,204)</w:t>
            </w:r>
          </w:p>
        </w:tc>
        <w:tc>
          <w:tcPr>
            <w:tcW w:w="0" w:type="dxa"/>
            <w:vAlign w:val="bottom"/>
          </w:tcPr>
          <w:p>
            <w:pPr>
              <w:spacing w:after="0"/>
              <w:rPr>
                <w:sz w:val="1"/>
                <w:szCs w:val="1"/>
                <w:color w:val="auto"/>
              </w:rPr>
            </w:pPr>
          </w:p>
        </w:tc>
      </w:tr>
      <w:tr>
        <w:trPr>
          <w:trHeight w:val="162"/>
        </w:trPr>
        <w:tc>
          <w:tcPr>
            <w:tcW w:w="2860" w:type="dxa"/>
            <w:vAlign w:val="bottom"/>
          </w:tcPr>
          <w:p>
            <w:pPr>
              <w:ind w:left="260"/>
              <w:spacing w:after="0"/>
              <w:rPr>
                <w:sz w:val="20"/>
                <w:szCs w:val="20"/>
                <w:color w:val="auto"/>
              </w:rPr>
            </w:pPr>
            <w:r>
              <w:rPr>
                <w:rFonts w:ascii="Arial" w:cs="Arial" w:eastAsia="Arial" w:hAnsi="Arial"/>
                <w:sz w:val="13"/>
                <w:szCs w:val="13"/>
                <w:color w:val="auto"/>
              </w:rPr>
              <w:t>Net Income</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33,136</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33,137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comprehensive income</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5,265</w:t>
            </w:r>
          </w:p>
        </w:tc>
        <w:tc>
          <w:tcPr>
            <w:tcW w:w="2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5,265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60" w:type="dxa"/>
            <w:vAlign w:val="bottom"/>
          </w:tcPr>
          <w:p>
            <w:pPr>
              <w:spacing w:after="0"/>
              <w:rPr>
                <w:sz w:val="20"/>
                <w:szCs w:val="20"/>
                <w:color w:val="auto"/>
              </w:rPr>
            </w:pPr>
            <w:r>
              <w:rPr>
                <w:rFonts w:ascii="Arial" w:cs="Arial" w:eastAsia="Arial" w:hAnsi="Arial"/>
                <w:sz w:val="13"/>
                <w:szCs w:val="13"/>
                <w:b w:val="1"/>
                <w:bCs w:val="1"/>
                <w:color w:val="auto"/>
              </w:rPr>
              <w:t>Year Ended December 31, 2021</w:t>
            </w:r>
          </w:p>
        </w:tc>
        <w:tc>
          <w:tcPr>
            <w:tcW w:w="720" w:type="dxa"/>
            <w:vAlign w:val="bottom"/>
          </w:tcPr>
          <w:p>
            <w:pPr>
              <w:jc w:val="right"/>
              <w:spacing w:after="0"/>
              <w:rPr>
                <w:sz w:val="20"/>
                <w:szCs w:val="20"/>
                <w:color w:val="auto"/>
              </w:rPr>
            </w:pPr>
            <w:r>
              <w:rPr>
                <w:rFonts w:ascii="Arial" w:cs="Arial" w:eastAsia="Arial" w:hAnsi="Arial"/>
                <w:sz w:val="13"/>
                <w:szCs w:val="13"/>
                <w:color w:val="auto"/>
              </w:rPr>
              <w:t>25,992,237</w:t>
            </w:r>
          </w:p>
        </w:tc>
        <w:tc>
          <w:tcPr>
            <w:tcW w:w="2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262</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461,931</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127,887</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(1,120)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(22,907)</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8,055</w:t>
            </w:r>
          </w:p>
        </w:tc>
        <w:tc>
          <w:tcPr>
            <w:tcW w:w="22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320</w:t>
            </w:r>
          </w:p>
        </w:tc>
        <w:tc>
          <w:tcPr>
            <w:tcW w:w="24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446,541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 and should be read in conjunction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2"/>
                <w:szCs w:val="12"/>
                <w:b w:val="1"/>
                <w:bCs w:val="1"/>
                <w:color w:val="auto"/>
                <w:w w:val="89"/>
              </w:rPr>
              <w:t>For the years ended December 31,</w:t>
            </w: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2021</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502"/>
              <w:spacing w:after="0"/>
              <w:rPr>
                <w:sz w:val="20"/>
                <w:szCs w:val="20"/>
                <w:color w:val="auto"/>
              </w:rPr>
            </w:pPr>
            <w:r>
              <w:rPr>
                <w:rFonts w:ascii="Arial" w:cs="Arial" w:eastAsia="Arial" w:hAnsi="Arial"/>
                <w:sz w:val="12"/>
                <w:szCs w:val="12"/>
                <w:b w:val="1"/>
                <w:bCs w:val="1"/>
                <w:color w:val="auto"/>
              </w:rPr>
              <w:t>2020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502"/>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Cash Flows from Continuing Operating Activities:</w:t>
            </w:r>
          </w:p>
        </w:tc>
        <w:tc>
          <w:tcPr>
            <w:tcW w:w="74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left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tcPr>
          <w:p>
            <w:pPr>
              <w:ind w:left="260"/>
              <w:spacing w:after="0"/>
              <w:rPr>
                <w:sz w:val="20"/>
                <w:szCs w:val="20"/>
                <w:color w:val="auto"/>
              </w:rPr>
            </w:pPr>
            <w:r>
              <w:rPr>
                <w:rFonts w:ascii="Arial" w:cs="Arial" w:eastAsia="Arial" w:hAnsi="Arial"/>
                <w:sz w:val="12"/>
                <w:szCs w:val="12"/>
                <w:color w:val="auto"/>
              </w:rPr>
              <w:t>Net Income (Loss)</w:t>
            </w:r>
          </w:p>
        </w:tc>
        <w:tc>
          <w:tcPr>
            <w:tcW w:w="1600" w:type="dxa"/>
            <w:vAlign w:val="bottom"/>
            <w:gridSpan w:val="2"/>
          </w:tcPr>
          <w:p>
            <w:pPr>
              <w:jc w:val="right"/>
              <w:ind w:right="8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33,137</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(83,346)</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140" w:type="dxa"/>
            <w:vAlign w:val="bottom"/>
            <w:gridSpan w:val="2"/>
          </w:tcPr>
          <w:p>
            <w:pPr>
              <w:jc w:val="right"/>
              <w:ind w:right="60"/>
              <w:spacing w:after="0"/>
              <w:rPr>
                <w:sz w:val="20"/>
                <w:szCs w:val="20"/>
                <w:color w:val="auto"/>
              </w:rPr>
            </w:pPr>
            <w:r>
              <w:rPr>
                <w:rFonts w:ascii="Arial" w:cs="Arial" w:eastAsia="Arial" w:hAnsi="Arial"/>
                <w:sz w:val="12"/>
                <w:szCs w:val="12"/>
                <w:color w:val="auto"/>
              </w:rPr>
              <w:t>(100,070)</w:t>
            </w:r>
          </w:p>
        </w:tc>
        <w:tc>
          <w:tcPr>
            <w:tcW w:w="0" w:type="dxa"/>
            <w:vAlign w:val="bottom"/>
          </w:tcPr>
          <w:p>
            <w:pPr>
              <w:spacing w:after="0"/>
              <w:rPr>
                <w:sz w:val="1"/>
                <w:szCs w:val="1"/>
                <w:color w:val="auto"/>
              </w:rPr>
            </w:pPr>
          </w:p>
        </w:tc>
      </w:tr>
      <w:tr>
        <w:trPr>
          <w:trHeight w:val="148"/>
        </w:trPr>
        <w:tc>
          <w:tcPr>
            <w:tcW w:w="59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Adjustments to reconcile net loss to net cash provided by (used in) operating activities:</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tcPr>
          <w:p>
            <w:pPr>
              <w:ind w:left="500"/>
              <w:spacing w:after="0"/>
              <w:rPr>
                <w:sz w:val="20"/>
                <w:szCs w:val="20"/>
                <w:color w:val="auto"/>
              </w:rPr>
            </w:pPr>
            <w:r>
              <w:rPr>
                <w:rFonts w:ascii="Arial" w:cs="Arial" w:eastAsia="Arial" w:hAnsi="Arial"/>
                <w:sz w:val="12"/>
                <w:szCs w:val="12"/>
                <w:color w:val="auto"/>
              </w:rPr>
              <w:t>Depreciation and amortization</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57,395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57,167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57,166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shd w:val="clear" w:color="auto" w:fill="CFF0FC"/>
          </w:tcPr>
          <w:p>
            <w:pPr>
              <w:ind w:left="500"/>
              <w:spacing w:after="0"/>
              <w:rPr>
                <w:sz w:val="20"/>
                <w:szCs w:val="20"/>
                <w:color w:val="auto"/>
              </w:rPr>
            </w:pPr>
            <w:r>
              <w:rPr>
                <w:rFonts w:ascii="Arial" w:cs="Arial" w:eastAsia="Arial" w:hAnsi="Arial"/>
                <w:sz w:val="12"/>
                <w:szCs w:val="12"/>
                <w:color w:val="auto"/>
              </w:rPr>
              <w:t>Deferred financing cost amortization</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1,097</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1,107</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tcPr>
          <w:p>
            <w:pPr>
              <w:ind w:left="500"/>
              <w:spacing w:after="0"/>
              <w:rPr>
                <w:sz w:val="20"/>
                <w:szCs w:val="20"/>
                <w:color w:val="auto"/>
              </w:rPr>
            </w:pPr>
            <w:r>
              <w:rPr>
                <w:rFonts w:ascii="Arial" w:cs="Arial" w:eastAsia="Arial" w:hAnsi="Arial"/>
                <w:sz w:val="12"/>
                <w:szCs w:val="12"/>
                <w:color w:val="auto"/>
              </w:rPr>
              <w:t>Stock-based compensation expense</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5,165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4,646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5,363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shd w:val="clear" w:color="auto" w:fill="CFF0FC"/>
          </w:tcPr>
          <w:p>
            <w:pPr>
              <w:ind w:left="500"/>
              <w:spacing w:after="0"/>
              <w:rPr>
                <w:sz w:val="20"/>
                <w:szCs w:val="20"/>
                <w:color w:val="auto"/>
              </w:rPr>
            </w:pPr>
            <w:r>
              <w:rPr>
                <w:rFonts w:ascii="Arial" w:cs="Arial" w:eastAsia="Arial" w:hAnsi="Arial"/>
                <w:sz w:val="12"/>
                <w:szCs w:val="12"/>
                <w:color w:val="auto"/>
              </w:rPr>
              <w:t>Debt discount amortization</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6,866</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6,672</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tcPr>
          <w:p>
            <w:pPr>
              <w:ind w:left="500"/>
              <w:spacing w:after="0"/>
              <w:rPr>
                <w:sz w:val="20"/>
                <w:szCs w:val="20"/>
                <w:color w:val="auto"/>
              </w:rPr>
            </w:pPr>
            <w:r>
              <w:rPr>
                <w:rFonts w:ascii="Arial" w:cs="Arial" w:eastAsia="Arial" w:hAnsi="Arial"/>
                <w:sz w:val="12"/>
                <w:szCs w:val="12"/>
                <w:color w:val="auto"/>
              </w:rPr>
              <w:t>Allowance for credit losses</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863</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230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2"/>
                <w:szCs w:val="12"/>
                <w:color w:val="auto"/>
              </w:rPr>
              <w:t>(404)</w:t>
            </w:r>
          </w:p>
        </w:tc>
        <w:tc>
          <w:tcPr>
            <w:tcW w:w="0" w:type="dxa"/>
            <w:vAlign w:val="bottom"/>
          </w:tcPr>
          <w:p>
            <w:pPr>
              <w:spacing w:after="0"/>
              <w:rPr>
                <w:sz w:val="1"/>
                <w:szCs w:val="1"/>
                <w:color w:val="auto"/>
              </w:rPr>
            </w:pPr>
          </w:p>
        </w:tc>
      </w:tr>
      <w:tr>
        <w:trPr>
          <w:trHeight w:val="148"/>
        </w:trPr>
        <w:tc>
          <w:tcPr>
            <w:tcW w:w="5920" w:type="dxa"/>
            <w:vAlign w:val="bottom"/>
            <w:shd w:val="clear" w:color="auto" w:fill="CFF0FC"/>
          </w:tcPr>
          <w:p>
            <w:pPr>
              <w:ind w:left="500"/>
              <w:spacing w:after="0"/>
              <w:rPr>
                <w:sz w:val="20"/>
                <w:szCs w:val="20"/>
                <w:color w:val="auto"/>
              </w:rPr>
            </w:pPr>
            <w:r>
              <w:rPr>
                <w:rFonts w:ascii="Arial" w:cs="Arial" w:eastAsia="Arial" w:hAnsi="Arial"/>
                <w:sz w:val="12"/>
                <w:szCs w:val="12"/>
                <w:color w:val="auto"/>
              </w:rPr>
              <w:t>(Gains) Losses from equipment sales, retirements or impairments</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(20,436)</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17,588</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tcPr>
          <w:p>
            <w:pPr>
              <w:ind w:left="500"/>
              <w:spacing w:after="0"/>
              <w:rPr>
                <w:sz w:val="20"/>
                <w:szCs w:val="20"/>
                <w:color w:val="auto"/>
              </w:rPr>
            </w:pPr>
            <w:r>
              <w:rPr>
                <w:rFonts w:ascii="Arial" w:cs="Arial" w:eastAsia="Arial" w:hAnsi="Arial"/>
                <w:sz w:val="12"/>
                <w:szCs w:val="12"/>
                <w:color w:val="auto"/>
              </w:rPr>
              <w:t>Gain on the sale of Windcat Workboats</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(22,756)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5920" w:type="dxa"/>
            <w:vAlign w:val="bottom"/>
            <w:shd w:val="clear" w:color="auto" w:fill="CFF0FC"/>
          </w:tcPr>
          <w:p>
            <w:pPr>
              <w:ind w:left="500"/>
              <w:spacing w:after="0"/>
              <w:rPr>
                <w:sz w:val="20"/>
                <w:szCs w:val="20"/>
                <w:color w:val="auto"/>
              </w:rPr>
            </w:pPr>
            <w:r>
              <w:rPr>
                <w:rFonts w:ascii="Arial" w:cs="Arial" w:eastAsia="Arial" w:hAnsi="Arial"/>
                <w:sz w:val="12"/>
                <w:szCs w:val="12"/>
                <w:color w:val="auto"/>
              </w:rPr>
              <w:t>Gain from return of investments in 50% or less owned companies</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(9,442)</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5920" w:type="dxa"/>
            <w:vAlign w:val="bottom"/>
          </w:tcPr>
          <w:p>
            <w:pPr>
              <w:ind w:left="500"/>
              <w:spacing w:after="0"/>
              <w:rPr>
                <w:sz w:val="20"/>
                <w:szCs w:val="20"/>
                <w:color w:val="auto"/>
              </w:rPr>
            </w:pPr>
            <w:r>
              <w:rPr>
                <w:rFonts w:ascii="Arial" w:cs="Arial" w:eastAsia="Arial" w:hAnsi="Arial"/>
                <w:sz w:val="12"/>
                <w:szCs w:val="12"/>
                <w:color w:val="auto"/>
              </w:rPr>
              <w:t>Loss from sale of Boston Putford Offshore Safety</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9,106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shd w:val="clear" w:color="auto" w:fill="CFF0FC"/>
          </w:tcPr>
          <w:p>
            <w:pPr>
              <w:ind w:left="500"/>
              <w:spacing w:after="0"/>
              <w:rPr>
                <w:sz w:val="20"/>
                <w:szCs w:val="20"/>
                <w:color w:val="auto"/>
              </w:rPr>
            </w:pPr>
            <w:r>
              <w:rPr>
                <w:rFonts w:ascii="Arial" w:cs="Arial" w:eastAsia="Arial" w:hAnsi="Arial"/>
                <w:sz w:val="12"/>
                <w:szCs w:val="12"/>
                <w:color w:val="auto"/>
              </w:rPr>
              <w:t>Gain on debt extinguishment</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(62,749)</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5920" w:type="dxa"/>
            <w:vAlign w:val="bottom"/>
          </w:tcPr>
          <w:p>
            <w:pPr>
              <w:ind w:left="500"/>
              <w:spacing w:after="0"/>
              <w:rPr>
                <w:sz w:val="20"/>
                <w:szCs w:val="20"/>
                <w:color w:val="auto"/>
              </w:rPr>
            </w:pPr>
            <w:r>
              <w:rPr>
                <w:rFonts w:ascii="Arial" w:cs="Arial" w:eastAsia="Arial" w:hAnsi="Arial"/>
                <w:sz w:val="12"/>
                <w:szCs w:val="12"/>
                <w:color w:val="auto"/>
              </w:rPr>
              <w:t>Derivative gains</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(391)</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(4,310)</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2"/>
                <w:szCs w:val="12"/>
                <w:color w:val="auto"/>
              </w:rPr>
              <w:t>(71)</w:t>
            </w:r>
          </w:p>
        </w:tc>
        <w:tc>
          <w:tcPr>
            <w:tcW w:w="0" w:type="dxa"/>
            <w:vAlign w:val="bottom"/>
          </w:tcPr>
          <w:p>
            <w:pPr>
              <w:spacing w:after="0"/>
              <w:rPr>
                <w:sz w:val="1"/>
                <w:szCs w:val="1"/>
                <w:color w:val="auto"/>
              </w:rPr>
            </w:pPr>
          </w:p>
        </w:tc>
      </w:tr>
      <w:tr>
        <w:trPr>
          <w:trHeight w:val="148"/>
        </w:trPr>
        <w:tc>
          <w:tcPr>
            <w:tcW w:w="5920" w:type="dxa"/>
            <w:vAlign w:val="bottom"/>
            <w:shd w:val="clear" w:color="auto" w:fill="CFF0FC"/>
          </w:tcPr>
          <w:p>
            <w:pPr>
              <w:ind w:left="500"/>
              <w:spacing w:after="0"/>
              <w:rPr>
                <w:sz w:val="20"/>
                <w:szCs w:val="20"/>
                <w:color w:val="auto"/>
              </w:rPr>
            </w:pPr>
            <w:r>
              <w:rPr>
                <w:rFonts w:ascii="Arial" w:cs="Arial" w:eastAsia="Arial" w:hAnsi="Arial"/>
                <w:sz w:val="12"/>
                <w:szCs w:val="12"/>
                <w:color w:val="auto"/>
              </w:rPr>
              <w:t>Interest on finance lease</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5920" w:type="dxa"/>
            <w:vAlign w:val="bottom"/>
          </w:tcPr>
          <w:p>
            <w:pPr>
              <w:ind w:left="500"/>
              <w:spacing w:after="0"/>
              <w:rPr>
                <w:sz w:val="20"/>
                <w:szCs w:val="20"/>
                <w:color w:val="auto"/>
              </w:rPr>
            </w:pPr>
            <w:r>
              <w:rPr>
                <w:rFonts w:ascii="Arial" w:cs="Arial" w:eastAsia="Arial" w:hAnsi="Arial"/>
                <w:sz w:val="12"/>
                <w:szCs w:val="12"/>
                <w:color w:val="auto"/>
              </w:rPr>
              <w:t>Cash settlement payments on derivative transactions, net</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(2,150)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(1,331)</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2"/>
                <w:szCs w:val="12"/>
                <w:color w:val="auto"/>
              </w:rPr>
              <w:t>(482)</w:t>
            </w:r>
          </w:p>
        </w:tc>
        <w:tc>
          <w:tcPr>
            <w:tcW w:w="0" w:type="dxa"/>
            <w:vAlign w:val="bottom"/>
          </w:tcPr>
          <w:p>
            <w:pPr>
              <w:spacing w:after="0"/>
              <w:rPr>
                <w:sz w:val="1"/>
                <w:szCs w:val="1"/>
                <w:color w:val="auto"/>
              </w:rPr>
            </w:pPr>
          </w:p>
        </w:tc>
      </w:tr>
      <w:tr>
        <w:trPr>
          <w:trHeight w:val="149"/>
        </w:trPr>
        <w:tc>
          <w:tcPr>
            <w:tcW w:w="5920" w:type="dxa"/>
            <w:vAlign w:val="bottom"/>
            <w:shd w:val="clear" w:color="auto" w:fill="CFF0FC"/>
          </w:tcPr>
          <w:p>
            <w:pPr>
              <w:ind w:left="500"/>
              <w:spacing w:after="0"/>
              <w:rPr>
                <w:sz w:val="20"/>
                <w:szCs w:val="20"/>
                <w:color w:val="auto"/>
              </w:rPr>
            </w:pPr>
            <w:r>
              <w:rPr>
                <w:rFonts w:ascii="Arial" w:cs="Arial" w:eastAsia="Arial" w:hAnsi="Arial"/>
                <w:sz w:val="12"/>
                <w:szCs w:val="12"/>
                <w:color w:val="auto"/>
              </w:rPr>
              <w:t>Currency losses</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1,235</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1,294</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tcPr>
          <w:p>
            <w:pPr>
              <w:ind w:left="500"/>
              <w:spacing w:after="0"/>
              <w:rPr>
                <w:sz w:val="20"/>
                <w:szCs w:val="20"/>
                <w:color w:val="auto"/>
              </w:rPr>
            </w:pPr>
            <w:r>
              <w:rPr>
                <w:rFonts w:ascii="Arial" w:cs="Arial" w:eastAsia="Arial" w:hAnsi="Arial"/>
                <w:sz w:val="12"/>
                <w:szCs w:val="12"/>
                <w:color w:val="auto"/>
              </w:rPr>
              <w:t>Deferred income taxes</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4,860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2,258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2"/>
                <w:szCs w:val="12"/>
                <w:color w:val="auto"/>
              </w:rPr>
              <w:t>(12,890)</w:t>
            </w:r>
          </w:p>
        </w:tc>
        <w:tc>
          <w:tcPr>
            <w:tcW w:w="0" w:type="dxa"/>
            <w:vAlign w:val="bottom"/>
          </w:tcPr>
          <w:p>
            <w:pPr>
              <w:spacing w:after="0"/>
              <w:rPr>
                <w:sz w:val="1"/>
                <w:szCs w:val="1"/>
                <w:color w:val="auto"/>
              </w:rPr>
            </w:pPr>
          </w:p>
        </w:tc>
      </w:tr>
      <w:tr>
        <w:trPr>
          <w:trHeight w:val="148"/>
        </w:trPr>
        <w:tc>
          <w:tcPr>
            <w:tcW w:w="5920" w:type="dxa"/>
            <w:vAlign w:val="bottom"/>
            <w:shd w:val="clear" w:color="auto" w:fill="CFF0FC"/>
          </w:tcPr>
          <w:p>
            <w:pPr>
              <w:ind w:left="500"/>
              <w:spacing w:after="0"/>
              <w:rPr>
                <w:sz w:val="20"/>
                <w:szCs w:val="20"/>
                <w:color w:val="auto"/>
              </w:rPr>
            </w:pPr>
            <w:r>
              <w:rPr>
                <w:rFonts w:ascii="Arial" w:cs="Arial" w:eastAsia="Arial" w:hAnsi="Arial"/>
                <w:sz w:val="12"/>
                <w:szCs w:val="12"/>
                <w:color w:val="auto"/>
              </w:rPr>
              <w:t>Equity (earnings) losses</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(15,078)</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8,163</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tcPr>
          <w:p>
            <w:pPr>
              <w:ind w:left="500"/>
              <w:spacing w:after="0"/>
              <w:rPr>
                <w:sz w:val="20"/>
                <w:szCs w:val="20"/>
                <w:color w:val="auto"/>
              </w:rPr>
            </w:pPr>
            <w:r>
              <w:rPr>
                <w:rFonts w:ascii="Arial" w:cs="Arial" w:eastAsia="Arial" w:hAnsi="Arial"/>
                <w:sz w:val="12"/>
                <w:szCs w:val="12"/>
                <w:color w:val="auto"/>
              </w:rPr>
              <w:t>Dividends received from equity investees</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5,332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2,117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2,073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shd w:val="clear" w:color="auto" w:fill="CFF0FC"/>
          </w:tcPr>
          <w:p>
            <w:pPr>
              <w:ind w:left="500"/>
              <w:spacing w:after="0"/>
              <w:rPr>
                <w:sz w:val="20"/>
                <w:szCs w:val="20"/>
                <w:color w:val="auto"/>
              </w:rPr>
            </w:pPr>
            <w:r>
              <w:rPr>
                <w:rFonts w:ascii="Arial" w:cs="Arial" w:eastAsia="Arial" w:hAnsi="Arial"/>
                <w:sz w:val="12"/>
                <w:szCs w:val="12"/>
                <w:color w:val="auto"/>
              </w:rPr>
              <w:t>Changes in Operating Assets and Liabilities:</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tcPr>
          <w:p>
            <w:pPr>
              <w:ind w:left="740"/>
              <w:spacing w:after="0"/>
              <w:rPr>
                <w:sz w:val="20"/>
                <w:szCs w:val="20"/>
                <w:color w:val="auto"/>
              </w:rPr>
            </w:pPr>
            <w:r>
              <w:rPr>
                <w:rFonts w:ascii="Arial" w:cs="Arial" w:eastAsia="Arial" w:hAnsi="Arial"/>
                <w:sz w:val="12"/>
                <w:szCs w:val="12"/>
                <w:color w:val="auto"/>
              </w:rPr>
              <w:t>Accounts receivables</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22,437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(30,165)</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10,182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shd w:val="clear" w:color="auto" w:fill="CFF0FC"/>
          </w:tcPr>
          <w:p>
            <w:pPr>
              <w:ind w:left="740"/>
              <w:spacing w:after="0"/>
              <w:rPr>
                <w:sz w:val="20"/>
                <w:szCs w:val="20"/>
                <w:color w:val="auto"/>
              </w:rPr>
            </w:pPr>
            <w:r>
              <w:rPr>
                <w:rFonts w:ascii="Arial" w:cs="Arial" w:eastAsia="Arial" w:hAnsi="Arial"/>
                <w:sz w:val="12"/>
                <w:szCs w:val="12"/>
                <w:color w:val="auto"/>
              </w:rPr>
              <w:t>Other assets</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3,113</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6,530</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tcPr>
          <w:p>
            <w:pPr>
              <w:ind w:left="740"/>
              <w:spacing w:after="0"/>
              <w:rPr>
                <w:sz w:val="20"/>
                <w:szCs w:val="20"/>
                <w:color w:val="auto"/>
              </w:rPr>
            </w:pPr>
            <w:r>
              <w:rPr>
                <w:rFonts w:ascii="Arial" w:cs="Arial" w:eastAsia="Arial" w:hAnsi="Arial"/>
                <w:sz w:val="12"/>
                <w:szCs w:val="12"/>
                <w:color w:val="auto"/>
              </w:rPr>
              <w:t>Accounts payable and accrued liabilities</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471</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(18,343)</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20" w:type="dxa"/>
            <w:vAlign w:val="bottom"/>
            <w:shd w:val="clear" w:color="auto" w:fill="CFF0FC"/>
          </w:tcPr>
          <w:p>
            <w:pPr>
              <w:ind w:left="1000"/>
              <w:spacing w:after="0"/>
              <w:rPr>
                <w:sz w:val="20"/>
                <w:szCs w:val="20"/>
                <w:color w:val="auto"/>
              </w:rPr>
            </w:pPr>
            <w:r>
              <w:rPr>
                <w:rFonts w:ascii="Arial" w:cs="Arial" w:eastAsia="Arial" w:hAnsi="Arial"/>
                <w:sz w:val="12"/>
                <w:szCs w:val="12"/>
                <w:color w:val="auto"/>
              </w:rPr>
              <w:t>Net cash provided by (used in) operating activities</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8,973</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(29,722)</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20"/>
                <w:szCs w:val="20"/>
                <w:color w:val="auto"/>
              </w:rPr>
            </w:pPr>
            <w:r>
              <w:rPr>
                <w:rFonts w:ascii="Arial" w:cs="Arial" w:eastAsia="Arial" w:hAnsi="Arial"/>
                <w:sz w:val="12"/>
                <w:szCs w:val="12"/>
                <w:color w:val="auto"/>
              </w:rPr>
              <w:t>Cash Flows from Continuing Investing Activities:</w:t>
            </w:r>
          </w:p>
        </w:tc>
        <w:tc>
          <w:tcPr>
            <w:tcW w:w="7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Purchases of property and equipment</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(7,003)</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(20,808)</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(44,775)</w:t>
            </w:r>
          </w:p>
        </w:tc>
        <w:tc>
          <w:tcPr>
            <w:tcW w:w="0" w:type="dxa"/>
            <w:vAlign w:val="bottom"/>
          </w:tcPr>
          <w:p>
            <w:pPr>
              <w:spacing w:after="0"/>
              <w:rPr>
                <w:sz w:val="1"/>
                <w:szCs w:val="1"/>
                <w:color w:val="auto"/>
              </w:rPr>
            </w:pPr>
          </w:p>
        </w:tc>
      </w:tr>
      <w:tr>
        <w:trPr>
          <w:trHeight w:val="148"/>
        </w:trPr>
        <w:tc>
          <w:tcPr>
            <w:tcW w:w="5920" w:type="dxa"/>
            <w:vAlign w:val="bottom"/>
          </w:tcPr>
          <w:p>
            <w:pPr>
              <w:ind w:left="260"/>
              <w:spacing w:after="0"/>
              <w:rPr>
                <w:sz w:val="20"/>
                <w:szCs w:val="20"/>
                <w:color w:val="auto"/>
              </w:rPr>
            </w:pPr>
            <w:r>
              <w:rPr>
                <w:rFonts w:ascii="Arial" w:cs="Arial" w:eastAsia="Arial" w:hAnsi="Arial"/>
                <w:sz w:val="12"/>
                <w:szCs w:val="12"/>
                <w:color w:val="auto"/>
              </w:rPr>
              <w:t>Proceeds from disposition of property and equipment</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30,137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20,674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55,321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Proceeds from sale of ERRV fleet</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27,390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tcPr>
          <w:p>
            <w:pPr>
              <w:ind w:left="260"/>
              <w:spacing w:after="0"/>
              <w:rPr>
                <w:sz w:val="20"/>
                <w:szCs w:val="20"/>
                <w:color w:val="auto"/>
              </w:rPr>
            </w:pPr>
            <w:r>
              <w:rPr>
                <w:rFonts w:ascii="Arial" w:cs="Arial" w:eastAsia="Arial" w:hAnsi="Arial"/>
                <w:sz w:val="12"/>
                <w:szCs w:val="12"/>
                <w:color w:val="auto"/>
              </w:rPr>
              <w:t>Cash impact of sale of ERRV fleet</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2"/>
                <w:szCs w:val="12"/>
                <w:color w:val="auto"/>
              </w:rPr>
              <w:t>(5,140)</w:t>
            </w:r>
          </w:p>
        </w:tc>
        <w:tc>
          <w:tcPr>
            <w:tcW w:w="0" w:type="dxa"/>
            <w:vAlign w:val="bottom"/>
          </w:tcPr>
          <w:p>
            <w:pPr>
              <w:spacing w:after="0"/>
              <w:rPr>
                <w:sz w:val="1"/>
                <w:szCs w:val="1"/>
                <w:color w:val="auto"/>
              </w:rPr>
            </w:pPr>
          </w:p>
        </w:tc>
      </w:tr>
      <w:tr>
        <w:trPr>
          <w:trHeight w:val="149"/>
        </w:trPr>
        <w:tc>
          <w:tcPr>
            <w:tcW w:w="59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Purchase of subsidiary from joint venture</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(8,445)</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5920" w:type="dxa"/>
            <w:vAlign w:val="bottom"/>
          </w:tcPr>
          <w:p>
            <w:pPr>
              <w:ind w:left="260"/>
              <w:spacing w:after="0"/>
              <w:rPr>
                <w:sz w:val="20"/>
                <w:szCs w:val="20"/>
                <w:color w:val="auto"/>
              </w:rPr>
            </w:pPr>
            <w:r>
              <w:rPr>
                <w:rFonts w:ascii="Arial" w:cs="Arial" w:eastAsia="Arial" w:hAnsi="Arial"/>
                <w:sz w:val="12"/>
                <w:szCs w:val="12"/>
                <w:color w:val="auto"/>
              </w:rPr>
              <w:t>Proceeds from sale of Windcat Workboats, net of transaction costs and cash sold</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38,715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59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Investments in and advances to 50% or less owned companies</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(3,008)</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(2,206)</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(17,395)</w:t>
            </w:r>
          </w:p>
        </w:tc>
        <w:tc>
          <w:tcPr>
            <w:tcW w:w="0" w:type="dxa"/>
            <w:vAlign w:val="bottom"/>
          </w:tcPr>
          <w:p>
            <w:pPr>
              <w:spacing w:after="0"/>
              <w:rPr>
                <w:sz w:val="1"/>
                <w:szCs w:val="1"/>
                <w:color w:val="auto"/>
              </w:rPr>
            </w:pPr>
          </w:p>
        </w:tc>
      </w:tr>
      <w:tr>
        <w:trPr>
          <w:trHeight w:val="148"/>
        </w:trPr>
        <w:tc>
          <w:tcPr>
            <w:tcW w:w="5920" w:type="dxa"/>
            <w:vAlign w:val="bottom"/>
          </w:tcPr>
          <w:p>
            <w:pPr>
              <w:ind w:left="260"/>
              <w:spacing w:after="0"/>
              <w:rPr>
                <w:sz w:val="20"/>
                <w:szCs w:val="20"/>
                <w:color w:val="auto"/>
              </w:rPr>
            </w:pPr>
            <w:r>
              <w:rPr>
                <w:rFonts w:ascii="Arial" w:cs="Arial" w:eastAsia="Arial" w:hAnsi="Arial"/>
                <w:sz w:val="12"/>
                <w:szCs w:val="12"/>
                <w:color w:val="auto"/>
              </w:rPr>
              <w:t>Return of investments and advances from 50% or less owned companies</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Excess distributions from equity investees</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9,442</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5920" w:type="dxa"/>
            <w:vAlign w:val="bottom"/>
          </w:tcPr>
          <w:p>
            <w:pPr>
              <w:ind w:left="260"/>
              <w:spacing w:after="0"/>
              <w:rPr>
                <w:sz w:val="20"/>
                <w:szCs w:val="20"/>
                <w:color w:val="auto"/>
              </w:rPr>
            </w:pPr>
            <w:r>
              <w:rPr>
                <w:rFonts w:ascii="Arial" w:cs="Arial" w:eastAsia="Arial" w:hAnsi="Arial"/>
                <w:sz w:val="12"/>
                <w:szCs w:val="12"/>
                <w:color w:val="auto"/>
              </w:rPr>
              <w:t>Construction reserve funds transferred to short-term cash</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3,745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59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Construction reserve funds utilized</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9,148</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15,168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tcPr>
          <w:p>
            <w:pPr>
              <w:ind w:left="260"/>
              <w:spacing w:after="0"/>
              <w:rPr>
                <w:sz w:val="20"/>
                <w:szCs w:val="20"/>
                <w:color w:val="auto"/>
              </w:rPr>
            </w:pPr>
            <w:r>
              <w:rPr>
                <w:rFonts w:ascii="Arial" w:cs="Arial" w:eastAsia="Arial" w:hAnsi="Arial"/>
                <w:sz w:val="12"/>
                <w:szCs w:val="12"/>
                <w:color w:val="auto"/>
              </w:rPr>
              <w:t>Principal payments on notes due from equity investees</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3,345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1,715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59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Cash received from acquisition of 50% or less owned company</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172</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5920" w:type="dxa"/>
            <w:vAlign w:val="bottom"/>
            <w:tcBorders>
              <w:bottom w:val="single" w:sz="8" w:color="CFF0FC"/>
            </w:tcBorders>
          </w:tcPr>
          <w:p>
            <w:pPr>
              <w:ind w:left="500"/>
              <w:spacing w:after="0" w:line="136" w:lineRule="exact"/>
              <w:rPr>
                <w:sz w:val="20"/>
                <w:szCs w:val="20"/>
                <w:color w:val="auto"/>
              </w:rPr>
            </w:pPr>
            <w:r>
              <w:rPr>
                <w:rFonts w:ascii="Arial" w:cs="Arial" w:eastAsia="Arial" w:hAnsi="Arial"/>
                <w:sz w:val="12"/>
                <w:szCs w:val="12"/>
                <w:color w:val="auto"/>
              </w:rPr>
              <w:t>Net cash provided by investing activities</w:t>
            </w:r>
          </w:p>
        </w:tc>
        <w:tc>
          <w:tcPr>
            <w:tcW w:w="740" w:type="dxa"/>
            <w:vAlign w:val="bottom"/>
            <w:tcBorders>
              <w:bottom w:val="single" w:sz="8" w:color="CFF0FC"/>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71,800</w:t>
            </w:r>
          </w:p>
        </w:tc>
        <w:tc>
          <w:tcPr>
            <w:tcW w:w="24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3,823</w:t>
            </w:r>
          </w:p>
        </w:tc>
        <w:tc>
          <w:tcPr>
            <w:tcW w:w="24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31,030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Cash Flows from Continuing Financing Activities:</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tcPr>
          <w:p>
            <w:pPr>
              <w:ind w:left="260"/>
              <w:spacing w:after="0"/>
              <w:rPr>
                <w:sz w:val="20"/>
                <w:szCs w:val="20"/>
                <w:color w:val="auto"/>
              </w:rPr>
            </w:pPr>
            <w:r>
              <w:rPr>
                <w:rFonts w:ascii="Arial" w:cs="Arial" w:eastAsia="Arial" w:hAnsi="Arial"/>
                <w:sz w:val="12"/>
                <w:szCs w:val="12"/>
                <w:color w:val="auto"/>
              </w:rPr>
              <w:t>Payments on long-term debt</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(78,124)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(22,601)</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2"/>
                <w:szCs w:val="12"/>
                <w:color w:val="auto"/>
              </w:rPr>
              <w:t>(23,974)</w:t>
            </w:r>
          </w:p>
        </w:tc>
        <w:tc>
          <w:tcPr>
            <w:tcW w:w="0" w:type="dxa"/>
            <w:vAlign w:val="bottom"/>
          </w:tcPr>
          <w:p>
            <w:pPr>
              <w:spacing w:after="0"/>
              <w:rPr>
                <w:sz w:val="1"/>
                <w:szCs w:val="1"/>
                <w:color w:val="auto"/>
              </w:rPr>
            </w:pPr>
          </w:p>
        </w:tc>
      </w:tr>
      <w:tr>
        <w:trPr>
          <w:trHeight w:val="148"/>
        </w:trPr>
        <w:tc>
          <w:tcPr>
            <w:tcW w:w="59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Payments on debt extinguishment costs</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(755)</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5920" w:type="dxa"/>
            <w:vAlign w:val="bottom"/>
          </w:tcPr>
          <w:p>
            <w:pPr>
              <w:ind w:left="260"/>
              <w:spacing w:after="0"/>
              <w:rPr>
                <w:sz w:val="20"/>
                <w:szCs w:val="20"/>
                <w:color w:val="auto"/>
              </w:rPr>
            </w:pPr>
            <w:r>
              <w:rPr>
                <w:rFonts w:ascii="Arial" w:cs="Arial" w:eastAsia="Arial" w:hAnsi="Arial"/>
                <w:sz w:val="12"/>
                <w:szCs w:val="12"/>
                <w:color w:val="auto"/>
              </w:rPr>
              <w:t>Proceeds from exercise of stock options and warrants</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Payments on finance lease</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5920" w:type="dxa"/>
            <w:vAlign w:val="bottom"/>
          </w:tcPr>
          <w:p>
            <w:pPr>
              <w:ind w:left="260"/>
              <w:spacing w:after="0"/>
              <w:rPr>
                <w:sz w:val="20"/>
                <w:szCs w:val="20"/>
                <w:color w:val="auto"/>
              </w:rPr>
            </w:pPr>
            <w:r>
              <w:rPr>
                <w:rFonts w:ascii="Arial" w:cs="Arial" w:eastAsia="Arial" w:hAnsi="Arial"/>
                <w:sz w:val="12"/>
                <w:szCs w:val="12"/>
                <w:color w:val="auto"/>
              </w:rPr>
              <w:t>Issuance of stock</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59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Purchase of subsidiary shares from noncontrolling interests</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(3,392)</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20" w:type="dxa"/>
            <w:vAlign w:val="bottom"/>
          </w:tcPr>
          <w:p>
            <w:pPr>
              <w:ind w:left="500"/>
              <w:spacing w:after="0"/>
              <w:rPr>
                <w:sz w:val="20"/>
                <w:szCs w:val="20"/>
                <w:color w:val="auto"/>
              </w:rPr>
            </w:pPr>
            <w:r>
              <w:rPr>
                <w:rFonts w:ascii="Arial" w:cs="Arial" w:eastAsia="Arial" w:hAnsi="Arial"/>
                <w:sz w:val="12"/>
                <w:szCs w:val="12"/>
                <w:color w:val="auto"/>
              </w:rPr>
              <w:t>Net cash used in financing activities</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(78,898)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(22,599)</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2"/>
                <w:szCs w:val="12"/>
                <w:color w:val="auto"/>
              </w:rPr>
              <w:t>(25,942)</w:t>
            </w:r>
          </w:p>
        </w:tc>
        <w:tc>
          <w:tcPr>
            <w:tcW w:w="0" w:type="dxa"/>
            <w:vAlign w:val="bottom"/>
          </w:tcPr>
          <w:p>
            <w:pPr>
              <w:spacing w:after="0"/>
              <w:rPr>
                <w:sz w:val="1"/>
                <w:szCs w:val="1"/>
                <w:color w:val="auto"/>
              </w:rPr>
            </w:pPr>
          </w:p>
        </w:tc>
      </w:tr>
      <w:tr>
        <w:trPr>
          <w:trHeight w:val="20"/>
        </w:trPr>
        <w:tc>
          <w:tcPr>
            <w:tcW w:w="59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Effects of Exchange Rate Changes on Cash, Cash Equivalents and Restricted Cash</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(16,619)</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20" w:type="dxa"/>
            <w:vAlign w:val="bottom"/>
          </w:tcPr>
          <w:p>
            <w:pPr>
              <w:spacing w:after="0"/>
              <w:rPr>
                <w:sz w:val="20"/>
                <w:szCs w:val="20"/>
                <w:color w:val="auto"/>
              </w:rPr>
            </w:pPr>
            <w:r>
              <w:rPr>
                <w:rFonts w:ascii="Arial" w:cs="Arial" w:eastAsia="Arial" w:hAnsi="Arial"/>
                <w:sz w:val="12"/>
                <w:szCs w:val="12"/>
                <w:color w:val="auto"/>
              </w:rPr>
              <w:t>Net Increase (Decrease) in Cash, Cash Equivalents and Restricted Cash, Continuing Operations</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1,853</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(48,468)</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2"/>
                <w:szCs w:val="12"/>
                <w:color w:val="auto"/>
              </w:rPr>
              <w:t>(9,869)</w:t>
            </w:r>
          </w:p>
        </w:tc>
        <w:tc>
          <w:tcPr>
            <w:tcW w:w="0" w:type="dxa"/>
            <w:vAlign w:val="bottom"/>
          </w:tcPr>
          <w:p>
            <w:pPr>
              <w:spacing w:after="0"/>
              <w:rPr>
                <w:sz w:val="1"/>
                <w:szCs w:val="1"/>
                <w:color w:val="auto"/>
              </w:rPr>
            </w:pPr>
          </w:p>
        </w:tc>
      </w:tr>
      <w:tr>
        <w:trPr>
          <w:trHeight w:val="148"/>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Cash Flows from Discontinued Operations:</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tcPr>
          <w:p>
            <w:pPr>
              <w:ind w:left="260"/>
              <w:spacing w:after="0"/>
              <w:rPr>
                <w:sz w:val="20"/>
                <w:szCs w:val="20"/>
                <w:color w:val="auto"/>
              </w:rPr>
            </w:pPr>
            <w:r>
              <w:rPr>
                <w:rFonts w:ascii="Arial" w:cs="Arial" w:eastAsia="Arial" w:hAnsi="Arial"/>
                <w:sz w:val="12"/>
                <w:szCs w:val="12"/>
                <w:color w:val="auto"/>
              </w:rPr>
              <w:t>Operating Activities</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(171)</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8,217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13,778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Investing Activities</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(8,318)</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(15,388)</w:t>
            </w:r>
          </w:p>
        </w:tc>
        <w:tc>
          <w:tcPr>
            <w:tcW w:w="0" w:type="dxa"/>
            <w:vAlign w:val="bottom"/>
          </w:tcPr>
          <w:p>
            <w:pPr>
              <w:spacing w:after="0"/>
              <w:rPr>
                <w:sz w:val="1"/>
                <w:szCs w:val="1"/>
                <w:color w:val="auto"/>
              </w:rPr>
            </w:pPr>
          </w:p>
        </w:tc>
      </w:tr>
      <w:tr>
        <w:trPr>
          <w:trHeight w:val="149"/>
        </w:trPr>
        <w:tc>
          <w:tcPr>
            <w:tcW w:w="5920" w:type="dxa"/>
            <w:vAlign w:val="bottom"/>
          </w:tcPr>
          <w:p>
            <w:pPr>
              <w:ind w:left="260"/>
              <w:spacing w:after="0"/>
              <w:rPr>
                <w:sz w:val="20"/>
                <w:szCs w:val="20"/>
                <w:color w:val="auto"/>
              </w:rPr>
            </w:pPr>
            <w:r>
              <w:rPr>
                <w:rFonts w:ascii="Arial" w:cs="Arial" w:eastAsia="Arial" w:hAnsi="Arial"/>
                <w:sz w:val="12"/>
                <w:szCs w:val="12"/>
                <w:color w:val="auto"/>
              </w:rPr>
              <w:t>Financing Activities</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941</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59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Effects of Exchange Rate Changes on Cash, Restricted Cash and Cash Equivalents</w:t>
            </w:r>
          </w:p>
        </w:tc>
        <w:tc>
          <w:tcPr>
            <w:tcW w:w="740" w:type="dxa"/>
            <w:vAlign w:val="bottom"/>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119</w:t>
            </w:r>
          </w:p>
        </w:tc>
        <w:tc>
          <w:tcPr>
            <w:tcW w:w="24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20" w:type="dxa"/>
            <w:vAlign w:val="bottom"/>
          </w:tcPr>
          <w:p>
            <w:pPr>
              <w:ind w:left="500"/>
              <w:spacing w:after="0"/>
              <w:rPr>
                <w:sz w:val="20"/>
                <w:szCs w:val="20"/>
                <w:color w:val="auto"/>
              </w:rPr>
            </w:pPr>
            <w:r>
              <w:rPr>
                <w:rFonts w:ascii="Arial" w:cs="Arial" w:eastAsia="Arial" w:hAnsi="Arial"/>
                <w:sz w:val="12"/>
                <w:szCs w:val="12"/>
                <w:color w:val="auto"/>
              </w:rPr>
              <w:t>Net (Decrease) Increase in Cash, Restricted Cash and Cash Equivalents on Discontinued Operations</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(171)</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959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Net Increase (Decrease) in Cash, Cash Equivalents and Restricted Cash</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1,682</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(47,509)</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(9,805)</w:t>
            </w:r>
          </w:p>
        </w:tc>
        <w:tc>
          <w:tcPr>
            <w:tcW w:w="0" w:type="dxa"/>
            <w:vAlign w:val="bottom"/>
          </w:tcPr>
          <w:p>
            <w:pPr>
              <w:spacing w:after="0"/>
              <w:rPr>
                <w:sz w:val="1"/>
                <w:szCs w:val="1"/>
                <w:color w:val="auto"/>
              </w:rPr>
            </w:pPr>
          </w:p>
        </w:tc>
      </w:tr>
      <w:tr>
        <w:trPr>
          <w:trHeight w:val="149"/>
        </w:trPr>
        <w:tc>
          <w:tcPr>
            <w:tcW w:w="592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Cash, Cash Equivalents and Restricted Cash, Beginning of Year</w:t>
            </w:r>
          </w:p>
        </w:tc>
        <w:tc>
          <w:tcPr>
            <w:tcW w:w="74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39,538</w:t>
            </w:r>
          </w:p>
        </w:tc>
        <w:tc>
          <w:tcPr>
            <w:tcW w:w="2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87,047</w:t>
            </w:r>
          </w:p>
        </w:tc>
        <w:tc>
          <w:tcPr>
            <w:tcW w:w="2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96,852</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Cash, Cash Equivalents and Restricted Cash, End of Year</w:t>
            </w:r>
          </w:p>
        </w:tc>
        <w:tc>
          <w:tcPr>
            <w:tcW w:w="1600" w:type="dxa"/>
            <w:vAlign w:val="bottom"/>
            <w:gridSpan w:val="2"/>
            <w:shd w:val="clear" w:color="auto" w:fill="CFF0FC"/>
          </w:tcPr>
          <w:p>
            <w:pPr>
              <w:jc w:val="right"/>
              <w:ind w:right="8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41,220</w:t>
            </w:r>
          </w:p>
        </w:tc>
        <w:tc>
          <w:tcPr>
            <w:tcW w:w="540" w:type="dxa"/>
            <w:vAlign w:val="bottom"/>
            <w:tcBorders>
              <w:lef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39,538</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93"/>
              <w:spacing w:after="0"/>
              <w:rPr>
                <w:sz w:val="20"/>
                <w:szCs w:val="20"/>
                <w:color w:val="auto"/>
              </w:rPr>
            </w:pPr>
            <w:r>
              <w:rPr>
                <w:rFonts w:ascii="Arial" w:cs="Arial" w:eastAsia="Arial" w:hAnsi="Arial"/>
                <w:sz w:val="9"/>
                <w:szCs w:val="9"/>
                <w:color w:val="auto"/>
                <w:w w:val="78"/>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87,047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2"/>
                <w:szCs w:val="12"/>
                <w:color w:val="auto"/>
              </w:rPr>
              <w:t>Supplemental disclosures:</w:t>
            </w:r>
          </w:p>
        </w:tc>
        <w:tc>
          <w:tcPr>
            <w:tcW w:w="7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Cash paid for interest, excluding capitalized interest</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24,143</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21,977</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21,479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tcPr>
          <w:p>
            <w:pPr>
              <w:ind w:left="260"/>
              <w:spacing w:after="0"/>
              <w:rPr>
                <w:sz w:val="20"/>
                <w:szCs w:val="20"/>
                <w:color w:val="auto"/>
              </w:rPr>
            </w:pPr>
            <w:r>
              <w:rPr>
                <w:rFonts w:ascii="Arial" w:cs="Arial" w:eastAsia="Arial" w:hAnsi="Arial"/>
                <w:sz w:val="12"/>
                <w:szCs w:val="12"/>
                <w:color w:val="auto"/>
              </w:rPr>
              <w:t>Income taxes refunded, net</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32,759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1,094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1,999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Noncash Investing and Financing Activities:</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tcPr>
          <w:p>
            <w:pPr>
              <w:ind w:left="380"/>
              <w:spacing w:after="0"/>
              <w:rPr>
                <w:sz w:val="20"/>
                <w:szCs w:val="20"/>
                <w:color w:val="auto"/>
              </w:rPr>
            </w:pPr>
            <w:r>
              <w:rPr>
                <w:rFonts w:ascii="Arial" w:cs="Arial" w:eastAsia="Arial" w:hAnsi="Arial"/>
                <w:sz w:val="12"/>
                <w:szCs w:val="12"/>
                <w:color w:val="auto"/>
              </w:rPr>
              <w:t>Increase in property, plant and equipment related to an acquisition</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142,282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5920" w:type="dxa"/>
            <w:vAlign w:val="bottom"/>
            <w:shd w:val="clear" w:color="auto" w:fill="CFF0FC"/>
          </w:tcPr>
          <w:p>
            <w:pPr>
              <w:ind w:left="380"/>
              <w:spacing w:after="0"/>
              <w:rPr>
                <w:sz w:val="20"/>
                <w:szCs w:val="20"/>
                <w:color w:val="auto"/>
              </w:rPr>
            </w:pPr>
            <w:r>
              <w:rPr>
                <w:rFonts w:ascii="Arial" w:cs="Arial" w:eastAsia="Arial" w:hAnsi="Arial"/>
                <w:sz w:val="12"/>
                <w:szCs w:val="12"/>
                <w:color w:val="auto"/>
              </w:rPr>
              <w:t>Decrease in joint venture investments related to an acquisition</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22,222</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5920" w:type="dxa"/>
            <w:vAlign w:val="bottom"/>
          </w:tcPr>
          <w:p>
            <w:pPr>
              <w:ind w:left="380"/>
              <w:spacing w:after="0"/>
              <w:rPr>
                <w:sz w:val="20"/>
                <w:szCs w:val="20"/>
                <w:color w:val="auto"/>
              </w:rPr>
            </w:pPr>
            <w:r>
              <w:rPr>
                <w:rFonts w:ascii="Arial" w:cs="Arial" w:eastAsia="Arial" w:hAnsi="Arial"/>
                <w:sz w:val="12"/>
                <w:szCs w:val="12"/>
                <w:color w:val="auto"/>
              </w:rPr>
              <w:t>Distribution from equity investee</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2,538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5920" w:type="dxa"/>
            <w:vAlign w:val="bottom"/>
            <w:shd w:val="clear" w:color="auto" w:fill="CFF0FC"/>
          </w:tcPr>
          <w:p>
            <w:pPr>
              <w:ind w:left="380"/>
              <w:spacing w:after="0"/>
              <w:rPr>
                <w:sz w:val="20"/>
                <w:szCs w:val="20"/>
                <w:color w:val="auto"/>
              </w:rPr>
            </w:pPr>
            <w:r>
              <w:rPr>
                <w:rFonts w:ascii="Arial" w:cs="Arial" w:eastAsia="Arial" w:hAnsi="Arial"/>
                <w:sz w:val="12"/>
                <w:szCs w:val="12"/>
                <w:color w:val="auto"/>
              </w:rPr>
              <w:t>Acquisition of 50% or less owned company</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23,037</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5920" w:type="dxa"/>
            <w:vAlign w:val="bottom"/>
          </w:tcPr>
          <w:p>
            <w:pPr>
              <w:ind w:left="380"/>
              <w:spacing w:after="0"/>
              <w:rPr>
                <w:sz w:val="20"/>
                <w:szCs w:val="20"/>
                <w:color w:val="auto"/>
              </w:rPr>
            </w:pPr>
            <w:r>
              <w:rPr>
                <w:rFonts w:ascii="Arial" w:cs="Arial" w:eastAsia="Arial" w:hAnsi="Arial"/>
                <w:sz w:val="12"/>
                <w:szCs w:val="12"/>
                <w:color w:val="auto"/>
              </w:rPr>
              <w:t>Increase in long-term debt related to an acquisition</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75,569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5920" w:type="dxa"/>
            <w:vAlign w:val="bottom"/>
            <w:shd w:val="clear" w:color="auto" w:fill="CFF0FC"/>
          </w:tcPr>
          <w:p>
            <w:pPr>
              <w:ind w:left="380"/>
              <w:spacing w:after="0"/>
              <w:rPr>
                <w:sz w:val="20"/>
                <w:szCs w:val="20"/>
                <w:color w:val="auto"/>
              </w:rPr>
            </w:pPr>
            <w:r>
              <w:rPr>
                <w:rFonts w:ascii="Arial" w:cs="Arial" w:eastAsia="Arial" w:hAnsi="Arial"/>
                <w:sz w:val="12"/>
                <w:szCs w:val="12"/>
                <w:color w:val="auto"/>
              </w:rPr>
              <w:t>Increase in long-term debt related to asset purchases</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6,500</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21,252</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tcPr>
          <w:p>
            <w:pPr>
              <w:ind w:left="380"/>
              <w:spacing w:after="0"/>
              <w:rPr>
                <w:sz w:val="20"/>
                <w:szCs w:val="20"/>
                <w:color w:val="auto"/>
              </w:rPr>
            </w:pPr>
            <w:r>
              <w:rPr>
                <w:rFonts w:ascii="Arial" w:cs="Arial" w:eastAsia="Arial" w:hAnsi="Arial"/>
                <w:sz w:val="12"/>
                <w:szCs w:val="12"/>
                <w:color w:val="auto"/>
              </w:rPr>
              <w:t>Decrease in debt related to debt settlement</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62,749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5920" w:type="dxa"/>
            <w:vAlign w:val="bottom"/>
            <w:shd w:val="clear" w:color="auto" w:fill="CFF0FC"/>
          </w:tcPr>
          <w:p>
            <w:pPr>
              <w:ind w:left="380"/>
              <w:spacing w:after="0"/>
              <w:rPr>
                <w:sz w:val="20"/>
                <w:szCs w:val="20"/>
                <w:color w:val="auto"/>
              </w:rPr>
            </w:pPr>
            <w:r>
              <w:rPr>
                <w:rFonts w:ascii="Arial" w:cs="Arial" w:eastAsia="Arial" w:hAnsi="Arial"/>
                <w:sz w:val="12"/>
                <w:szCs w:val="12"/>
                <w:color w:val="auto"/>
              </w:rPr>
              <w:t>Increase in capital expenditures in accounts payable and accrued liabilities</w:t>
            </w:r>
          </w:p>
        </w:tc>
        <w:tc>
          <w:tcPr>
            <w:tcW w:w="7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10,379</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3,193</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2,409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920" w:type="dxa"/>
            <w:vAlign w:val="bottom"/>
          </w:tcPr>
          <w:p>
            <w:pPr>
              <w:ind w:left="380"/>
              <w:spacing w:after="0"/>
              <w:rPr>
                <w:sz w:val="20"/>
                <w:szCs w:val="20"/>
                <w:color w:val="auto"/>
              </w:rPr>
            </w:pPr>
            <w:r>
              <w:rPr>
                <w:rFonts w:ascii="Arial" w:cs="Arial" w:eastAsia="Arial" w:hAnsi="Arial"/>
                <w:sz w:val="12"/>
                <w:szCs w:val="12"/>
                <w:color w:val="auto"/>
              </w:rPr>
              <w:t>Recognition of a new right-of-use asset - operating leases</w:t>
            </w: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3,582</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The accompanying notes are an integral part of these consolidated financial statements and should be read in conjunction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760" w:hanging="752"/>
        <w:spacing w:after="0"/>
        <w:tabs>
          <w:tab w:leader="none" w:pos="7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ACCOUNTING POLICIES</w:t>
      </w:r>
    </w:p>
    <w:p>
      <w:pPr>
        <w:spacing w:after="0" w:line="189"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b w:val="1"/>
          <w:bCs w:val="1"/>
          <w:i w:val="1"/>
          <w:iCs w:val="1"/>
          <w:color w:val="auto"/>
        </w:rPr>
        <w:t xml:space="preserve">Nature of Operations and Segmentation. </w:t>
      </w:r>
      <w:r>
        <w:rPr>
          <w:rFonts w:ascii="Arial" w:cs="Arial" w:eastAsia="Arial" w:hAnsi="Arial"/>
          <w:sz w:val="17"/>
          <w:szCs w:val="17"/>
          <w:color w:val="auto"/>
        </w:rPr>
        <w:t>The consolidated financial statements include the accounts of SEACOR Marine and its consolidated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(collectively referred to as the “Company”). The Company provides global marine and support transportation services to offshore oil, natural gas and windfarm facilities worldwide. The Company and its joint ventures operate a diverse fleet of offshore support and specialty vessels that (i) deliver cargo and personnel to offshore installations, (ii) handle anchors and mooring equipment required to tether rigs to the seabed, (iii) tow rigs and assist in placing them on location and moving them between regions, (iv) provide construction, well work-over and decommissioning support and (v) carry and launch equipment used underwater in drilling and well installation, maintenance, inspection and repair. Additionally, the Company’s vessels provide accommodations for technicians and specialists, safety support and emergency response services.</w:t>
      </w:r>
    </w:p>
    <w:p>
      <w:pPr>
        <w:spacing w:after="0" w:line="15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Accounting standards require public business enterprises to report information about each of their operating business segments that exceed certain quantitative thresholds or meet certain other reporting requirements. Operating business segments have been defined as a component of an enterprise about which separate financial information is available and is evaluated regularly by the chief operating decision maker in assessing performance.</w:t>
      </w:r>
    </w:p>
    <w:p>
      <w:pPr>
        <w:spacing w:after="0" w:line="14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Due to the sale of Windcat Workboats Holdings Ltd (“Windcat Workboats”), the Company’s European operations are no longer analyzed by the chief operating decision maker on a standalone basis but rather as part of the Africa and Europe segment. As a result, for purposes of segment reporting European operations are now combined with the Africa segment and reported as a combined segment and prior period information has been conformed to the new consolidated reporting segment. Certain reclassifications of prior period information have been made to conform the current period’s reportable segment presentation as a result of the Company’s presentation of Discontinued Operations (see “Note 20. Discontinued Operations”). In prior periods Africa and Europe were reported as separate segments. The Company has identified the following four principal geographic regions as its reporting segments:</w:t>
      </w:r>
    </w:p>
    <w:p>
      <w:pPr>
        <w:spacing w:after="0" w:line="150"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8"/>
          <w:szCs w:val="18"/>
          <w:b w:val="1"/>
          <w:bCs w:val="1"/>
          <w:color w:val="auto"/>
        </w:rPr>
        <w:t xml:space="preserve">United States, primarily Gulf of Mexico. </w:t>
      </w:r>
      <w:r>
        <w:rPr>
          <w:rFonts w:ascii="Arial" w:cs="Arial" w:eastAsia="Arial" w:hAnsi="Arial"/>
          <w:sz w:val="18"/>
          <w:szCs w:val="18"/>
          <w:color w:val="2E2E2E"/>
        </w:rPr>
        <w:t>As of December 31, 2021, 15 vessels were located in the U.S. Gulf of Mexico, including 12 owned,</w:t>
      </w:r>
      <w:r>
        <w:rPr>
          <w:rFonts w:ascii="Arial" w:cs="Arial" w:eastAsia="Arial" w:hAnsi="Arial"/>
          <w:sz w:val="18"/>
          <w:szCs w:val="18"/>
          <w:b w:val="1"/>
          <w:bCs w:val="1"/>
          <w:color w:val="auto"/>
        </w:rPr>
        <w:t xml:space="preserve"> </w:t>
      </w:r>
      <w:r>
        <w:rPr>
          <w:rFonts w:ascii="Arial" w:cs="Arial" w:eastAsia="Arial" w:hAnsi="Arial"/>
          <w:sz w:val="18"/>
          <w:szCs w:val="18"/>
          <w:color w:val="2E2E2E"/>
        </w:rPr>
        <w:t>two leased-in and one managed-in. The Company’s vessels in this market support deep-water anchor handling, fast cargo transport, general cargo transport, well intervention, work-over, decommissioning and diving support operations.</w:t>
      </w:r>
    </w:p>
    <w:p>
      <w:pPr>
        <w:spacing w:after="0" w:line="137"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8"/>
          <w:szCs w:val="18"/>
          <w:b w:val="1"/>
          <w:bCs w:val="1"/>
          <w:color w:val="auto"/>
        </w:rPr>
        <w:t xml:space="preserve">Africa and Europe, continuing operations. </w:t>
      </w:r>
      <w:r>
        <w:rPr>
          <w:rFonts w:ascii="Arial" w:cs="Arial" w:eastAsia="Arial" w:hAnsi="Arial"/>
          <w:sz w:val="18"/>
          <w:szCs w:val="18"/>
          <w:color w:val="2E2E2E"/>
        </w:rPr>
        <w:t>As of December 31, 2021, 16 vessels were located in Africa and Europe, including 15 owned and</w:t>
      </w:r>
      <w:r>
        <w:rPr>
          <w:rFonts w:ascii="Arial" w:cs="Arial" w:eastAsia="Arial" w:hAnsi="Arial"/>
          <w:sz w:val="18"/>
          <w:szCs w:val="18"/>
          <w:b w:val="1"/>
          <w:bCs w:val="1"/>
          <w:color w:val="auto"/>
        </w:rPr>
        <w:t xml:space="preserve"> </w:t>
      </w:r>
      <w:r>
        <w:rPr>
          <w:rFonts w:ascii="Arial" w:cs="Arial" w:eastAsia="Arial" w:hAnsi="Arial"/>
          <w:sz w:val="18"/>
          <w:szCs w:val="18"/>
          <w:color w:val="2E2E2E"/>
        </w:rPr>
        <w:t>one leased-in. The Company’s vessels in this area generally support projects for major oil companies, primarily in Angola, Nigeria and Congo and supporting oil and gas explorations and production operations in the North Sea.</w:t>
      </w:r>
    </w:p>
    <w:p>
      <w:pPr>
        <w:spacing w:after="0" w:line="120"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b w:val="1"/>
          <w:bCs w:val="1"/>
          <w:color w:val="auto"/>
        </w:rPr>
        <w:t xml:space="preserve">Middle East and Asia. </w:t>
      </w:r>
      <w:r>
        <w:rPr>
          <w:rFonts w:ascii="Arial" w:cs="Arial" w:eastAsia="Arial" w:hAnsi="Arial"/>
          <w:sz w:val="18"/>
          <w:szCs w:val="18"/>
          <w:color w:val="2E2E2E"/>
        </w:rPr>
        <w:t>As of December 31, 2021, 20 owned vessels were located in the Middle East and Asia</w:t>
      </w:r>
      <w:r>
        <w:rPr>
          <w:rFonts w:ascii="Arial" w:cs="Arial" w:eastAsia="Arial" w:hAnsi="Arial"/>
          <w:sz w:val="21"/>
          <w:szCs w:val="2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2E2E2E"/>
        </w:rPr>
        <w:t>The Company’s vessels in this</w:t>
      </w:r>
      <w:r>
        <w:rPr>
          <w:rFonts w:ascii="Arial" w:cs="Arial" w:eastAsia="Arial" w:hAnsi="Arial"/>
          <w:sz w:val="18"/>
          <w:szCs w:val="18"/>
          <w:b w:val="1"/>
          <w:bCs w:val="1"/>
          <w:color w:val="auto"/>
        </w:rPr>
        <w:t xml:space="preserve"> </w:t>
      </w:r>
      <w:r>
        <w:rPr>
          <w:rFonts w:ascii="Arial" w:cs="Arial" w:eastAsia="Arial" w:hAnsi="Arial"/>
          <w:sz w:val="18"/>
          <w:szCs w:val="18"/>
          <w:color w:val="2E2E2E"/>
        </w:rPr>
        <w:t>area generally support exploration, personnel transport and seasonal construction activities in Egypt, Israel and Malaysia and countries along the Arabian Gulf and Arabian Sea, such as Saudi Arabia, the United Arab Emirates and Qatar.</w:t>
      </w:r>
    </w:p>
    <w:p>
      <w:pPr>
        <w:spacing w:after="0" w:line="14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b w:val="1"/>
          <w:bCs w:val="1"/>
          <w:color w:val="auto"/>
        </w:rPr>
        <w:t xml:space="preserve">Latin America. </w:t>
      </w:r>
      <w:r>
        <w:rPr>
          <w:rFonts w:ascii="Arial" w:cs="Arial" w:eastAsia="Arial" w:hAnsi="Arial"/>
          <w:sz w:val="18"/>
          <w:szCs w:val="18"/>
          <w:color w:val="auto"/>
        </w:rPr>
        <w:t>As of December 31, 2021, 30 vessels were located in this region, including 10 owned and 20 joint-ventured. Of these joint-ventured vessels, (i) 16 are owned by Mantenimiento Express Maritimo, S.A.P.I. de C.V. (“MexMar”), a joint venture that is 49% owned by SEACOR Marine International LLC (“SMI”), a wholly owned subsidiary of SEACOR Marine, and 51% owned by subsidiaries of Proyectos Globales de Energía y Servicios CME, S.A. de C.V. (“CME”), and (ii) four are owned by Offshore Vessel Holdings, S.A.P.I. DE. C.V. (“OVH”), a joint venture that is 49% owned by SMI and 51% owned by a subsidiary of CME. These vessels, consisting of a fleet of fast support vessels (“FSVs”), supply, specialty and liftboat vessels, provide support for exploration and production activities in Mexico and Guyana. From time to time, the Company’s vessels also work in Trinidad and Tobago, Brazil and Colombia.</w:t>
      </w:r>
    </w:p>
    <w:p>
      <w:pPr>
        <w:spacing w:after="0" w:line="166"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Basis of Consolidation. </w:t>
      </w:r>
      <w:r>
        <w:rPr>
          <w:rFonts w:ascii="Arial" w:cs="Arial" w:eastAsia="Arial" w:hAnsi="Arial"/>
          <w:sz w:val="18"/>
          <w:szCs w:val="18"/>
          <w:color w:val="auto"/>
        </w:rPr>
        <w:t>The consolidated financial statements include the accounts of SEACOR Marine and its controlled subsidiaries.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generally deemed to exist if the Company has greater than 50% of the voting rights of a subsidiary. All significant intercompany accounts and transactions are eliminated in the combination and consolidation.</w:t>
      </w:r>
    </w:p>
    <w:p>
      <w:pPr>
        <w:spacing w:after="0" w:line="184"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noncontrolling equity investment in the former controlled subsidiary is measured at fair value and a gain or loss is recognized in net income (loss) based on such fair value. If a subsidiary is consolidated upon the business acquisition of controlling interests by the Company, any previous noncontrolled equity investment in the subsidiary is measured at fair value and a gain or loss is recognized in net income (loss) based on such fair value.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both"/>
        <w:ind w:firstLine="749"/>
        <w:spacing w:after="0" w:line="290" w:lineRule="auto"/>
        <w:rPr>
          <w:sz w:val="20"/>
          <w:szCs w:val="20"/>
          <w:color w:val="auto"/>
        </w:rPr>
      </w:pPr>
      <w:r>
        <w:rPr>
          <w:rFonts w:ascii="Arial" w:cs="Arial" w:eastAsia="Arial" w:hAnsi="Arial"/>
          <w:sz w:val="16"/>
          <w:szCs w:val="16"/>
          <w:color w:val="auto"/>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 50% but may control and consolidate the business venture. The Company reports its investments in and advances to these business ventures in the accompanying consolidated balance sheets as investments, at equity, and advances to 50% or less owned companies. The Company reports its share of earnings from investments in 50% or less owned companies in the accompanying consolidated statements of income (loss) as equity in earnings of 50% or less owned companies, net of tax.</w:t>
      </w:r>
    </w:p>
    <w:p>
      <w:pPr>
        <w:spacing w:after="0" w:line="13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Certain reclassifications were made to previously reported amounts in the consolidated financial statements and notes thereto to make them consistent with the current period presentation.</w:t>
      </w:r>
    </w:p>
    <w:p>
      <w:pPr>
        <w:spacing w:after="0" w:line="13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 accepted in the U.S. requires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include those related to deferred revenues, allowance for credit loss accounts, useful lives of property and equipment, impairments, income tax provisions and certain accrued liabilities. Actual results could differ from estimates and those differences may be material.</w:t>
      </w:r>
    </w:p>
    <w:p>
      <w:pPr>
        <w:spacing w:after="0" w:line="136"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The Company contracts with various customers to carry out management services for vessels as agents for and on behalf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ship owners. These services include crew management, technical management, commercial management, insurance arrangements, sale and purchase of vessels, provisions and bunkering. As the manager of the vessels, the Company undertakes to use its best endeavors to provide the agreed management services as agents for and on behalf of the owners in accordance with sound ship management practice and to protect and promote the interest of the owners in all matters relating to the provision of services thereunder. The Company also contracts with various customers to carry out management services regarding engineering for vessel construction and vessel conversions. The vast majority of the ship management agreements span one to three years and are typically billed on a monthly basis. The Company transfers control of the service to the customer and satisfies its performance obligation over the term of the contract, and therefore recognizes revenue over the term of the contract while related costs are expensed as incurred.</w:t>
      </w:r>
    </w:p>
    <w:p>
      <w:pPr>
        <w:spacing w:after="0" w:line="11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Revenue that does not meet these criteria is deferred until the criteria is met and is considered a contract liability and is recognized as such. Contract liabilities, which are included in other current liabilities in the accompanying consolidated balance sheets, for the years ended December 31 were as follows (in thousands):</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Revenues deferred during the year</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8,134</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Revenues recognized and reclassifications during the year</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(3,496)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(3,490)</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(4,706)</w:t>
            </w: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Balance at end of year</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As of December 31, 2021, the Company had deferred revenues of $0.3 million primarily comprised of prepaid charter modification and reservations.</w:t>
      </w:r>
    </w:p>
    <w:p>
      <w:pPr>
        <w:spacing w:after="0" w:line="238"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As of December 31, 2021, the Company recognized previously deferred revenues of $2.0 million of prepaid vessel management fees on completion of a management contract and $1.5 million related to contract completions and certain reclassifications.</w:t>
      </w:r>
    </w:p>
    <w:p>
      <w:pPr>
        <w:spacing w:after="0" w:line="130"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The Company earns revenue primarily from the time charter and bareboat charter of vessels to customers. Since the Company charges customers based upon daily rates of hire,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assumes all risks of operation. In the U.S. Gulf of Mexico, time charter durations and rates are typically established in the context of master service agreements that govern the terms and conditions of the charter. From time to time, the Company may also participate in pooling arrangements. In a pooling arrangement, the time charter revenues of certain of the Company’s vessels are shared with the time charter revenues of certain vessels of similar type owned by non-affiliated vessel owners based upon an agreed formula.</w:t>
      </w:r>
    </w:p>
    <w:p>
      <w:pPr>
        <w:spacing w:after="0" w:line="13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Contract or charter durations may range from several days to several years. Charters vary in length from short-term to multi-year periods, many with cancellation clauses and without early termination penalties. As a result of options and frequent renewals, the stated duration of charters may have little correlation with the length of time the vessel is contracted to provide services to a particular customer.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6" w:name="page87"/>
    <w:bookmarkEnd w:id="86"/>
    <w:p>
      <w:pPr>
        <w:jc w:val="both"/>
        <w:ind w:firstLine="749"/>
        <w:spacing w:after="0" w:line="275" w:lineRule="auto"/>
        <w:rPr>
          <w:sz w:val="20"/>
          <w:szCs w:val="20"/>
          <w:color w:val="auto"/>
        </w:rPr>
      </w:pPr>
      <w:r>
        <w:rPr>
          <w:rFonts w:ascii="Arial" w:cs="Arial" w:eastAsia="Arial" w:hAnsi="Arial"/>
          <w:sz w:val="17"/>
          <w:szCs w:val="17"/>
          <w:b w:val="1"/>
          <w:bCs w:val="1"/>
          <w:i w:val="1"/>
          <w:iCs w:val="1"/>
          <w:color w:val="auto"/>
        </w:rPr>
        <w:t xml:space="preserve">Cash Equivalents. </w:t>
      </w:r>
      <w:r>
        <w:rPr>
          <w:rFonts w:ascii="Arial" w:cs="Arial" w:eastAsia="Arial" w:hAnsi="Arial"/>
          <w:sz w:val="17"/>
          <w:szCs w:val="17"/>
          <w:color w:val="auto"/>
        </w:rPr>
        <w:t>The Company considers all highly liquid investments, with an original maturity of three months or less from the 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purchased, to be cash equivalents. Cash equivalents consist of U.S. treasury securities, money market instruments, time deposits and overnight investments. A portion of the Company’s cash is maintained at a federally insured financial institution. The deposits held at this institution are in excess of federally insured limits. The Company has not experienced any losses in such accounts and management believes that the Company is not exposed to significant credit risk due to the financial position of the depository institution in which those deposits are held.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ind w:left="760"/>
              <w:spacing w:after="0"/>
              <w:rPr>
                <w:sz w:val="20"/>
                <w:szCs w:val="20"/>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Restricted cash primarily relates to banking facility requirements.</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7720" w:type="dxa"/>
            <w:vAlign w:val="bottom"/>
          </w:tcPr>
          <w:p>
            <w:pPr>
              <w:ind w:left="760"/>
              <w:spacing w:after="0"/>
              <w:rPr>
                <w:sz w:val="20"/>
                <w:szCs w:val="20"/>
                <w:color w:val="auto"/>
              </w:rPr>
            </w:pPr>
            <w:r>
              <w:rPr>
                <w:rFonts w:ascii="Arial" w:cs="Arial" w:eastAsia="Arial" w:hAnsi="Arial"/>
                <w:sz w:val="18"/>
                <w:szCs w:val="18"/>
                <w:color w:val="auto"/>
                <w:w w:val="97"/>
              </w:rPr>
              <w:t>For the year ended December 31, cash, cash equivalents and restricted cash consists of:</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7720" w:type="dxa"/>
            <w:vAlign w:val="bottom"/>
            <w:tcBorders>
              <w:bottom w:val="single" w:sz="8" w:color="CFF0FC"/>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4"/>
                <w:szCs w:val="2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0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37,619</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32,666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41,220</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36,018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b w:val="1"/>
          <w:bCs w:val="1"/>
          <w:i w:val="1"/>
          <w:iCs w:val="1"/>
          <w:color w:val="auto"/>
        </w:rPr>
        <w:t xml:space="preserve">Trade and Other Receivables. </w:t>
      </w:r>
      <w:r>
        <w:rPr>
          <w:rFonts w:ascii="Arial" w:cs="Arial" w:eastAsia="Arial" w:hAnsi="Arial"/>
          <w:sz w:val="17"/>
          <w:szCs w:val="17"/>
          <w:color w:val="auto"/>
        </w:rPr>
        <w:t>Customers are primarily major integrated national and international oil companies and large independent oil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natural gas exploration and production companies. Customers are granted credit on a short-term basis and the related credit risks are minimal. Other receivables consist primarily of operating expenses the Company incurs in relation to vessels it manages for other entities, as well as insurance and income tax receivables. The Company routinely reviews its receivables and makes provisions for the credit losses utilizing the Current Expected Credit Losses model (CECL). The CECL model utilizes a lifetime expected credit loss measurement objective for the recognition of credit losses for loans and other receivables at the time the financial asset is originated or acquired. However, those provisions are estimates and actual results may materially differ from those estimates. Trade receivables are deemed uncollectible and are removed from accounts receivable and the allowance for credit losses when collection efforts have been exhausted.</w:t>
      </w:r>
    </w:p>
    <w:p>
      <w:pPr>
        <w:spacing w:after="0" w:line="138"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b w:val="1"/>
          <w:bCs w:val="1"/>
          <w:i w:val="1"/>
          <w:iCs w:val="1"/>
          <w:color w:val="auto"/>
        </w:rPr>
        <w:t xml:space="preserve">Derivative Instruments. </w:t>
      </w:r>
      <w:r>
        <w:rPr>
          <w:rFonts w:ascii="Arial" w:cs="Arial" w:eastAsia="Arial" w:hAnsi="Arial"/>
          <w:sz w:val="16"/>
          <w:szCs w:val="16"/>
          <w:color w:val="auto"/>
        </w:rPr>
        <w:t>The Company accounts for derivatives through the use of a fair value concept whereby all of the Company’s derivative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are stated at fair value in the accompanying consolidated balance sheets. Realized and unrealized gains and losses on derivatives not designated as hedges are reported in the accompanying consolidated statements of income (loss) as Derivative gains (losses), net. Realized and unrealized gains and losses on derivatives designated as fair value hedges are recognized as corresponding increases or decreases in the fair value of the underlying hedged item to the extent they are effective, with any ineffective portion reported in the accompanying consolidated statements of income (loss) as Derivative gains (losses), net, and related cash flows are classified in the same category on the cash flow statement as the cash flows from the items being hedged. Realized and unrealized gains and losses on derivatives designated as cash flow hedges are reported as a component of other comprehensive income (loss) in the accompanying consolidated statements of comprehensive income (loss) to the extent they are effective and reclassified into earnings on the same line item associated with the hedged transaction and in the same period the hedged transaction affects earnings and related cash flows are classified in the same category on the cash flow statement as the cash flows from the items being hedged. Any ineffective portions of cash flow hedges are reported in the accompanying consolidated statements of income (loss) as Derivative gains (losses), net. Realized and unrealized gains and losses on derivatives designated as cash flow hedges that are entered into by the Company’s 50% or less owned companies are also reported as a component of the Company’s other comprehensive income (loss) in proportion to the Company’s ownership percentage, with reclassifications and ineffective portions being included in Equity in earnings of 50% or less owned companies, net of tax, in the accompanying consolidated statements of income (loss).</w:t>
      </w:r>
    </w:p>
    <w:p>
      <w:pPr>
        <w:spacing w:after="0" w:line="14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b w:val="1"/>
          <w:bCs w:val="1"/>
          <w:i w:val="1"/>
          <w:iCs w:val="1"/>
          <w:color w:val="auto"/>
        </w:rPr>
        <w:t xml:space="preserve">Concentrations of Credit Risk. </w:t>
      </w:r>
      <w:r>
        <w:rPr>
          <w:rFonts w:ascii="Arial" w:cs="Arial" w:eastAsia="Arial" w:hAnsi="Arial"/>
          <w:sz w:val="18"/>
          <w:szCs w:val="18"/>
          <w:color w:val="auto"/>
        </w:rPr>
        <w:t>The Company is exposed to concentrations of credit risk associated with its cash and cash equivalents,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derivative instruments. The Company minimizes its credit risk relating to these positions by monitoring the financial condition of the financial institutions and counterparties involved and by primarily conducting business with large, well-established financial institutions and diversifying its counterparties. The Company does not currently anticipate nonperformance by any of its significant counterparties. The Company is also exposed to concentrations of credit risk relating to its receivables due from customers described above. The Company does not generally require collateral or other security to support its outstanding receivables. The Company minimizes its credit risk relating to receivables by performing ongoing credit evaluations and, to date, credit losses have not been material.</w:t>
      </w:r>
    </w:p>
    <w:p>
      <w:pPr>
        <w:spacing w:after="0" w:line="15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which consist of fuel and supplies, are stated at the lower of cost (using the first-in, first-out method) or net realizable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The Company records write-downs, as needed, to adjust the carrying amount of inventories to the lower of cost or net realizable value. In the year ended December 31, 2021, 2020 and 2019, there were no inventory reserves.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7" w:name="page88"/>
    <w:bookmarkEnd w:id="87"/>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Property and Equipment. </w:t>
      </w:r>
      <w:r>
        <w:rPr>
          <w:rFonts w:ascii="Arial" w:cs="Arial" w:eastAsia="Arial" w:hAnsi="Arial"/>
          <w:sz w:val="17"/>
          <w:szCs w:val="17"/>
          <w:color w:val="auto"/>
        </w:rPr>
        <w:t>Equipment, stated at cost, is depreciated using the straight-line method over the estimated useful life of the asset to an estimated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salvage value. With respect to each class of asset, the estimated useful life is based upon a newly built asset being placed into service and represents the time period beyond which it is typically not justifiable for the Company to continue to operate the asset in the same or similar manner. From time to time, the Company may acquire older vessels that have already exceeded the Company’s useful life policy, in which case the Company depreciates such assets based on its best estimate of remaining useful life, typically the next survey or certification date. As of December 31, 2021, the estimated useful life (in years) of the Company’s new Offshore Support Vessels was 20 years.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property and equipment as of December 31 was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Historical</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Net Book</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 xml:space="preserve">Cost </w:t>
            </w:r>
            <w:r>
              <w:rPr>
                <w:rFonts w:ascii="Arial" w:cs="Arial" w:eastAsia="Arial" w:hAnsi="Arial"/>
                <w:sz w:val="15"/>
                <w:szCs w:val="15"/>
                <w:b w:val="1"/>
                <w:bCs w:val="1"/>
                <w:color w:val="auto"/>
              </w:rPr>
              <w:t>(1)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Depreciation</w:t>
            </w:r>
          </w:p>
        </w:tc>
        <w:tc>
          <w:tcPr>
            <w:tcW w:w="2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252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jc w:val="right"/>
              <w:ind w:right="27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1140" w:type="dxa"/>
            <w:vAlign w:val="bottom"/>
            <w:tcBorders>
              <w:top w:val="single" w:sz="8" w:color="auto"/>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CFF0FC"/>
            </w:tcBorders>
          </w:tcPr>
          <w:p>
            <w:pPr>
              <w:spacing w:after="0"/>
              <w:rPr>
                <w:sz w:val="19"/>
                <w:szCs w:val="19"/>
                <w:color w:val="auto"/>
              </w:rPr>
            </w:pPr>
          </w:p>
        </w:tc>
        <w:tc>
          <w:tcPr>
            <w:tcW w:w="1560" w:type="dxa"/>
            <w:vAlign w:val="bottom"/>
            <w:tcBorders>
              <w:top w:val="single" w:sz="8" w:color="auto"/>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1140" w:type="dxa"/>
            <w:vAlign w:val="bottom"/>
            <w:tcBorders>
              <w:top w:val="single" w:sz="8" w:color="auto"/>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Offshore support vessels:</w:t>
            </w:r>
          </w:p>
        </w:tc>
        <w:tc>
          <w:tcPr>
            <w:tcW w:w="3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tcPr>
          <w:p>
            <w:pPr>
              <w:spacing w:after="0"/>
              <w:rPr>
                <w:sz w:val="20"/>
                <w:szCs w:val="20"/>
                <w:color w:val="auto"/>
              </w:rPr>
            </w:pPr>
            <w:r>
              <w:rPr>
                <w:rFonts w:ascii="Arial" w:cs="Arial" w:eastAsia="Arial" w:hAnsi="Arial"/>
                <w:sz w:val="18"/>
                <w:szCs w:val="18"/>
                <w:color w:val="auto"/>
              </w:rPr>
              <w:t>AHTS</w:t>
            </w:r>
            <w:r>
              <w:rPr>
                <w:rFonts w:ascii="Arial" w:cs="Arial" w:eastAsia="Arial" w:hAnsi="Arial"/>
                <w:sz w:val="15"/>
                <w:szCs w:val="15"/>
                <w:color w:val="auto"/>
              </w:rPr>
              <w:t>(2)</w:t>
            </w:r>
          </w:p>
        </w:tc>
        <w:tc>
          <w:tcPr>
            <w:tcW w:w="3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49,632</w:t>
            </w:r>
          </w:p>
        </w:tc>
        <w:tc>
          <w:tcPr>
            <w:tcW w:w="4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(33,200)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FSV</w:t>
            </w:r>
            <w:r>
              <w:rPr>
                <w:rFonts w:ascii="Arial" w:cs="Arial" w:eastAsia="Arial" w:hAnsi="Arial"/>
                <w:sz w:val="15"/>
                <w:szCs w:val="15"/>
                <w:color w:val="auto"/>
              </w:rPr>
              <w:t>(3)</w:t>
            </w:r>
          </w:p>
        </w:tc>
        <w:tc>
          <w:tcPr>
            <w:tcW w:w="3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362,309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(116,878)</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Supply</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282,243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(20,613)</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Specialty</w:t>
            </w:r>
          </w:p>
        </w:tc>
        <w:tc>
          <w:tcPr>
            <w:tcW w:w="3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(3,138)</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 xml:space="preserve">Liftboats </w:t>
            </w:r>
            <w:r>
              <w:rPr>
                <w:rFonts w:ascii="Arial" w:cs="Arial" w:eastAsia="Arial" w:hAnsi="Arial"/>
                <w:sz w:val="15"/>
                <w:szCs w:val="15"/>
                <w:color w:val="auto"/>
              </w:rPr>
              <w:t>(4)</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301,992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(120,823)</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General machinery and spares</w:t>
            </w:r>
          </w:p>
        </w:tc>
        <w:tc>
          <w:tcPr>
            <w:tcW w:w="3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(8,463)</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(5)</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17,131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(14,182)</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Borders>
              <w:top w:val="single" w:sz="8" w:color="CFF0FC"/>
              <w:bottom w:val="single" w:sz="8" w:color="CFF0FC"/>
            </w:tcBorders>
            <w:shd w:val="clear" w:color="auto" w:fill="CFF0FC"/>
          </w:tcPr>
          <w:p>
            <w:pPr>
              <w:spacing w:after="0"/>
              <w:rPr>
                <w:sz w:val="19"/>
                <w:szCs w:val="19"/>
                <w:color w:val="auto"/>
              </w:rPr>
            </w:pPr>
          </w:p>
        </w:tc>
        <w:tc>
          <w:tcPr>
            <w:tcW w:w="36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1,025,284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(317,297)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707,987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540" w:type="dxa"/>
            <w:vAlign w:val="bottom"/>
            <w:vMerge w:val="restart"/>
          </w:tcPr>
          <w:p>
            <w:pPr>
              <w:jc w:val="right"/>
              <w:ind w:right="277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5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Offshore support vessels:</w:t>
            </w:r>
          </w:p>
        </w:tc>
        <w:tc>
          <w:tcPr>
            <w:tcW w:w="3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AHTS</w:t>
            </w:r>
            <w:r>
              <w:rPr>
                <w:rFonts w:ascii="Arial" w:cs="Arial" w:eastAsia="Arial" w:hAnsi="Arial"/>
                <w:sz w:val="15"/>
                <w:szCs w:val="15"/>
                <w:color w:val="auto"/>
              </w:rPr>
              <w:t>(2)</w:t>
            </w:r>
          </w:p>
        </w:tc>
        <w:tc>
          <w:tcPr>
            <w:tcW w:w="3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50,189</w:t>
            </w:r>
          </w:p>
        </w:tc>
        <w:tc>
          <w:tcPr>
            <w:tcW w:w="4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(31,779)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FSV</w:t>
            </w:r>
            <w:r>
              <w:rPr>
                <w:rFonts w:ascii="Arial" w:cs="Arial" w:eastAsia="Arial" w:hAnsi="Arial"/>
                <w:sz w:val="15"/>
                <w:szCs w:val="15"/>
                <w:color w:val="auto"/>
              </w:rPr>
              <w:t>(3)</w:t>
            </w:r>
          </w:p>
        </w:tc>
        <w:tc>
          <w:tcPr>
            <w:tcW w:w="3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375,747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(104,739)</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Supply</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238,624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(15,991)</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Liftboats</w:t>
            </w:r>
          </w:p>
        </w:tc>
        <w:tc>
          <w:tcPr>
            <w:tcW w:w="3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321,751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(117,364)</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204,387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Crew transfer</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(3,138)</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General machinery and spares</w:t>
            </w:r>
          </w:p>
        </w:tc>
        <w:tc>
          <w:tcPr>
            <w:tcW w:w="3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(7,733)</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(5)</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15,653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(10,794)</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Borders>
              <w:top w:val="single" w:sz="8" w:color="CFF0FC"/>
              <w:bottom w:val="single" w:sz="8" w:color="CFF0FC"/>
            </w:tcBorders>
            <w:shd w:val="clear" w:color="auto" w:fill="CFF0FC"/>
          </w:tcPr>
          <w:p>
            <w:pPr>
              <w:spacing w:after="0"/>
              <w:rPr>
                <w:sz w:val="19"/>
                <w:szCs w:val="19"/>
                <w:color w:val="auto"/>
              </w:rPr>
            </w:pPr>
          </w:p>
        </w:tc>
        <w:tc>
          <w:tcPr>
            <w:tcW w:w="35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1,012,873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(291,538)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721,335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760" w:hanging="752"/>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property and equipment acquired in business acquisitions at acquisition date fair value, and net of the impact of recognized impairment charges. Some of the Company’s vessels are pledged as security for certain loans.</w:t>
      </w:r>
    </w:p>
    <w:p>
      <w:pPr>
        <w:ind w:left="760" w:hanging="752"/>
        <w:spacing w:after="0" w:line="221" w:lineRule="auto"/>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Anchor Handling Towing Supply (“AHTS”).</w:t>
      </w:r>
    </w:p>
    <w:p>
      <w:pPr>
        <w:ind w:left="760" w:hanging="752"/>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Fast support vessels (“FSVs”).</w:t>
      </w:r>
    </w:p>
    <w:p>
      <w:pPr>
        <w:spacing w:after="0" w:line="43" w:lineRule="exact"/>
        <w:rPr>
          <w:rFonts w:ascii="Arial" w:cs="Arial" w:eastAsia="Arial" w:hAnsi="Arial"/>
          <w:sz w:val="14"/>
          <w:szCs w:val="14"/>
          <w:color w:val="auto"/>
        </w:rPr>
      </w:pPr>
    </w:p>
    <w:p>
      <w:pPr>
        <w:jc w:val="both"/>
        <w:ind w:left="760" w:hanging="752"/>
        <w:spacing w:after="0" w:line="180" w:lineRule="auto"/>
        <w:tabs>
          <w:tab w:leader="none" w:pos="760" w:val="left"/>
        </w:tabs>
        <w:numPr>
          <w:ilvl w:val="0"/>
          <w:numId w:val="43"/>
        </w:numPr>
        <w:rPr>
          <w:rFonts w:ascii="Arial" w:cs="Arial" w:eastAsia="Arial" w:hAnsi="Arial"/>
          <w:sz w:val="28"/>
          <w:szCs w:val="28"/>
          <w:color w:val="auto"/>
          <w:vertAlign w:val="superscript"/>
        </w:rPr>
      </w:pPr>
      <w:r>
        <w:rPr>
          <w:rFonts w:ascii="Arial" w:cs="Arial" w:eastAsia="Arial" w:hAnsi="Arial"/>
          <w:sz w:val="14"/>
          <w:szCs w:val="14"/>
          <w:color w:val="auto"/>
        </w:rPr>
        <w:t>As of December 31, 2021, the Company classified a liftboat included in the United States, primarily Gulf of Mexico segment, with a carrying value of $0.3 million, as an asset held for sale. In January 2022, in the normal course of business, the Company sold the liftboat for net proceeds of $3.2 million in cash and recorded a gain of $2.7 million after transaction costs of $0.2 million.</w:t>
      </w:r>
    </w:p>
    <w:p>
      <w:pPr>
        <w:spacing w:after="0" w:line="1" w:lineRule="exact"/>
        <w:rPr>
          <w:rFonts w:ascii="Arial" w:cs="Arial" w:eastAsia="Arial" w:hAnsi="Arial"/>
          <w:sz w:val="28"/>
          <w:szCs w:val="28"/>
          <w:color w:val="auto"/>
          <w:vertAlign w:val="superscript"/>
        </w:rPr>
      </w:pPr>
    </w:p>
    <w:p>
      <w:pPr>
        <w:jc w:val="both"/>
        <w:ind w:left="760" w:hanging="752"/>
        <w:spacing w:after="0" w:line="232" w:lineRule="auto"/>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land, buildings, leasehold improvements, vehicles and other property and equipment. As of December 31, 2021, the Company classified a building included in the Middle East and Asia segment, with a carrying value of $2.0 million, as held for sale. In January 2022, the Company sold the building for net proceeds of $2.4 million in cash and recorded a gain of $0.4 million.</w:t>
      </w:r>
    </w:p>
    <w:p>
      <w:pPr>
        <w:spacing w:after="0" w:line="14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 xml:space="preserve">Depreciation and amortization expense totaled $57.4 million, $57.2 million and $57.2 million in 2021, 2020 and 2019, respectively. There was no depreciation and amortization expense from discontinued operations in 2021. Depreciation and amortization from discontinued operations totaled </w:t>
      </w:r>
      <w:r>
        <w:rPr>
          <w:rFonts w:ascii="Arial" w:cs="Arial" w:eastAsia="Arial" w:hAnsi="Arial"/>
          <w:sz w:val="18"/>
          <w:szCs w:val="18"/>
          <w:color w:val="2E2E2E"/>
        </w:rPr>
        <w:t>$</w:t>
      </w:r>
      <w:r>
        <w:rPr>
          <w:rFonts w:ascii="Arial" w:cs="Arial" w:eastAsia="Arial" w:hAnsi="Arial"/>
          <w:sz w:val="18"/>
          <w:szCs w:val="18"/>
          <w:color w:val="auto"/>
        </w:rPr>
        <w:t xml:space="preserve">6.2 </w:t>
      </w:r>
      <w:r>
        <w:rPr>
          <w:rFonts w:ascii="Arial" w:cs="Arial" w:eastAsia="Arial" w:hAnsi="Arial"/>
          <w:sz w:val="18"/>
          <w:szCs w:val="18"/>
          <w:color w:val="2E2E2E"/>
        </w:rPr>
        <w:t>million and $</w:t>
      </w:r>
      <w:r>
        <w:rPr>
          <w:rFonts w:ascii="Arial" w:cs="Arial" w:eastAsia="Arial" w:hAnsi="Arial"/>
          <w:sz w:val="18"/>
          <w:szCs w:val="18"/>
          <w:color w:val="000000"/>
        </w:rPr>
        <w:t>6.8</w:t>
      </w:r>
      <w:r>
        <w:rPr>
          <w:rFonts w:ascii="Arial" w:cs="Arial" w:eastAsia="Arial" w:hAnsi="Arial"/>
          <w:sz w:val="18"/>
          <w:szCs w:val="18"/>
          <w:color w:val="2E2E2E"/>
        </w:rPr>
        <w:t xml:space="preserve"> million in 2020 and 2019, respectively.</w:t>
      </w:r>
    </w:p>
    <w:p>
      <w:pPr>
        <w:spacing w:after="0" w:line="143" w:lineRule="exact"/>
        <w:rPr>
          <w:sz w:val="20"/>
          <w:szCs w:val="20"/>
          <w:color w:val="auto"/>
        </w:rPr>
      </w:pPr>
    </w:p>
    <w:p>
      <w:pPr>
        <w:jc w:val="both"/>
        <w:ind w:right="20" w:firstLine="749"/>
        <w:spacing w:after="0" w:line="377" w:lineRule="auto"/>
        <w:rPr>
          <w:sz w:val="20"/>
          <w:szCs w:val="20"/>
          <w:color w:val="auto"/>
        </w:rPr>
      </w:pPr>
      <w:r>
        <w:rPr>
          <w:rFonts w:ascii="Arial" w:cs="Arial" w:eastAsia="Arial" w:hAnsi="Arial"/>
          <w:sz w:val="16"/>
          <w:szCs w:val="16"/>
          <w:color w:val="auto"/>
        </w:rPr>
        <w:t>On December 2, 2019, the Company completed the sale of its North Sea standby business, comprised of 18 emergency response and rescue vehicles (“ERRVs”) with a net book value of $24.3 million. Depreciation and amortization expense related to these ERRVs totaled $3.5 million in 2019.</w:t>
      </w:r>
    </w:p>
    <w:p>
      <w:pPr>
        <w:spacing w:after="0" w:line="7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equipment, as well as major renewals and improvements to other properties are capitalized.</w:t>
      </w:r>
    </w:p>
    <w:p>
      <w:pPr>
        <w:spacing w:after="0" w:line="143"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color w:val="auto"/>
        </w:rPr>
        <w:t>Certain interest costs incurred during the construction of equipment are capitalized as part of the assets’ carrying values and are amortized over such assets estimated useful lives. Capitalized interest totaled $0.3 million, $0.9 million and $1.5 million in 2021, 2020 and 2019, respectively.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8" w:name="page89"/>
    <w:bookmarkEnd w:id="88"/>
    <w:p>
      <w:pPr>
        <w:jc w:val="both"/>
        <w:ind w:firstLine="749"/>
        <w:spacing w:after="0" w:line="254" w:lineRule="auto"/>
        <w:rPr>
          <w:sz w:val="20"/>
          <w:szCs w:val="20"/>
          <w:color w:val="auto"/>
        </w:rPr>
      </w:pPr>
      <w:r>
        <w:rPr>
          <w:rFonts w:ascii="Arial" w:cs="Arial" w:eastAsia="Arial" w:hAnsi="Arial"/>
          <w:sz w:val="18"/>
          <w:szCs w:val="18"/>
          <w:b w:val="1"/>
          <w:bCs w:val="1"/>
          <w:i w:val="1"/>
          <w:iCs w:val="1"/>
          <w:color w:val="auto"/>
        </w:rPr>
        <w:t xml:space="preserve">Impairment of Long-Lived Assets. </w:t>
      </w:r>
      <w:r>
        <w:rPr>
          <w:rFonts w:ascii="Arial" w:cs="Arial" w:eastAsia="Arial" w:hAnsi="Arial"/>
          <w:sz w:val="18"/>
          <w:szCs w:val="18"/>
          <w:color w:val="auto"/>
        </w:rPr>
        <w:t>The Company performs an impairment analysis of long-lived assets used in operations, including intangible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their estimated future undiscounted cash flows, the estimated fair value of the assets or asset groups are compared to their current carrying values and impairment charges are recorded if the carrying value exceeds fair value.</w:t>
      </w:r>
    </w:p>
    <w:p>
      <w:pPr>
        <w:spacing w:after="0" w:line="168"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As a result of the difficult conditions experienced in the offshore oil and natural gas markets beginning in the second half of 2014 and the corresponding reductions in utilization and rates per day worked of its fleet, the Company identified indicators of impairment and recognized impairment charges primarily associated with its AHTS fleet, its liftboat fleet, certain specialty vessels and vessels removed from service. When reviewing its fleet for impairment, the Company groups vessels with similar operating and marketing characteristics, including cold-stacked vessels expected to return to active service, into vessel classes. All other vessels, including vessels retired and removed from service, are evaluated for impairment on a vessel by vessel basis.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year ended December 31, 2021, the Company did not record an impairment on any owned or leased-in vessels.</w:t>
      </w:r>
    </w:p>
    <w:p>
      <w:pPr>
        <w:spacing w:after="0" w:line="18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During the year ended December 31, 2020, the Company recorded non-cash impairment charges totaling $18.8 million. The Company recorded partial impairments ($5.3 million) on the five-company owned liftboat vessels based on outside valuations of its remaining fleet. Estimated fair values for the Company owned vessels were established by independent appraisers based on researched market information, replacement cost information and other data. In addition, the Company impaired ($7.0 million) on two leased-in liftboat vessels that based on current market environment, were determined that neither of these two leased-in vessels would return to active service during their remaining lease terms. Additionally, one leased-in anchor-handling towing supply (“AHTS”) was impaired ($0.5 million), one specialty vessel was impaired ($1.2 million) and one hull that was included in construction in progress was impaired ($4.8 million).</w:t>
      </w:r>
    </w:p>
    <w:p>
      <w:pPr>
        <w:spacing w:after="0" w:line="16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The Company’s other vessel classes and other individual vessels in active service and cold-stacked status, for which no impairment was deemed necessary, have generally experienced a less severe decline in utilization and rates per day worked based on specific market factors. The market factors include vessels with more general utility to a broad range of customers (e.g., FSVs), vessels required for customers to meet regulatory mandates and operating under multiple year contracts or vessels that service customers outside of the offshore oil and natural gas market.</w:t>
      </w:r>
    </w:p>
    <w:p>
      <w:pPr>
        <w:spacing w:after="0" w:line="131"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For vessel classes and individual vessels with indicators of impairment as of December 31, 2021, the Company estimated that their future undiscounted cash flows exceeded their current carrying values. However, the Company’s estimates of future undiscounted cash flows are highly subjective as utilization and rates per day worked are uncertain, especially in light of the continued volatility in commodity prices and the effect COVID-19 has had on the timing of an estimated market recovery in the offshore oil and natural gas markets and upon any such recovery, the timing and cost of reactivating cold-stacked vessels. If market conditions decline further, changes in the Company’s expectations on future cash flows may result in recognizing additional impairment charges related to its long-lived assets in future periods. For any vessel or vessel class that has indicators of impairment and are deemed not recoverable through future operations, we determine the fair value of the vessel or vessel class. If the fair value determination is less than the carrying value of the vessel or vessel class, an impairment is recognized to reduce the carrying value to fair value. Fair value determination is primarily accomplished by obtaining independent valuations of vessel or vessel classes from qualified third-party appraisers.</w:t>
      </w:r>
    </w:p>
    <w:p>
      <w:pPr>
        <w:spacing w:after="0" w:line="140"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b w:val="1"/>
          <w:bCs w:val="1"/>
          <w:i w:val="1"/>
          <w:iCs w:val="1"/>
          <w:color w:val="auto"/>
        </w:rPr>
        <w:t xml:space="preserve">Impairment of 50% or Less Owned Companies. </w:t>
      </w:r>
      <w:r>
        <w:rPr>
          <w:rFonts w:ascii="Arial" w:cs="Arial" w:eastAsia="Arial" w:hAnsi="Arial"/>
          <w:sz w:val="17"/>
          <w:szCs w:val="17"/>
          <w:color w:val="auto"/>
        </w:rPr>
        <w:t>Investments in 50% or less owned companies are reviewed periodically to assess whether there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 No impairment charges of investments in 50% or less owned companies were incurred for the years ended December 31, 2021, 2020 and 2019.</w:t>
      </w:r>
    </w:p>
    <w:p>
      <w:pPr>
        <w:spacing w:after="0" w:line="154"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b w:val="1"/>
          <w:bCs w:val="1"/>
          <w:i w:val="1"/>
          <w:iCs w:val="1"/>
          <w:color w:val="auto"/>
        </w:rPr>
        <w:t xml:space="preserve">Business Combinations. </w:t>
      </w:r>
      <w:r>
        <w:rPr>
          <w:rFonts w:ascii="Arial" w:cs="Arial" w:eastAsia="Arial" w:hAnsi="Arial"/>
          <w:sz w:val="16"/>
          <w:szCs w:val="16"/>
          <w:color w:val="auto"/>
        </w:rPr>
        <w:t>For acquisitions constituting a business acquisition, the Company recognizes 100% of the fair value of assets acquired,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liabilities assumed, and noncontrolling interests when the acquisition constitutes a change in control of the acquired entity. Shares issued in consideration for a business combination, contingent consideration arrangements and pre-acquisition loss and gain contingencies are all measured and recorded at their acquisition-date fair value. Subsequent changes to fair value of contingent consideration arrangements are generally reflected in earnings. Acquisition-related transaction costs are expensed as incurred and any changes in an acquirer’s existing income tax valuation allowances and tax uncertainty accruals are recorded as an adjustment to income tax expense. The operating results of entities acquired are included in the accompanying consolidated statements of income (loss) from the date of acquisition. If an acquisition of an asset or group of assets does not meet the definition of a business, the transaction is accounted for as an asset acquisition. The assets are measured based on their cost to the Company, including transaction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costs. The acquisition cost is then allocated to the assets acquired based on their relative fair values (see “Note 3. Business Acquisitions”).</w:t>
      </w:r>
    </w:p>
    <w:p>
      <w:pPr>
        <w:spacing w:after="0" w:line="19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b w:val="1"/>
          <w:bCs w:val="1"/>
          <w:i w:val="1"/>
          <w:iCs w:val="1"/>
          <w:color w:val="auto"/>
        </w:rPr>
        <w:t>Debt Discount and Issue Costs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discounts and costs incurred in connection with the issuance of debt are amortized over the life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debt using the effective interest rate method for term loans and straight-line method for revolving credit facilities and are included in interest expense in the accompanying consolidated statements of income (loss).</w:t>
      </w:r>
    </w:p>
    <w:p>
      <w:pPr>
        <w:spacing w:after="0" w:line="13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7"/>
          <w:szCs w:val="17"/>
          <w:b w:val="1"/>
          <w:bCs w:val="1"/>
          <w:i w:val="1"/>
          <w:iCs w:val="1"/>
          <w:color w:val="auto"/>
        </w:rPr>
        <w:t>Self-insurance Liabilities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maintains marine hull, liability and war risk, general liability, workers compensation and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insurance customary in the industry in which it operates. Both the marine hull and liability policies have annual aggregate deductibles. Marine hull annual aggregate deductibles are accrued as claims are incurred while marine liability annual aggregate deductibles are accrued based on historical loss experience. Exposure to the health benefit plans are limited by maintaining stop-loss and aggregate liability coverage. To the extent that estimated self-insurance losses, including the accrual of annual aggregate deductibles, differ from actual losses realized, the Company’s insurance reserves could differ significantly and may result in either higher or lower insurance expense in future periods.</w:t>
      </w:r>
    </w:p>
    <w:p>
      <w:pPr>
        <w:spacing w:after="0" w:line="13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Deferred income tax assets and liabilities have been provided in recognition of the income tax effect attributable to the book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basis differences of assets and liabilities reported in the consolidated financial statements. Deferred tax assets or liabilities are provided using the enacted tax rates expected to apply to taxable income in the periods in which they are expected to be settled or realized. Interest and penalties relating to uncertain tax positions are recognized in interest expense and administrative and general, respectively, in the accompanying consolidated statements of income (loss). The Company records a valuation allowance to reduce its deferred tax assets if it is more likely than not that some portion or all of the deferred tax assets will not be realized.</w:t>
      </w:r>
    </w:p>
    <w:p>
      <w:pPr>
        <w:spacing w:after="0" w:line="164"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The Global Intangible Low Taxed Income (“GILTI”) regime effectively imposes a minimum tax on worldwide foreign earnings and subjects U.S. shareholders of controlled foreign corporations (“CFCs”) to current taxation on certain income earned through a CFC. The Company has made the policy election to record any liability associated with GILTI in the period in which it is incurred.</w:t>
      </w:r>
    </w:p>
    <w:p>
      <w:pPr>
        <w:spacing w:after="0" w:line="143"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SEACOR Marine was included in the consolidated U.S. federal income tax return of SEACOR Holdings Inc. (“SEACOR Holdings”) through 2016. SEACOR Holdings’ policy for allocation of U.S. federal income taxes required its domestic subsidiaries included in the consolidated U.S. federal income tax return to compute their provision for U.S. federal income taxes on a separate company basis and settle with SEACOR Holdings.</w:t>
      </w:r>
    </w:p>
    <w:p>
      <w:pPr>
        <w:spacing w:after="0" w:line="12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In the normal course of business, the Company or SEACOR Holdings may be subject to challenges from tax authorities regarding the amount of taxes due for the Company. These challenges may alter the timing or amount of taxable income or deductions. As part of the calculation of income tax expense, the Company determines whether the benefits of its tax positions are at least more likely than not of being sustained based on the technical merits of the tax position. For tax positions that are more likely than not of being sustained, the Company accrues the largest amount of the tax benefit that is more likely than not of being sustained. Such accruals require management to make estimates and judgments with respect to the ultimate outcome of its tax benefits and actual results could vary materially from these estimates.</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On June 26, 2020, the Company entered into the Tax Refund Agreement with SEACOR Holdings (see “Note 17. Related Party Transactions”).</w:t>
      </w:r>
    </w:p>
    <w:p>
      <w:pPr>
        <w:spacing w:after="0" w:line="244"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b w:val="1"/>
          <w:bCs w:val="1"/>
          <w:i w:val="1"/>
          <w:iCs w:val="1"/>
          <w:color w:val="auto"/>
        </w:rPr>
        <w:t>Deferred Gains - Vessel Sale-Leaseback Transactions and Financed Vessel Sales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the implementation of ASC 842,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entered into vessel sale-leaseback transactions with finance companies or provided seller financing on sales of its vessels to third-parties or to 50% or less owned companies. A portion of the gains realized from these transactions was not immediately recognized in income but rather was recorded in the accompanying consolidated balance sheets in deferred gains and other liabilities. In sale-leaseback transactions, gains were deferred to the extent of the present value of future minimum lease payments and were amortized as reductions to rental expense over the applicable lease terms (see “Note 7. Leases”). When the Company determines that future cash inflows do not support future lease cash obligations, the Company records an impairment expense for the amount of the cash flow shortage of all future lease costs, costs to maintain the vessel to the end of the lease term, and costs to return the vessel to its owner, less the amount of any unamortized deferred gains. In financed vessel sales, gains were deferred to the extent that the repayment of purchase notes were dependent on the future operations of the sold vessels and were amortized based on cash received from the buyers. Unamortized deferred gains for four vessels under sale-leaseback agreements were fully recognized in 2019 as an adjustment to the opening balance of Retained Earnings with the implementation of the new leasing standard (see “Note 7. Leases”). Deferred gain activity related to these transactions that was reclassed to Retained Earnings for the year ended December 31, 2019 was $11.0 million</w:t>
      </w:r>
      <w:r>
        <w:rPr>
          <w:rFonts w:ascii="Arial" w:cs="Arial" w:eastAsia="Arial" w:hAnsi="Arial"/>
          <w:sz w:val="17"/>
          <w:szCs w:val="17"/>
          <w:b w:val="1"/>
          <w:bCs w:val="1"/>
          <w:i w:val="1"/>
          <w:iCs w:val="1"/>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0" w:name="page91"/>
    <w:bookmarkEnd w:id="90"/>
    <w:p>
      <w:pPr>
        <w:jc w:val="both"/>
        <w:ind w:firstLine="749"/>
        <w:spacing w:after="0" w:line="290" w:lineRule="auto"/>
        <w:rPr>
          <w:sz w:val="20"/>
          <w:szCs w:val="20"/>
          <w:color w:val="auto"/>
        </w:rPr>
      </w:pPr>
      <w:r>
        <w:rPr>
          <w:rFonts w:ascii="Arial" w:cs="Arial" w:eastAsia="Arial" w:hAnsi="Arial"/>
          <w:sz w:val="16"/>
          <w:szCs w:val="16"/>
          <w:b w:val="1"/>
          <w:bCs w:val="1"/>
          <w:i w:val="1"/>
          <w:iCs w:val="1"/>
          <w:color w:val="auto"/>
        </w:rPr>
        <w:t xml:space="preserve">Deferred Gains - Vessel Sales to the Company’s 50% or Less Owned Companies. </w:t>
      </w:r>
      <w:r>
        <w:rPr>
          <w:rFonts w:ascii="Arial" w:cs="Arial" w:eastAsia="Arial" w:hAnsi="Arial"/>
          <w:sz w:val="16"/>
          <w:szCs w:val="16"/>
          <w:color w:val="auto"/>
        </w:rPr>
        <w:t>A portion of the gains realized from non-financed sales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vessels to its 50% or less owned companies has been deferred and recorded in the accompanying consolidated balance sheets in deferred gains and other liabilities. In most instances, the sale of a Company vessel to a 50% or less owned company is considered a sale of a business in which the Company relinquishes control to its 50% or less owned company resulting in gain recognition; however, the Company defers gains to the extent of any</w:t>
      </w:r>
    </w:p>
    <w:p>
      <w:pPr>
        <w:spacing w:after="0" w:line="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uncalled capital commitment it has with the 50% or less owned company. The Company no </w:t>
      </w:r>
      <w:r>
        <w:rPr>
          <w:rFonts w:ascii="Arial" w:cs="Arial" w:eastAsia="Arial" w:hAnsi="Arial"/>
          <w:sz w:val="18"/>
          <w:szCs w:val="18"/>
          <w:b w:val="1"/>
          <w:bCs w:val="1"/>
          <w:i w:val="1"/>
          <w:iCs w:val="1"/>
          <w:color w:val="auto"/>
        </w:rPr>
        <w:t>longer had any deferred gains as of the end of 2019. Activity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related to these transactions for the year ended December 31, 2019 was $0.8 million.</w:t>
      </w:r>
    </w:p>
    <w:p>
      <w:pPr>
        <w:spacing w:after="0" w:line="238"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b w:val="1"/>
          <w:bCs w:val="1"/>
          <w:i w:val="1"/>
          <w:iCs w:val="1"/>
          <w:color w:val="auto"/>
        </w:rPr>
        <w:t xml:space="preserve">Foreign Currency Translation. </w:t>
      </w:r>
      <w:r>
        <w:rPr>
          <w:rFonts w:ascii="Arial" w:cs="Arial" w:eastAsia="Arial" w:hAnsi="Arial"/>
          <w:sz w:val="18"/>
          <w:szCs w:val="18"/>
          <w:color w:val="auto"/>
        </w:rPr>
        <w:t>The assets, liabilities and results of operations of certain consolidated subsidiaries are measured using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functional currency, which is the currency of the primary foreign economic environment in which they operate. Upon consolidating these subsidiaries with the Company, their assets and liabilities are translated to U.S. dollars at currency exchange rates as of the consolidated balance sheet dates and their revenues and expenses are translated at the weighted average currency exchange rates during the applicable reporting periods. Translation adjustments resulting from the process of translating these subsidiaries’ financial statements are reported in other comprehensive income in the accompanying consolidated statements of comprehensive income (loss).</w:t>
      </w:r>
    </w:p>
    <w:p>
      <w:pPr>
        <w:spacing w:after="0" w:line="15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b w:val="1"/>
          <w:bCs w:val="1"/>
          <w:i w:val="1"/>
          <w:iCs w:val="1"/>
          <w:color w:val="auto"/>
        </w:rPr>
        <w:t xml:space="preserve">Foreign Currency Transactions. </w:t>
      </w:r>
      <w:r>
        <w:rPr>
          <w:rFonts w:ascii="Arial" w:cs="Arial" w:eastAsia="Arial" w:hAnsi="Arial"/>
          <w:sz w:val="18"/>
          <w:szCs w:val="18"/>
          <w:color w:val="auto"/>
        </w:rPr>
        <w:t>Certain consolidated subsidiaries enter into transactions denominated in currencies other than their functional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Gains and losses resulting from changes in currency exchange rates between the functional currency and the currency in which a transaction is denominated are included in foreign currency losses, net in the accompanying consolidated statements of income (loss) in the period in which the currency exchange rates change.</w:t>
      </w:r>
    </w:p>
    <w:p>
      <w:pPr>
        <w:spacing w:after="0" w:line="16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b w:val="1"/>
          <w:bCs w:val="1"/>
          <w:i w:val="1"/>
          <w:iCs w:val="1"/>
          <w:color w:val="auto"/>
        </w:rPr>
        <w:t xml:space="preserve">Accumulated Other Comprehensive (Loss) Income. </w:t>
      </w:r>
      <w:r>
        <w:rPr>
          <w:rFonts w:ascii="Arial" w:cs="Arial" w:eastAsia="Arial" w:hAnsi="Arial"/>
          <w:sz w:val="18"/>
          <w:szCs w:val="18"/>
          <w:color w:val="auto"/>
        </w:rPr>
        <w:t>The components of accumulated other comprehensive (loss) income were as follows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4"/>
              </w:rPr>
              <w:t>SEACOR Marine Holdings Inc.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7"/>
          </w:tcPr>
          <w:p>
            <w:pPr>
              <w:jc w:val="center"/>
              <w:ind w:left="590"/>
              <w:spacing w:after="0"/>
              <w:rPr>
                <w:sz w:val="20"/>
                <w:szCs w:val="20"/>
                <w:color w:val="auto"/>
              </w:rPr>
            </w:pPr>
            <w:r>
              <w:rPr>
                <w:rFonts w:ascii="Arial" w:cs="Arial" w:eastAsia="Arial" w:hAnsi="Arial"/>
                <w:sz w:val="18"/>
                <w:szCs w:val="18"/>
                <w:b w:val="1"/>
                <w:bCs w:val="1"/>
                <w:color w:val="auto"/>
                <w:w w:val="89"/>
              </w:rPr>
              <w:t>Stockholders' Equity</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6"/>
          </w:tcPr>
          <w:p>
            <w:pPr>
              <w:ind w:left="80"/>
              <w:spacing w:after="0"/>
              <w:rPr>
                <w:sz w:val="20"/>
                <w:szCs w:val="20"/>
                <w:color w:val="auto"/>
              </w:rPr>
            </w:pPr>
            <w:r>
              <w:rPr>
                <w:rFonts w:ascii="Arial" w:cs="Arial" w:eastAsia="Arial" w:hAnsi="Arial"/>
                <w:sz w:val="18"/>
                <w:szCs w:val="18"/>
                <w:b w:val="1"/>
                <w:bCs w:val="1"/>
                <w:color w:val="auto"/>
              </w:rPr>
              <w:t>Noncontrolling Interests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3"/>
          </w:tcPr>
          <w:p>
            <w:pPr>
              <w:jc w:val="center"/>
              <w:ind w:right="140"/>
              <w:spacing w:after="0" w:line="205" w:lineRule="exact"/>
              <w:rPr>
                <w:sz w:val="20"/>
                <w:szCs w:val="20"/>
                <w:color w:val="auto"/>
              </w:rPr>
            </w:pPr>
            <w:r>
              <w:rPr>
                <w:rFonts w:ascii="Arial" w:cs="Arial" w:eastAsia="Arial" w:hAnsi="Arial"/>
                <w:sz w:val="18"/>
                <w:szCs w:val="18"/>
                <w:b w:val="1"/>
                <w:bCs w:val="1"/>
                <w:color w:val="auto"/>
                <w:w w:val="92"/>
              </w:rPr>
              <w:t>Derivative</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Foreign</w:t>
            </w:r>
          </w:p>
        </w:tc>
        <w:tc>
          <w:tcPr>
            <w:tcW w:w="18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Foreign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Derivative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Currency</w:t>
            </w: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5"/>
              </w:rPr>
              <w:t>(Losses) 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Currency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Losses 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Translation</w:t>
            </w: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Cash Flow</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Translation</w:t>
            </w:r>
          </w:p>
        </w:tc>
        <w:tc>
          <w:tcPr>
            <w:tcW w:w="10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Cash Flow</w:t>
            </w:r>
          </w:p>
        </w:tc>
        <w:tc>
          <w:tcPr>
            <w:tcW w:w="2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6"/>
              </w:rPr>
              <w:t>Comprehensive</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p>
        </w:tc>
        <w:tc>
          <w:tcPr>
            <w:tcW w:w="1920" w:type="dxa"/>
            <w:vAlign w:val="bottom"/>
            <w:gridSpan w:val="4"/>
          </w:tcPr>
          <w:p>
            <w:pPr>
              <w:jc w:val="center"/>
              <w:ind w:left="370"/>
              <w:spacing w:after="0"/>
              <w:rPr>
                <w:sz w:val="20"/>
                <w:szCs w:val="20"/>
                <w:color w:val="auto"/>
              </w:rPr>
            </w:pPr>
            <w:r>
              <w:rPr>
                <w:rFonts w:ascii="Arial" w:cs="Arial" w:eastAsia="Arial" w:hAnsi="Arial"/>
                <w:sz w:val="18"/>
                <w:szCs w:val="18"/>
                <w:b w:val="1"/>
                <w:bCs w:val="1"/>
                <w:color w:val="auto"/>
                <w:w w:val="89"/>
              </w:rPr>
              <w:t>Adjustments</w:t>
            </w: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Hedges, net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20"/>
                <w:szCs w:val="20"/>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Hedges, net</w:t>
            </w:r>
          </w:p>
        </w:tc>
        <w:tc>
          <w:tcPr>
            <w:tcW w:w="20" w:type="dxa"/>
            <w:vAlign w:val="bottom"/>
          </w:tcPr>
          <w:p>
            <w:pPr>
              <w:spacing w:after="0"/>
              <w:rPr>
                <w:sz w:val="20"/>
                <w:szCs w:val="20"/>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(Loss) Income</w:t>
            </w:r>
          </w:p>
        </w:tc>
        <w:tc>
          <w:tcPr>
            <w:tcW w:w="0" w:type="dxa"/>
            <w:vAlign w:val="bottom"/>
          </w:tcPr>
          <w:p>
            <w:pPr>
              <w:spacing w:after="0"/>
              <w:rPr>
                <w:sz w:val="1"/>
                <w:szCs w:val="1"/>
                <w:color w:val="auto"/>
              </w:rPr>
            </w:pPr>
          </w:p>
        </w:tc>
      </w:tr>
      <w:tr>
        <w:trPr>
          <w:trHeight w:val="223"/>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December 31, 2018</w:t>
            </w:r>
          </w:p>
        </w:tc>
        <w:tc>
          <w:tcPr>
            <w:tcW w:w="7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(15,472)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(16,788)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Year Ended December 31, 2019</w:t>
            </w:r>
          </w:p>
        </w:tc>
        <w:tc>
          <w:tcPr>
            <w:tcW w:w="7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CFF0FC"/>
            </w:tcBorders>
          </w:tcPr>
          <w:p>
            <w:pPr>
              <w:spacing w:after="0"/>
              <w:rPr>
                <w:sz w:val="22"/>
                <w:szCs w:val="22"/>
                <w:color w:val="auto"/>
              </w:rPr>
            </w:pPr>
          </w:p>
        </w:tc>
        <w:tc>
          <w:tcPr>
            <w:tcW w:w="88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4,685</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CFF0FC"/>
            </w:tcBorders>
          </w:tcPr>
          <w:p>
            <w:pPr>
              <w:spacing w:after="0"/>
              <w:rPr>
                <w:sz w:val="22"/>
                <w:szCs w:val="22"/>
                <w:color w:val="auto"/>
              </w:rPr>
            </w:pPr>
          </w:p>
        </w:tc>
        <w:tc>
          <w:tcPr>
            <w:tcW w:w="82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(3,137)</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CFF0FC"/>
            </w:tcBorders>
          </w:tcPr>
          <w:p>
            <w:pPr>
              <w:spacing w:after="0"/>
              <w:rPr>
                <w:sz w:val="22"/>
                <w:szCs w:val="22"/>
                <w:color w:val="auto"/>
              </w:rPr>
            </w:pPr>
          </w:p>
        </w:tc>
        <w:tc>
          <w:tcPr>
            <w:tcW w:w="80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1,548</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CFF0FC"/>
            </w:tcBorders>
          </w:tcPr>
          <w:p>
            <w:pPr>
              <w:spacing w:after="0"/>
              <w:rPr>
                <w:sz w:val="22"/>
                <w:szCs w:val="22"/>
                <w:color w:val="auto"/>
              </w:rPr>
            </w:pPr>
          </w:p>
        </w:tc>
        <w:tc>
          <w:tcPr>
            <w:tcW w:w="90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(1,445)</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CFF0FC"/>
            </w:tcBorders>
          </w:tcPr>
          <w:p>
            <w:pPr>
              <w:spacing w:after="0"/>
              <w:rPr>
                <w:sz w:val="22"/>
                <w:szCs w:val="22"/>
                <w:color w:val="auto"/>
              </w:rPr>
            </w:pPr>
          </w:p>
        </w:tc>
        <w:tc>
          <w:tcPr>
            <w:tcW w:w="90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18,336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December 31, 2020</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6,797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(4,007)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2,790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8"/>
                <w:szCs w:val="18"/>
                <w:color w:val="auto"/>
              </w:rPr>
              <w:t>Other comprehensive income</w:t>
            </w: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3,986</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1,279</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5,265</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Arial" w:cs="Arial" w:eastAsia="Arial" w:hAnsi="Arial"/>
                <w:sz w:val="18"/>
                <w:szCs w:val="18"/>
                <w:color w:val="auto"/>
              </w:rPr>
              <w:t>Year Ended December 31, 2021</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10,783</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b w:val="1"/>
          <w:bCs w:val="1"/>
          <w:i w:val="1"/>
          <w:iCs w:val="1"/>
          <w:color w:val="auto"/>
        </w:rPr>
        <w:t xml:space="preserve">Earnings (Loss) Per Share. </w:t>
      </w:r>
      <w:r>
        <w:rPr>
          <w:rFonts w:ascii="Arial" w:cs="Arial" w:eastAsia="Arial" w:hAnsi="Arial"/>
          <w:sz w:val="17"/>
          <w:szCs w:val="17"/>
          <w:color w:val="auto"/>
        </w:rPr>
        <w:t>Basic earnings/loss per share of Common Stock of the Company is computed based on the weighted average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Common Stock and warrants to purchase Common Stock at an exercise price of $0.01 per share (“Warrant”) issued and outstanding during the relevant periods. The Warrants are included in the basic earnings/loss per share of Common Stock because the shares issuable upon exercise of the Warrants are issuable for de minimis cash consideration and therefore not anti-dilutive. Diluted earnings/loss per share of Common Stock is computed based on the weighted average number of shares of Common Stock and Warrants issued and outstanding plus the effect of other potentially dilutive securities through the application of the treasury stock method and the if-converted method that assumes all shares of Common Stock have been issued and outstanding during the relevant periods pursuant to the conversion of the Convertible Senior Notes (as defined). For the years ended December 31, 2021, 2020 and 2019, diluted earnings (loss) per common share of the Company excluded 1,439,483 shares, 1,488,292 shares, and 1,826,966 shares, respectively, issuable upon the conversion of the Convertible Senior Notes as the effect of their inclusion in the computation would be anti-dilutive. In addition, for the years ended December 31, 2021, 2020 and 2019, diluted earnings (loss) per common share of the Company excluded 1,112,256 shares, 436,714 shares and 303,609 shares, respectively, of restricted stock and 1,061,357, 1,120,541 and 913,569 outstanding stock options as the effect of their inclusion in the computation would be anti-dilutive. In addition, for the year ended December 31, 2021, diluted earnings per share of Common Stock of the Company included 50,834 shares of restricted stock as the effect of their inclusion in the computation is dilutive, with no related income effect. In 2021, 2020 and 2019, the Company issued 157,455, 149,200, and 109,600 performance share awards, of which 354,964 were still outstanding as of December 31, 2021. These performance share awards are not considered outstanding until such time as they would be probable of being exercised, therefore they were not included in the computation of earnings (loss) per share.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1" w:name="page92"/>
    <w:bookmarkEnd w:id="91"/>
    <w:p>
      <w:pPr>
        <w:jc w:val="both"/>
        <w:ind w:firstLine="749"/>
        <w:spacing w:after="0" w:line="259" w:lineRule="auto"/>
        <w:rPr>
          <w:sz w:val="20"/>
          <w:szCs w:val="20"/>
          <w:color w:val="auto"/>
        </w:rPr>
      </w:pPr>
      <w:r>
        <w:rPr>
          <w:rFonts w:ascii="Arial" w:cs="Arial" w:eastAsia="Arial" w:hAnsi="Arial"/>
          <w:sz w:val="18"/>
          <w:szCs w:val="18"/>
          <w:b w:val="1"/>
          <w:bCs w:val="1"/>
          <w:i w:val="1"/>
          <w:iCs w:val="1"/>
          <w:color w:val="auto"/>
        </w:rPr>
        <w:t xml:space="preserve">Recently Adopted Accounting Standards. </w:t>
      </w:r>
      <w:r>
        <w:rPr>
          <w:rFonts w:ascii="Arial" w:cs="Arial" w:eastAsia="Arial" w:hAnsi="Arial"/>
          <w:sz w:val="18"/>
          <w:szCs w:val="18"/>
          <w:color w:val="auto"/>
        </w:rPr>
        <w:t>On October 29, 2020, the FASB issued ASU 2020-10, Codification Improvements: Amendments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 the consistency of the Codification by including all disclosure guidance in the appropriate Disclosure section. The guidance was effective for annual periods beginning after December 15, 2020, and interim periods within the annual periods beginning after December 15, 2022. The adoption of the standard did not have a material effect on the disclosures included herein.</w:t>
      </w:r>
    </w:p>
    <w:p>
      <w:pPr>
        <w:spacing w:after="0" w:line="160"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On February 25, 2016, the FASB issued a comprehensive new leasing standard meant to improve transparency and comparability among companies by requiring lessees to recognize a lease liability and a corresponding lease asset for virtually all lease contracts. It also requires additional disclosures about leasing arrangements. The Company adopted the new standard on January 1, 2019 and applied the transition provisions of the new standard at its adoption date with recognition of a cumulative-effect adjustment to the opening balance of retained earnings. The adoption of the new standard had a material impact on the Company’s consolidated financial position, results of operations and cash flows. The adjustment to the Company’s balance sheet on January 1, 2019 included the addition of $33.7 million of right-of-use assets, $31.9 million in lease liability, and a cumulative-effect adjustment to the opening balance of retained earnings of $1.7 million for certain of its equipment, office and land leases. In addition, unamortized deferred gains for four vessels leased under sale-leaseback arrangements were fully recognized as an adjustment to the opening balance of retained earnings of $8.7 million, net of tax, ($11.0 million deferred gains net of $2.3 million deferred taxes).</w:t>
      </w:r>
    </w:p>
    <w:p>
      <w:pPr>
        <w:spacing w:after="0" w:line="14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 xml:space="preserve">On August 28,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This new guidance modifies the disclosure requirements related to fair value measurement. The new guidance is effective for fiscal years beginning after December 15, 2019. The effects of this standard on our financial position or reporting was not material.</w:t>
      </w:r>
    </w:p>
    <w:p>
      <w:pPr>
        <w:spacing w:after="0" w:line="14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 xml:space="preserve">On August 29, 2018, the FASB issued ASU No. 2018-15, </w:t>
      </w:r>
      <w:r>
        <w:rPr>
          <w:rFonts w:ascii="Arial" w:cs="Arial" w:eastAsia="Arial" w:hAnsi="Arial"/>
          <w:sz w:val="17"/>
          <w:szCs w:val="17"/>
          <w:i w:val="1"/>
          <w:iCs w:val="1"/>
          <w:color w:val="auto"/>
        </w:rPr>
        <w:t>Intangibles-Goodwill and Other-Internal-Use Software (Subtopic 350-40)</w:t>
      </w:r>
      <w:r>
        <w:rPr>
          <w:rFonts w:ascii="Arial" w:cs="Arial" w:eastAsia="Arial" w:hAnsi="Arial"/>
          <w:sz w:val="17"/>
          <w:szCs w:val="17"/>
          <w:color w:val="auto"/>
        </w:rPr>
        <w:t>. The new guidance reduces complexity for the accounting for costs of implementing a cloud computing service arrangement and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For public companies, the amendments in this ASU are effective for fiscal years, and interim periods within those fiscal years beginning after December 15, 2019. The effects of this standard on our financial position, results of operations or cash flows was not material.</w:t>
      </w:r>
    </w:p>
    <w:p>
      <w:pPr>
        <w:spacing w:after="0" w:line="15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On June 30, 2016, the FASB issued ASU No. 2016-13, Financial Instruments-Credit Losses (Topic 326). This ASU represents a significant change in the Accounting for Credit Losses. The ASU introduced a new accounting model, the Current Expected Credit Losses model (CECL), which required earlier recognition of credit losses and additional disclosures related to credit risk. The CECL model utilizes a lifetime expected credit loss measurement objective for the recognition of credit losses for loans and other receivables at the time the financial asset is originated or acquired. The expected credit losses are adjusted each period for changes in expected lifetime credit losses. This model replaced the multiple existing impairment models in prior U.S. GAAP, which generally required that a loss be incurred before it is recognized. The standard applies to financial assets arising from revenue transactions such as contract assets and accounts receivables. Management implemented the new standard in 2020 and it did not have a material impact on the consolidated financial statements.</w:t>
      </w:r>
    </w:p>
    <w:p>
      <w:pPr>
        <w:spacing w:after="0" w:line="151"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7"/>
          <w:szCs w:val="17"/>
          <w:color w:val="auto"/>
        </w:rPr>
        <w:t>On December 18, 2019, the FASB issued ASU 2019-12, Income Taxes (Topic 740): Simplifying the Accounting for Income Taxes. The guidance is effective for fiscal years, and interim periods within those fiscal years, beginning after December 15, 2020. The adoption of the standard by the Company did not have a material impact on its consolidated financial position or on its results of operations and cash flows</w:t>
      </w:r>
      <w:r>
        <w:rPr>
          <w:rFonts w:ascii="Arial" w:cs="Arial" w:eastAsia="Arial" w:hAnsi="Arial"/>
          <w:sz w:val="20"/>
          <w:szCs w:val="20"/>
          <w:color w:val="auto"/>
        </w:rPr>
        <w:t>.</w:t>
      </w:r>
    </w:p>
    <w:p>
      <w:pPr>
        <w:spacing w:after="0" w:line="11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b w:val="1"/>
          <w:bCs w:val="1"/>
          <w:i w:val="1"/>
          <w:iCs w:val="1"/>
          <w:color w:val="auto"/>
        </w:rPr>
        <w:t xml:space="preserve">Recently Issued Accounting Standards. </w:t>
      </w:r>
      <w:r>
        <w:rPr>
          <w:rFonts w:ascii="Arial" w:cs="Arial" w:eastAsia="Arial" w:hAnsi="Arial"/>
          <w:sz w:val="18"/>
          <w:szCs w:val="18"/>
          <w:color w:val="auto"/>
        </w:rPr>
        <w:t>On August 5, 2020, the FASB issued ASU 2020-06, Debt – Debt with Conversion and Other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(Subtopic 470-20) and Derivatives and Hedging – Contracts in Entity’s Own Equity (Subtopic 815-40): Accounting for Convertible Instruments and Contracts in an Entity’s Own Equity, which simplifies the accounting for certain financial instruments with characteristics of liabilities and equity, including convertible instruments and contracts on an entity’s own equity. The guidance is effective for fiscal years, and interim periods within those fiscal years, beginning after December 15, 2021. While early adoption is permitted, the Company has determined it will not early adopt the standards. The Company has not yet determined the impact that the adoption of the standard will have on the Company’s consolidated financial position, results of operations and disclosures.</w:t>
      </w:r>
    </w:p>
    <w:p>
      <w:pPr>
        <w:spacing w:after="0" w:line="168"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On March 12, 2020, the FASB issued ASU 2020-04, Reference Rate Reform (Topic 848): Facilitation of the Effects of Reference Rate Reform on Financial Reporting, which provides temporary optional guidance to ease the potential burden in accounting for reference rate reform. The new guidance provides optional expedients and exceptions for applying generally accepted accounting principles to contract modifications and hedging relationships, subject to meeting certain criteria, that reference LIBOR or another reference rate expected to be discontinued. The ASU is intended to help stakeholders during the global market-wide reference rate transition period. Therefore, it will be in effect for a limited time through December 31, 2022. As of December 31, 2021, the reference rates for the Company’s existing debt and interest rate swaps have not changed as a result of any such amendment. The Company will continue to monitor changes to reference rates in applicable agreements and adopt the standard as needed.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2" w:name="page93"/>
    <w:bookmarkEnd w:id="92"/>
    <w:p>
      <w:pPr>
        <w:ind w:left="760" w:hanging="752"/>
        <w:spacing w:after="0"/>
        <w:tabs>
          <w:tab w:leader="none" w:pos="7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TRANSFORMATION, FACILITY RESTRUCTURING AND SEVERANCE CHARGES</w:t>
      </w:r>
    </w:p>
    <w:p>
      <w:pPr>
        <w:spacing w:after="0" w:line="189" w:lineRule="exact"/>
        <w:rPr>
          <w:sz w:val="20"/>
          <w:szCs w:val="20"/>
          <w:color w:val="auto"/>
        </w:rPr>
      </w:pPr>
    </w:p>
    <w:p>
      <w:pPr>
        <w:jc w:val="both"/>
        <w:ind w:right="20" w:firstLine="749"/>
        <w:spacing w:after="0" w:line="279" w:lineRule="auto"/>
        <w:rPr>
          <w:sz w:val="20"/>
          <w:szCs w:val="20"/>
          <w:color w:val="auto"/>
        </w:rPr>
      </w:pPr>
      <w:r>
        <w:rPr>
          <w:rFonts w:ascii="Arial" w:cs="Arial" w:eastAsia="Arial" w:hAnsi="Arial"/>
          <w:sz w:val="17"/>
          <w:szCs w:val="17"/>
          <w:color w:val="auto"/>
        </w:rPr>
        <w:t>Due to the highly competitive nature of the Company’s business and the continuing losses incurred over the last few years, the Company reduced its overall cost structure and workforce to better align the Company with current activity levels. The transformation plan, which began in the third quarter of 2019 and extended through the third quarter of 2020 (the “Transformation Plan”), included a workforce reduction, organization restructuring, facility consolidations and other cost reduction measures and efficiency initiatives across the Company’s geographic regions.</w:t>
      </w:r>
    </w:p>
    <w:p>
      <w:pPr>
        <w:spacing w:after="0" w:line="171"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The Transformation Plan was completed during the third quarter of 2020. No material future costs related to these efforts are expected, but to the extent the Company identifies additional opportunities for further costs reductions beyond the Transformation Plan, these opportunities may give rise to restructuring charges. On a cumulative basis, the Company recognized $4.9 million in restructuring charges. During the year ended December 31, 2021, the Company did not recognize any restructuring charges and had no accrued liabilities associated with the Transformation Plan.</w:t>
      </w:r>
    </w:p>
    <w:p>
      <w:pPr>
        <w:spacing w:after="0" w:line="13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In connection with the Transformation Plan, for the twelve months ended December 31, 2020, the Company recognized year-to-date restructuring and transformation charges of $1.2 million, which includes severance charges of $1.1 million and other restructuring charges of $0.1 million. Other restructuring charges included contract termination costs, relocation and other associated costs. The restructuring and transformation charges are reflected in the Company’s general and administrative expense.</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components of restructuring charges for the years ended December 31, 2020 and 2019, were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December 31, 2020</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5"/>
              </w:rPr>
              <w:t>Africa and</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United States</w:t>
            </w: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Europe,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3140" w:type="dxa"/>
            <w:vAlign w:val="bottom"/>
            <w:gridSpan w:val="4"/>
          </w:tcPr>
          <w:p>
            <w:pPr>
              <w:jc w:val="center"/>
              <w:ind w:left="1430"/>
              <w:spacing w:after="0"/>
              <w:rPr>
                <w:sz w:val="20"/>
                <w:szCs w:val="20"/>
                <w:color w:val="auto"/>
              </w:rPr>
            </w:pPr>
            <w:r>
              <w:rPr>
                <w:rFonts w:ascii="Arial" w:cs="Arial" w:eastAsia="Arial" w:hAnsi="Arial"/>
                <w:sz w:val="18"/>
                <w:szCs w:val="18"/>
                <w:b w:val="1"/>
                <w:bCs w:val="1"/>
                <w:color w:val="auto"/>
                <w:w w:val="95"/>
              </w:rPr>
              <w:t>(primarily Gulf</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Continuing</w:t>
            </w: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Middle East</w:t>
            </w: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Latin</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of Mexico)</w:t>
            </w: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Operations</w:t>
            </w: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and Asia</w:t>
            </w:r>
          </w:p>
        </w:tc>
        <w:tc>
          <w:tcPr>
            <w:tcW w:w="12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America</w:t>
            </w:r>
          </w:p>
        </w:tc>
        <w:tc>
          <w:tcPr>
            <w:tcW w:w="18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Transformation Plan</w:t>
            </w:r>
          </w:p>
        </w:tc>
        <w:tc>
          <w:tcPr>
            <w:tcW w:w="17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60"/>
              <w:spacing w:after="0"/>
              <w:rPr>
                <w:sz w:val="20"/>
                <w:szCs w:val="20"/>
                <w:color w:val="auto"/>
              </w:rPr>
            </w:pPr>
            <w:r>
              <w:rPr>
                <w:rFonts w:ascii="Arial" w:cs="Arial" w:eastAsia="Arial" w:hAnsi="Arial"/>
                <w:sz w:val="18"/>
                <w:szCs w:val="18"/>
                <w:color w:val="auto"/>
              </w:rPr>
              <w:t>Severance Charges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Charges</w:t>
            </w: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500"/>
              <w:spacing w:after="0"/>
              <w:rPr>
                <w:sz w:val="20"/>
                <w:szCs w:val="20"/>
                <w:color w:val="auto"/>
              </w:rPr>
            </w:pPr>
            <w:r>
              <w:rPr>
                <w:rFonts w:ascii="Arial" w:cs="Arial" w:eastAsia="Arial" w:hAnsi="Arial"/>
                <w:sz w:val="18"/>
                <w:szCs w:val="18"/>
                <w:color w:val="auto"/>
              </w:rPr>
              <w:t>Total Charges</w:t>
            </w:r>
          </w:p>
        </w:tc>
        <w:tc>
          <w:tcPr>
            <w:tcW w:w="17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December 31, 2019</w:t>
            </w:r>
          </w:p>
        </w:tc>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4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5"/>
              </w:rPr>
              <w:t>Africa and</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United States</w:t>
            </w: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Europe,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3140" w:type="dxa"/>
            <w:vAlign w:val="bottom"/>
            <w:gridSpan w:val="4"/>
          </w:tcPr>
          <w:p>
            <w:pPr>
              <w:jc w:val="center"/>
              <w:ind w:left="1430"/>
              <w:spacing w:after="0"/>
              <w:rPr>
                <w:sz w:val="20"/>
                <w:szCs w:val="20"/>
                <w:color w:val="auto"/>
              </w:rPr>
            </w:pPr>
            <w:r>
              <w:rPr>
                <w:rFonts w:ascii="Arial" w:cs="Arial" w:eastAsia="Arial" w:hAnsi="Arial"/>
                <w:sz w:val="18"/>
                <w:szCs w:val="18"/>
                <w:b w:val="1"/>
                <w:bCs w:val="1"/>
                <w:color w:val="auto"/>
                <w:w w:val="95"/>
              </w:rPr>
              <w:t>(primarily Gulf</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Continuing</w:t>
            </w: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Middle East</w:t>
            </w: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Latin</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of Mexico)</w:t>
            </w: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Operations</w:t>
            </w: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and Asia</w:t>
            </w:r>
          </w:p>
        </w:tc>
        <w:tc>
          <w:tcPr>
            <w:tcW w:w="12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America</w:t>
            </w:r>
          </w:p>
        </w:tc>
        <w:tc>
          <w:tcPr>
            <w:tcW w:w="18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Transformation Plan</w:t>
            </w:r>
          </w:p>
        </w:tc>
        <w:tc>
          <w:tcPr>
            <w:tcW w:w="17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60"/>
              <w:spacing w:after="0"/>
              <w:rPr>
                <w:sz w:val="20"/>
                <w:szCs w:val="20"/>
                <w:color w:val="auto"/>
              </w:rPr>
            </w:pPr>
            <w:r>
              <w:rPr>
                <w:rFonts w:ascii="Arial" w:cs="Arial" w:eastAsia="Arial" w:hAnsi="Arial"/>
                <w:sz w:val="18"/>
                <w:szCs w:val="18"/>
                <w:color w:val="auto"/>
              </w:rPr>
              <w:t>Severance Charges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2,995</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Charges</w:t>
            </w: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500"/>
              <w:spacing w:after="0"/>
              <w:rPr>
                <w:sz w:val="20"/>
                <w:szCs w:val="20"/>
                <w:color w:val="auto"/>
              </w:rPr>
            </w:pPr>
            <w:r>
              <w:rPr>
                <w:rFonts w:ascii="Arial" w:cs="Arial" w:eastAsia="Arial" w:hAnsi="Arial"/>
                <w:sz w:val="18"/>
                <w:szCs w:val="18"/>
                <w:color w:val="auto"/>
              </w:rPr>
              <w:t>Total Charges</w:t>
            </w:r>
          </w:p>
        </w:tc>
        <w:tc>
          <w:tcPr>
            <w:tcW w:w="17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3,302</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severance and other restructuring charges gave rise to certain liabilities primarily related to liabilities accrued as part of the Transformation Plan. As of December 31, 2020, all related liabilities associated with the Transformation Plan have been recognized.</w:t>
      </w:r>
    </w:p>
    <w:p>
      <w:pPr>
        <w:spacing w:after="0" w:line="180" w:lineRule="exact"/>
        <w:rPr>
          <w:sz w:val="20"/>
          <w:szCs w:val="20"/>
          <w:color w:val="auto"/>
        </w:rPr>
      </w:pPr>
    </w:p>
    <w:p>
      <w:pPr>
        <w:ind w:left="760" w:hanging="752"/>
        <w:spacing w:after="0"/>
        <w:tabs>
          <w:tab w:leader="none" w:pos="7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w:t>
      </w:r>
    </w:p>
    <w:p>
      <w:pPr>
        <w:spacing w:after="0" w:line="229"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SEACOR OSV PARTNERS I LP., a Delaware limited partnership (“OSV Partners I”), was a joint venture that owned and operated five PSVs for which the Company acted as one of the general partners and also held a limited partnership interest in. On December 31, 2021, pursuant an agreement and plan of merger (the “Merger Agreement”) among SEACOR Marine Holdings Inc. (“SEACOR Marine”), SEACOR Offshore OSV LLC, a Delaware limited liability company and an indirect wholly-owned subsidiary of SEACOR Marine (“SEACOR Offshore OSV”) and OSV PARTNERS I, OSV Partners I merged with and into SEACOR Offshore OSV with SEACOR Offshore OSV surviving the merger (the “Merger”).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ind w:left="760"/>
        <w:spacing w:after="0"/>
        <w:rPr>
          <w:sz w:val="20"/>
          <w:szCs w:val="20"/>
          <w:color w:val="auto"/>
        </w:rPr>
      </w:pPr>
      <w:r>
        <w:rPr>
          <w:rFonts w:ascii="Arial" w:cs="Arial" w:eastAsia="Arial" w:hAnsi="Arial"/>
          <w:sz w:val="17"/>
          <w:szCs w:val="17"/>
          <w:color w:val="auto"/>
        </w:rPr>
        <w:t>In connection with the consummation of the Merger, the Company issued an aggregate of 1,567,935 shares of Common Stock, as follows:</w:t>
      </w:r>
    </w:p>
    <w:p>
      <w:pPr>
        <w:spacing w:after="0" w:line="237" w:lineRule="exact"/>
        <w:rPr>
          <w:sz w:val="20"/>
          <w:szCs w:val="20"/>
          <w:color w:val="auto"/>
        </w:rPr>
      </w:pPr>
    </w:p>
    <w:p>
      <w:pPr>
        <w:ind w:left="1500" w:hanging="750"/>
        <w:spacing w:after="0" w:line="277" w:lineRule="auto"/>
        <w:tabs>
          <w:tab w:leader="none" w:pos="1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531,872 shares of Common Stock as consideration for the Merger paid to OSV Partners I’s limited partners (other than the Company and its subsidiaries), and</w:t>
      </w:r>
    </w:p>
    <w:p>
      <w:pPr>
        <w:spacing w:after="0" w:line="170" w:lineRule="exact"/>
        <w:rPr>
          <w:rFonts w:ascii="Arial" w:cs="Arial" w:eastAsia="Arial" w:hAnsi="Arial"/>
          <w:sz w:val="18"/>
          <w:szCs w:val="18"/>
          <w:color w:val="auto"/>
        </w:rPr>
      </w:pPr>
    </w:p>
    <w:p>
      <w:pPr>
        <w:jc w:val="both"/>
        <w:ind w:left="1500" w:hanging="750"/>
        <w:spacing w:after="0" w:line="263" w:lineRule="auto"/>
        <w:tabs>
          <w:tab w:leader="none" w:pos="1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1,036,063 shares of Common Stock as payment to settle all amounts and other obligations outstanding under the Subordinated PIK Loan Agreement, dated September 28, 2018 (as amended on December 22, 2021, the “PIK Loan Agreement”) and paid to the former lenders thereunder (all of whom were limited partners of OSV Partners I).</w:t>
      </w:r>
    </w:p>
    <w:p>
      <w:pPr>
        <w:spacing w:after="0" w:line="18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In connection with the Merger, SEACOR Marine and SEACOR Offshore OSV assumed and guaranteed approximately $18.1 million of OSV Partners I’s third-party indebtedness outstanding under the amended and restated senior secured term loan credit facility agreement dated as of September 28, 2018 (as amended, restated, amended and restated or otherwise modified, the “OSV Credit Facility”), by and among OSV Partners I and lenders and other parties thereto. The OSV Credit Facility requires quarterly principal payments of $0.5 million. Interest accrues under the OSV Credit Facility at a rate of Term SOFR (as defined in the OSV Credit Facility) plus 4.68% plus Mandatory Costs (as defined in the OSV Credit Facility), if applicable. The OSV Credit Facility matures on December 31, 2023 and may be accelerated upon the occurrence of an event of default.</w:t>
      </w:r>
    </w:p>
    <w:p>
      <w:pPr>
        <w:spacing w:after="0" w:line="13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As a result of the Merger, the five 201’, 1,900 tons deadweight capacity, PSVs owned by OSV Partners I are now 100% owned by the Company, bringing the Company’s owned PSV fleet to 20. Of the five PSVs previously owned by OSV Partners I, three are U.S. flagged and currently located in the Gulf of Mexico, and two are Marshall Island flagged and currently located in the Middle East. As of December 31, 2021, these five PSVs have an average age of seven years. In accordance with ASU No. 2017-01-Business Combinations (Topic 805): Clarifying the Definition of a Business, this acquisition was accounted for as an asset purchase. The allocation of the purchase price for the Company’s acquired assets and liabilities as of December 31 was as follows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0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Assets Acquired (In Thousands):</w:t>
            </w:r>
          </w:p>
        </w:tc>
        <w:tc>
          <w:tcPr>
            <w:tcW w:w="33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r>
      <w:tr>
        <w:trPr>
          <w:trHeight w:val="213"/>
        </w:trPr>
        <w:tc>
          <w:tcPr>
            <w:tcW w:w="5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Assets</w:t>
            </w:r>
          </w:p>
        </w:tc>
        <w:tc>
          <w:tcPr>
            <w:tcW w:w="37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6,181</w:t>
            </w:r>
          </w:p>
        </w:tc>
        <w:tc>
          <w:tcPr>
            <w:tcW w:w="100" w:type="dxa"/>
            <w:vAlign w:val="bottom"/>
            <w:shd w:val="clear" w:color="auto" w:fill="CFF0FC"/>
          </w:tcPr>
          <w:p>
            <w:pPr>
              <w:spacing w:after="0"/>
              <w:rPr>
                <w:sz w:val="18"/>
                <w:szCs w:val="18"/>
                <w:color w:val="auto"/>
              </w:rPr>
            </w:pPr>
          </w:p>
        </w:tc>
      </w:tr>
      <w:tr>
        <w:trPr>
          <w:trHeight w:val="213"/>
        </w:trPr>
        <w:tc>
          <w:tcPr>
            <w:tcW w:w="5900" w:type="dxa"/>
            <w:vAlign w:val="bottom"/>
          </w:tcPr>
          <w:p>
            <w:pPr>
              <w:ind w:left="260"/>
              <w:spacing w:after="0"/>
              <w:rPr>
                <w:sz w:val="20"/>
                <w:szCs w:val="20"/>
                <w:color w:val="auto"/>
              </w:rPr>
            </w:pPr>
            <w:r>
              <w:rPr>
                <w:rFonts w:ascii="Arial" w:cs="Arial" w:eastAsia="Arial" w:hAnsi="Arial"/>
                <w:sz w:val="16"/>
                <w:szCs w:val="16"/>
                <w:color w:val="auto"/>
              </w:rPr>
              <w:t>Fixed Assets</w:t>
            </w:r>
          </w:p>
        </w:tc>
        <w:tc>
          <w:tcPr>
            <w:tcW w:w="3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35,176</w:t>
            </w:r>
          </w:p>
        </w:tc>
        <w:tc>
          <w:tcPr>
            <w:tcW w:w="100" w:type="dxa"/>
            <w:vAlign w:val="bottom"/>
          </w:tcPr>
          <w:p>
            <w:pPr>
              <w:spacing w:after="0"/>
              <w:rPr>
                <w:sz w:val="18"/>
                <w:szCs w:val="18"/>
                <w:color w:val="auto"/>
              </w:rPr>
            </w:pPr>
          </w:p>
        </w:tc>
      </w:tr>
      <w:tr>
        <w:trPr>
          <w:trHeight w:val="219"/>
        </w:trPr>
        <w:tc>
          <w:tcPr>
            <w:tcW w:w="5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Liabilities</w:t>
            </w:r>
          </w:p>
        </w:tc>
        <w:tc>
          <w:tcPr>
            <w:tcW w:w="33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(2,186)</w:t>
            </w:r>
          </w:p>
        </w:tc>
      </w:tr>
      <w:tr>
        <w:trPr>
          <w:trHeight w:val="213"/>
        </w:trPr>
        <w:tc>
          <w:tcPr>
            <w:tcW w:w="5900" w:type="dxa"/>
            <w:vAlign w:val="bottom"/>
          </w:tcPr>
          <w:p>
            <w:pPr>
              <w:ind w:left="260"/>
              <w:spacing w:after="0"/>
              <w:rPr>
                <w:sz w:val="20"/>
                <w:szCs w:val="20"/>
                <w:color w:val="auto"/>
              </w:rPr>
            </w:pPr>
            <w:r>
              <w:rPr>
                <w:rFonts w:ascii="Arial" w:cs="Arial" w:eastAsia="Arial" w:hAnsi="Arial"/>
                <w:sz w:val="16"/>
                <w:szCs w:val="16"/>
                <w:color w:val="auto"/>
              </w:rPr>
              <w:t>Long-Term Liabilities</w:t>
            </w:r>
          </w:p>
        </w:tc>
        <w:tc>
          <w:tcPr>
            <w:tcW w:w="3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(15,962)</w:t>
            </w:r>
          </w:p>
        </w:tc>
      </w:tr>
      <w:tr>
        <w:trPr>
          <w:trHeight w:val="213"/>
        </w:trPr>
        <w:tc>
          <w:tcPr>
            <w:tcW w:w="59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Cost Basis for Purchase</w:t>
            </w:r>
          </w:p>
        </w:tc>
        <w:tc>
          <w:tcPr>
            <w:tcW w:w="33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23,209</w:t>
            </w:r>
          </w:p>
        </w:tc>
        <w:tc>
          <w:tcPr>
            <w:tcW w:w="100" w:type="dxa"/>
            <w:vAlign w:val="bottom"/>
            <w:tcBorders>
              <w:top w:val="single" w:sz="8" w:color="CFF0FC"/>
            </w:tcBorders>
            <w:shd w:val="clear" w:color="auto" w:fill="CFF0FC"/>
          </w:tcPr>
          <w:p>
            <w:pPr>
              <w:spacing w:after="0"/>
              <w:rPr>
                <w:sz w:val="18"/>
                <w:szCs w:val="18"/>
                <w:color w:val="auto"/>
              </w:rPr>
            </w:pPr>
          </w:p>
        </w:tc>
      </w:tr>
      <w:tr>
        <w:trPr>
          <w:trHeight w:val="207"/>
        </w:trPr>
        <w:tc>
          <w:tcPr>
            <w:tcW w:w="5900" w:type="dxa"/>
            <w:vAlign w:val="bottom"/>
          </w:tcPr>
          <w:p>
            <w:pPr>
              <w:ind w:left="260"/>
              <w:spacing w:after="0"/>
              <w:rPr>
                <w:sz w:val="20"/>
                <w:szCs w:val="20"/>
                <w:color w:val="auto"/>
              </w:rPr>
            </w:pPr>
            <w:r>
              <w:rPr>
                <w:rFonts w:ascii="Arial" w:cs="Arial" w:eastAsia="Arial" w:hAnsi="Arial"/>
                <w:sz w:val="16"/>
                <w:szCs w:val="16"/>
                <w:color w:val="auto"/>
              </w:rPr>
              <w:t>Purchase Price</w:t>
            </w:r>
          </w:p>
        </w:tc>
        <w:tc>
          <w:tcPr>
            <w:tcW w:w="3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(5,331)</w:t>
            </w:r>
          </w:p>
        </w:tc>
      </w:tr>
      <w:tr>
        <w:trPr>
          <w:trHeight w:val="219"/>
        </w:trPr>
        <w:tc>
          <w:tcPr>
            <w:tcW w:w="5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 costs</w:t>
            </w:r>
          </w:p>
        </w:tc>
        <w:tc>
          <w:tcPr>
            <w:tcW w:w="33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(598)</w:t>
            </w:r>
          </w:p>
        </w:tc>
      </w:tr>
      <w:tr>
        <w:trPr>
          <w:trHeight w:val="213"/>
        </w:trPr>
        <w:tc>
          <w:tcPr>
            <w:tcW w:w="5900" w:type="dxa"/>
            <w:vAlign w:val="bottom"/>
          </w:tcPr>
          <w:p>
            <w:pPr>
              <w:ind w:left="260"/>
              <w:spacing w:after="0"/>
              <w:rPr>
                <w:sz w:val="20"/>
                <w:szCs w:val="20"/>
                <w:color w:val="auto"/>
              </w:rPr>
            </w:pPr>
            <w:r>
              <w:rPr>
                <w:rFonts w:ascii="Arial" w:cs="Arial" w:eastAsia="Arial" w:hAnsi="Arial"/>
                <w:sz w:val="16"/>
                <w:szCs w:val="16"/>
                <w:color w:val="auto"/>
              </w:rPr>
              <w:t>Equity Investment In OSV Partners</w:t>
            </w:r>
          </w:p>
        </w:tc>
        <w:tc>
          <w:tcPr>
            <w:tcW w:w="3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(17,280)</w:t>
            </w:r>
          </w:p>
        </w:tc>
      </w:tr>
      <w:tr>
        <w:trPr>
          <w:trHeight w:val="20"/>
        </w:trPr>
        <w:tc>
          <w:tcPr>
            <w:tcW w:w="5900" w:type="dxa"/>
            <w:vAlign w:val="bottom"/>
            <w:shd w:val="clear" w:color="auto" w:fill="CFF0FC"/>
          </w:tcPr>
          <w:p>
            <w:pPr>
              <w:spacing w:after="0" w:line="20" w:lineRule="exact"/>
              <w:rPr>
                <w:sz w:val="1"/>
                <w:szCs w:val="1"/>
                <w:color w:val="auto"/>
              </w:rPr>
            </w:pPr>
          </w:p>
        </w:tc>
        <w:tc>
          <w:tcPr>
            <w:tcW w:w="33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900" w:type="dxa"/>
            <w:vAlign w:val="bottom"/>
            <w:shd w:val="clear" w:color="auto" w:fill="CFF0FC"/>
          </w:tcPr>
          <w:p>
            <w:pPr>
              <w:spacing w:after="0"/>
              <w:rPr>
                <w:sz w:val="18"/>
                <w:szCs w:val="18"/>
                <w:color w:val="auto"/>
              </w:rPr>
            </w:pPr>
          </w:p>
        </w:tc>
        <w:tc>
          <w:tcPr>
            <w:tcW w:w="37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(23,209)</w:t>
            </w: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33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61"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On May 31, 2020, SEACOR Offshore Asia LLC (“SEACOR Offshore Asia”), an indirect wholly-owned subsidiary of SEACOR Marine, entered into a Sale and Purchase Agreement (“SEACOSCO SPA”) with China Shipping Fan Tai Limited, a company incorporated under the laws of the British Virgin Islands, and China Shipping Industry (Hong Kong) Co., Limited, a company incorporated under the laws of the Hong Kong Special Administrative Region (together, the “SEACOSCO Sellers”), pursuant to which SEACOR Offshore Asia agreed to acquire the 50% membership interest in SEACOSCO Offshore LLC (such remaining interest, the “SEACOSCO Interests”) held by the SEACOSCO Sellers that the Company did not already own.</w:t>
      </w:r>
    </w:p>
    <w:p>
      <w:pPr>
        <w:spacing w:after="0" w:line="12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On June 30, 2020, SEACOR Offshore Asia completed the acquisition of the SEACOSCO Interests from the SEACOSCO Sellers (the “SEACOSCO Acquisition”). As a result of the completion of the acquisition, the Company owns 100% of the membership interests in SEACOSCO Offshore LLC. On July 14, 2020, the name of SEACOSCO Offshore LLC was changed to SEACOR Offshore Delta LLC (“SEACOR Offshore Delta”).</w:t>
      </w:r>
    </w:p>
    <w:p>
      <w:pPr>
        <w:spacing w:after="0" w:line="13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price payable by SEACOR Offshore Asia for the membership interests was $28.2 million (the “SEACOSCO Purchase Price”), $8.4 million of which was paid to the Sellers at the closing of the transaction, with annual installment payments of $1.0 million, $2.5 million and $2.5 million payable in the first, second and third year after the signing date (the “SEACOSCO SPA Signing Date”), respectively, and the remaining $13.7 million due four years after such signing date. The deferred portion of the SEACOSCO Purchase Price accrues interest at a fixed rate of 1.5%, 7.0%, 7.5% and 8.0% for the first through fourth years after the SEACOSCO SPA Signing Date, respectively.</w:t>
      </w:r>
    </w:p>
    <w:p>
      <w:pPr>
        <w:spacing w:after="0" w:line="147"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SEACOR Offshore Delta is the owner of eight PSVs built by COSCO Shipping Heavy Industry (Guangdong) Co., Ltd. (the “COSCO (Guangdong) Shipyard” and such PSVs, the “SEACOR Delta PSVs”). The SEACOSCO Sellers obtained a second lien mortgage on the SEACOR Delta PSVs to secure the payment of the deferred portion of the SEACOSCO Purchase Price, and SEACOR Marine provided a limited deficiency guarantee solely with respect to the short-fall in vessel collateral value, if any, in the event the SEACOSCO Sellers exercise their remedies under the mortgages.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4" w:name="page95"/>
    <w:bookmarkEnd w:id="94"/>
    <w:p>
      <w:pPr>
        <w:jc w:val="both"/>
        <w:ind w:firstLine="749"/>
        <w:spacing w:after="0" w:line="270" w:lineRule="auto"/>
        <w:rPr>
          <w:sz w:val="20"/>
          <w:szCs w:val="20"/>
          <w:color w:val="auto"/>
        </w:rPr>
      </w:pPr>
      <w:r>
        <w:rPr>
          <w:rFonts w:ascii="Arial" w:cs="Arial" w:eastAsia="Arial" w:hAnsi="Arial"/>
          <w:sz w:val="17"/>
          <w:szCs w:val="17"/>
          <w:color w:val="auto"/>
        </w:rPr>
        <w:t>The SEACOR Delta PSVs were initially acquired by vessel owning subsidiaries (“SEACOR Delta SPVs”) of SEACOR Offshore Delta pursuant to existing deferred purchase agreements with the COSCO (Guangdong) Shipyard (“Guangdong DPAs”) under which an aggregate of approximately $100.8 million was outstanding as of June 30, 2020 (the “SEACOR Delta Shipyard Financing”). As of December 31, 2021 and 2020, $86.3 million and $95.3 million, respectively, was outstanding. The Guangdong DPAs provide for amortization of the purchase price for each vessel over a period of 10 years from delivery bearing floating interest rate of three-month LIBOR plus 4.0%. SEACOR Offshore Delta has taken delivery of all eight SEACOR Delta PSVs, seven with a 2018 or 2019 year of build, and one with a 2020 year of build. The payment obligations of the SEACOR Delta SPVs under the Guangdong DPAs for each vessel is secured by a first lien mortgage on the vessel and a pledge of the SEACOR Delta SPV’s equity, and SEACOR Marine provided a limited deficiency guarantee solely with respect to the short-fall in vessel collateral value, if any, in the event the COSCO (Guangdong) Shipyard exercises its remedies under the mortgages.</w:t>
      </w:r>
    </w:p>
    <w:p>
      <w:pPr>
        <w:spacing w:after="0" w:line="154"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b w:val="1"/>
          <w:bCs w:val="1"/>
          <w:i w:val="1"/>
          <w:iCs w:val="1"/>
          <w:color w:val="auto"/>
        </w:rPr>
        <w:t xml:space="preserve">Purchase Price Allocation. </w:t>
      </w:r>
      <w:r>
        <w:rPr>
          <w:rFonts w:ascii="Arial" w:cs="Arial" w:eastAsia="Arial" w:hAnsi="Arial"/>
          <w:sz w:val="16"/>
          <w:szCs w:val="16"/>
          <w:color w:val="auto"/>
        </w:rPr>
        <w:t>The eight SEACOR Delta PSVs are all based on plans from the same designer, have a similar age of construction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(2018-2020) and were constructed at the same shipyard. Two of the vessels are high specification diesel/electric powered PSVs. The other six vessels are all “sister” vessels with identical specifications. These six vessels are high specification diesel/electric/hybrid powered vessels. In accordance with ASU No. 2017-01-Business Combinations (Topic 805): Clarifying the Definition of a Business, this acquisition was accounted for as an asset purchase. The allocation of the purchase price for the Company’s acquired assets for the six months ended June 30 was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Assets Acquired (In Thousands):</w:t>
            </w:r>
          </w:p>
        </w:tc>
        <w:tc>
          <w:tcPr>
            <w:tcW w:w="156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7"/>
              </w:rPr>
              <w:t>June 30, 2020</w:t>
            </w:r>
          </w:p>
        </w:tc>
        <w:tc>
          <w:tcPr>
            <w:tcW w:w="120" w:type="dxa"/>
            <w:vAlign w:val="bottom"/>
            <w:tcBorders>
              <w:bottom w:val="single" w:sz="8" w:color="CFF0FC"/>
            </w:tcBorders>
          </w:tcPr>
          <w:p>
            <w:pPr>
              <w:spacing w:after="0"/>
              <w:rPr>
                <w:sz w:val="18"/>
                <w:szCs w:val="18"/>
                <w:color w:val="auto"/>
              </w:rPr>
            </w:pPr>
          </w:p>
        </w:tc>
      </w:tr>
      <w:tr>
        <w:trPr>
          <w:trHeight w:val="21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Assets</w:t>
            </w:r>
          </w:p>
        </w:tc>
        <w:tc>
          <w:tcPr>
            <w:tcW w:w="2040" w:type="dxa"/>
            <w:vAlign w:val="bottom"/>
            <w:gridSpan w:val="3"/>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7,700</w:t>
            </w: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Fixed Assets</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142,282</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Liabilities</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(23,929)</w:t>
            </w: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Book Value of Debt Acquired</w:t>
            </w: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(100,759)</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Discount on Debt Acquired</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25,190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7"/>
        </w:trPr>
        <w:tc>
          <w:tcPr>
            <w:tcW w:w="7720" w:type="dxa"/>
            <w:vAlign w:val="bottom"/>
          </w:tcPr>
          <w:p>
            <w:pPr>
              <w:ind w:left="260"/>
              <w:spacing w:after="0"/>
              <w:rPr>
                <w:sz w:val="20"/>
                <w:szCs w:val="20"/>
                <w:color w:val="auto"/>
              </w:rPr>
            </w:pPr>
            <w:r>
              <w:rPr>
                <w:rFonts w:ascii="Arial" w:cs="Arial" w:eastAsia="Arial" w:hAnsi="Arial"/>
                <w:sz w:val="16"/>
                <w:szCs w:val="16"/>
                <w:color w:val="auto"/>
              </w:rPr>
              <w:t>Fair Value of Debt Acquired</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(75,569)</w:t>
            </w:r>
          </w:p>
        </w:tc>
      </w:tr>
      <w:tr>
        <w:trPr>
          <w:trHeight w:val="212"/>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Cost Basis for Purchase</w:t>
            </w:r>
          </w:p>
        </w:tc>
        <w:tc>
          <w:tcPr>
            <w:tcW w:w="15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50,484</w:t>
            </w:r>
          </w:p>
        </w:tc>
        <w:tc>
          <w:tcPr>
            <w:tcW w:w="120" w:type="dxa"/>
            <w:vAlign w:val="bottom"/>
            <w:tcBorders>
              <w:top w:val="single" w:sz="8" w:color="CFF0FC"/>
            </w:tcBorders>
            <w:shd w:val="clear" w:color="auto" w:fill="CFF0FC"/>
          </w:tcPr>
          <w:p>
            <w:pPr>
              <w:spacing w:after="0"/>
              <w:rPr>
                <w:sz w:val="18"/>
                <w:szCs w:val="18"/>
                <w:color w:val="auto"/>
              </w:rPr>
            </w:pPr>
          </w:p>
        </w:tc>
      </w:tr>
      <w:tr>
        <w:trPr>
          <w:trHeight w:val="207"/>
        </w:trPr>
        <w:tc>
          <w:tcPr>
            <w:tcW w:w="7720" w:type="dxa"/>
            <w:vAlign w:val="bottom"/>
          </w:tcPr>
          <w:p>
            <w:pPr>
              <w:ind w:left="260"/>
              <w:spacing w:after="0"/>
              <w:rPr>
                <w:sz w:val="20"/>
                <w:szCs w:val="20"/>
                <w:color w:val="auto"/>
              </w:rPr>
            </w:pPr>
            <w:r>
              <w:rPr>
                <w:rFonts w:ascii="Arial" w:cs="Arial" w:eastAsia="Arial" w:hAnsi="Arial"/>
                <w:sz w:val="16"/>
                <w:szCs w:val="16"/>
                <w:color w:val="auto"/>
              </w:rPr>
              <w:t>Purchase Price</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(28,150)</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 costs</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(112)</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Equity Investment In SEACOR Offshore Delta (f/k/a SEACOSCO)</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(22,222)</w:t>
            </w:r>
          </w:p>
        </w:tc>
      </w:tr>
      <w:tr>
        <w:trPr>
          <w:trHeight w:val="20"/>
        </w:trPr>
        <w:tc>
          <w:tcPr>
            <w:tcW w:w="772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7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(50,484)</w:t>
            </w: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left="760" w:hanging="752"/>
        <w:spacing w:after="0"/>
        <w:tabs>
          <w:tab w:leader="none" w:pos="7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EQUIPMENT ACQUISITIONS AND DISPOSITIONS</w:t>
      </w:r>
    </w:p>
    <w:p>
      <w:pPr>
        <w:spacing w:after="0" w:line="189"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b w:val="1"/>
          <w:bCs w:val="1"/>
          <w:i w:val="1"/>
          <w:iCs w:val="1"/>
          <w:color w:val="auto"/>
        </w:rPr>
        <w:t xml:space="preserve">Equipment Additions. </w:t>
      </w:r>
      <w:r>
        <w:rPr>
          <w:rFonts w:ascii="Arial" w:cs="Arial" w:eastAsia="Arial" w:hAnsi="Arial"/>
          <w:sz w:val="18"/>
          <w:szCs w:val="18"/>
          <w:color w:val="auto"/>
        </w:rPr>
        <w:t>The Company’s capital expenditures and payments on equipment were $7.0 million, $20.8 million, and $44.8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2020 and 2019, respectively. Deliveries of offshore support vessels for the years ended December 31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Borders>
              <w:bottom w:val="single" w:sz="8" w:color="CFF0FC"/>
            </w:tcBorders>
          </w:tcPr>
          <w:p>
            <w:pPr>
              <w:spacing w:after="0"/>
              <w:rPr>
                <w:sz w:val="20"/>
                <w:szCs w:val="20"/>
                <w:color w:val="auto"/>
              </w:rPr>
            </w:pPr>
          </w:p>
        </w:tc>
        <w:tc>
          <w:tcPr>
            <w:tcW w:w="3520" w:type="dxa"/>
            <w:vAlign w:val="bottom"/>
            <w:tcBorders>
              <w:bottom w:val="single" w:sz="8" w:color="CFF0FC"/>
            </w:tcBorders>
          </w:tcPr>
          <w:p>
            <w:pPr>
              <w:spacing w:after="0"/>
              <w:rPr>
                <w:sz w:val="20"/>
                <w:szCs w:val="20"/>
                <w:color w:val="auto"/>
              </w:rPr>
            </w:pP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 xml:space="preserve">2021 </w:t>
            </w:r>
            <w:r>
              <w:rPr>
                <w:rFonts w:ascii="Arial" w:cs="Arial" w:eastAsia="Arial" w:hAnsi="Arial"/>
                <w:sz w:val="15"/>
                <w:szCs w:val="15"/>
                <w:b w:val="1"/>
                <w:bCs w:val="1"/>
                <w:color w:val="auto"/>
              </w:rPr>
              <w:t>(1)</w:t>
            </w:r>
          </w:p>
        </w:tc>
        <w:tc>
          <w:tcPr>
            <w:tcW w:w="240" w:type="dxa"/>
            <w:vAlign w:val="bottom"/>
            <w:tcBorders>
              <w:bottom w:val="single" w:sz="8" w:color="CFF0FC"/>
            </w:tcBorders>
          </w:tcPr>
          <w:p>
            <w:pPr>
              <w:spacing w:after="0"/>
              <w:rPr>
                <w:sz w:val="20"/>
                <w:szCs w:val="20"/>
                <w:color w:val="auto"/>
              </w:rPr>
            </w:pP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 xml:space="preserve">2020 </w:t>
            </w:r>
            <w:r>
              <w:rPr>
                <w:rFonts w:ascii="Arial" w:cs="Arial" w:eastAsia="Arial" w:hAnsi="Arial"/>
                <w:sz w:val="15"/>
                <w:szCs w:val="15"/>
                <w:b w:val="1"/>
                <w:bCs w:val="1"/>
                <w:color w:val="auto"/>
              </w:rPr>
              <w:t>(2)</w:t>
            </w:r>
          </w:p>
        </w:tc>
        <w:tc>
          <w:tcPr>
            <w:tcW w:w="240" w:type="dxa"/>
            <w:vAlign w:val="bottom"/>
            <w:tcBorders>
              <w:bottom w:val="single" w:sz="8" w:color="CFF0FC"/>
            </w:tcBorders>
          </w:tcPr>
          <w:p>
            <w:pPr>
              <w:spacing w:after="0"/>
              <w:rPr>
                <w:sz w:val="20"/>
                <w:szCs w:val="20"/>
                <w:color w:val="auto"/>
              </w:rPr>
            </w:pP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15"/>
                <w:szCs w:val="15"/>
                <w:b w:val="1"/>
                <w:bCs w:val="1"/>
                <w:color w:val="auto"/>
              </w:rPr>
              <w:t>(3)</w:t>
            </w:r>
          </w:p>
        </w:tc>
        <w:tc>
          <w:tcPr>
            <w:tcW w:w="100" w:type="dxa"/>
            <w:vAlign w:val="bottom"/>
            <w:tcBorders>
              <w:bottom w:val="single" w:sz="8" w:color="CFF0FC"/>
            </w:tcBorders>
          </w:tcPr>
          <w:p>
            <w:pPr>
              <w:spacing w:after="0"/>
              <w:rPr>
                <w:sz w:val="20"/>
                <w:szCs w:val="20"/>
                <w:color w:val="auto"/>
              </w:rPr>
            </w:pPr>
          </w:p>
        </w:tc>
      </w:tr>
      <w:tr>
        <w:trPr>
          <w:trHeight w:val="223"/>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FSV</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30"/>
        </w:trPr>
        <w:tc>
          <w:tcPr>
            <w:tcW w:w="50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Supply</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r>
      <w:tr>
        <w:trPr>
          <w:trHeight w:val="223"/>
        </w:trPr>
        <w:tc>
          <w:tcPr>
            <w:tcW w:w="1500" w:type="dxa"/>
            <w:vAlign w:val="bottom"/>
            <w:tcBorders>
              <w:bottom w:val="single" w:sz="8" w:color="CFF0FC"/>
            </w:tcBorders>
            <w:shd w:val="clear" w:color="auto" w:fill="CFF0FC"/>
          </w:tcPr>
          <w:p>
            <w:pPr>
              <w:spacing w:after="0"/>
              <w:rPr>
                <w:sz w:val="19"/>
                <w:szCs w:val="19"/>
                <w:color w:val="auto"/>
              </w:rPr>
            </w:pPr>
          </w:p>
        </w:tc>
        <w:tc>
          <w:tcPr>
            <w:tcW w:w="352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35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2" w:lineRule="exact"/>
        <w:rPr>
          <w:sz w:val="20"/>
          <w:szCs w:val="20"/>
          <w:color w:val="auto"/>
        </w:rPr>
      </w:pPr>
    </w:p>
    <w:p>
      <w:pPr>
        <w:ind w:left="760" w:hanging="752"/>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Excludes five PSVs acquired as part of the OSV Partners Acquisition (see “Note 3. Business Acquisitions”).</w:t>
      </w:r>
    </w:p>
    <w:p>
      <w:pPr>
        <w:spacing w:after="0" w:line="28" w:lineRule="exact"/>
        <w:rPr>
          <w:rFonts w:ascii="Arial" w:cs="Arial" w:eastAsia="Arial" w:hAnsi="Arial"/>
          <w:sz w:val="14"/>
          <w:szCs w:val="14"/>
          <w:color w:val="auto"/>
        </w:rPr>
      </w:pPr>
    </w:p>
    <w:p>
      <w:pPr>
        <w:ind w:left="760" w:hanging="752"/>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Excludes three CTVs as assets held for sale and seven PSVs acquired as part of the SEACOSCO Acquisition (see “Note 3. Business Acquisitions”).</w:t>
      </w:r>
    </w:p>
    <w:p>
      <w:pPr>
        <w:spacing w:after="0" w:line="28" w:lineRule="exact"/>
        <w:rPr>
          <w:rFonts w:ascii="Arial" w:cs="Arial" w:eastAsia="Arial" w:hAnsi="Arial"/>
          <w:sz w:val="14"/>
          <w:szCs w:val="14"/>
          <w:color w:val="auto"/>
        </w:rPr>
      </w:pPr>
    </w:p>
    <w:p>
      <w:pPr>
        <w:ind w:left="760" w:hanging="752"/>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Excludes two CTVs as assets held for sale.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5" w:name="page96"/>
    <w:bookmarkEnd w:id="95"/>
    <w:p>
      <w:pPr>
        <w:ind w:left="760"/>
        <w:spacing w:after="0"/>
        <w:rPr>
          <w:sz w:val="20"/>
          <w:szCs w:val="20"/>
          <w:color w:val="auto"/>
        </w:rPr>
      </w:pPr>
      <w:r>
        <w:rPr>
          <w:rFonts w:ascii="Arial" w:cs="Arial" w:eastAsia="Arial" w:hAnsi="Arial"/>
          <w:sz w:val="18"/>
          <w:szCs w:val="18"/>
          <w:b w:val="1"/>
          <w:bCs w:val="1"/>
          <w:i w:val="1"/>
          <w:iCs w:val="1"/>
          <w:color w:val="auto"/>
        </w:rPr>
        <w:t>Equipment Dispositions.</w:t>
      </w:r>
    </w:p>
    <w:p>
      <w:pPr>
        <w:spacing w:after="0" w:line="198"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On January 12, 2021, a wholly-owned subsidiary of SEACOR Marine Holdings Inc. (the “Company”), completed the sale of the Company’s Windcat Workboats CTV business through the sale of 100% of the equity of Windcat Workboats, a wholly-owned subsidiary of the Company (“Windcat” and together with its subsidiaries, the “Windcat Group”), to CMB N.V. (the “Windcat Buyer”) pursuant to a Sale and Purchase Agreement entered into on December 18, 2020. At closing, the Windcat Buyer paid to the Company an aggregate purchase price of £32.8 million. After deducting transaction costs and expenses and giving effect to foreign exchange rate hedges, the Company received net cash proceeds of approximately $42.6 million. The Windcat Buyer also assumed all of the approximately £20.4 million of debt outstanding under Windcat Workboat’s existing revolving credit facility. As of December 31, 2020, the Windcat Group owned a total of 41 CTVs and held interests in an additional five CTVs through its joint ventures, all of which were included in the sale. These vessels were classified as and included as Assets held for sale as of December 31, 2020. The Company recognized a gain on the sale of Windcat Workboats of approximately $22.8 million, calculated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Thousands):</w:t>
            </w:r>
          </w:p>
        </w:tc>
        <w:tc>
          <w:tcPr>
            <w:tcW w:w="27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January 12, 2021</w:t>
            </w:r>
          </w:p>
        </w:tc>
        <w:tc>
          <w:tcPr>
            <w:tcW w:w="100" w:type="dxa"/>
            <w:vAlign w:val="bottom"/>
            <w:tcBorders>
              <w:bottom w:val="single" w:sz="8" w:color="CFF0FC"/>
            </w:tcBorders>
          </w:tcPr>
          <w:p>
            <w:pPr>
              <w:spacing w:after="0"/>
              <w:rPr>
                <w:sz w:val="18"/>
                <w:szCs w:val="18"/>
                <w:color w:val="auto"/>
              </w:rPr>
            </w:pPr>
          </w:p>
        </w:tc>
      </w:tr>
      <w:tr>
        <w:trPr>
          <w:trHeight w:val="212"/>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Proceeds Received</w:t>
            </w:r>
          </w:p>
        </w:tc>
        <w:tc>
          <w:tcPr>
            <w:tcW w:w="290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43,797</w:t>
            </w:r>
          </w:p>
        </w:tc>
        <w:tc>
          <w:tcPr>
            <w:tcW w:w="100" w:type="dxa"/>
            <w:vAlign w:val="bottom"/>
            <w:shd w:val="clear" w:color="auto" w:fill="CFF0FC"/>
          </w:tcPr>
          <w:p>
            <w:pPr>
              <w:spacing w:after="0"/>
              <w:rPr>
                <w:sz w:val="18"/>
                <w:szCs w:val="18"/>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Transactions Fees and other Costs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1,562</w:t>
            </w:r>
          </w:p>
        </w:tc>
        <w:tc>
          <w:tcPr>
            <w:tcW w:w="100" w:type="dxa"/>
            <w:vAlign w:val="bottom"/>
          </w:tcPr>
          <w:p>
            <w:pPr>
              <w:spacing w:after="0"/>
              <w:rPr>
                <w:sz w:val="18"/>
                <w:szCs w:val="18"/>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Sold</w:t>
            </w:r>
          </w:p>
        </w:tc>
        <w:tc>
          <w:tcPr>
            <w:tcW w:w="27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3,520</w:t>
            </w:r>
          </w:p>
        </w:tc>
        <w:tc>
          <w:tcPr>
            <w:tcW w:w="100" w:type="dxa"/>
            <w:vAlign w:val="bottom"/>
            <w:shd w:val="clear" w:color="auto" w:fill="CFF0FC"/>
          </w:tcPr>
          <w:p>
            <w:pPr>
              <w:spacing w:after="0"/>
              <w:rPr>
                <w:sz w:val="19"/>
                <w:szCs w:val="19"/>
                <w:color w:val="auto"/>
              </w:rPr>
            </w:pPr>
          </w:p>
        </w:tc>
      </w:tr>
      <w:tr>
        <w:trPr>
          <w:trHeight w:val="207"/>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Total Net Proceeds</w:t>
            </w:r>
          </w:p>
        </w:tc>
        <w:tc>
          <w:tcPr>
            <w:tcW w:w="27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38,715</w:t>
            </w:r>
          </w:p>
        </w:tc>
        <w:tc>
          <w:tcPr>
            <w:tcW w:w="100" w:type="dxa"/>
            <w:vAlign w:val="bottom"/>
            <w:tcBorders>
              <w:bottom w:val="single" w:sz="8" w:color="CFF0FC"/>
            </w:tcBorders>
          </w:tcPr>
          <w:p>
            <w:pPr>
              <w:spacing w:after="0"/>
              <w:rPr>
                <w:sz w:val="17"/>
                <w:szCs w:val="17"/>
                <w:color w:val="auto"/>
              </w:rPr>
            </w:pPr>
          </w:p>
        </w:tc>
      </w:tr>
      <w:tr>
        <w:trPr>
          <w:trHeight w:val="213"/>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Less: Net Equity in Windcat Workboats, net of cash sold</w:t>
            </w:r>
          </w:p>
        </w:tc>
        <w:tc>
          <w:tcPr>
            <w:tcW w:w="2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15,790</w:t>
            </w:r>
          </w:p>
        </w:tc>
        <w:tc>
          <w:tcPr>
            <w:tcW w:w="100" w:type="dxa"/>
            <w:vAlign w:val="bottom"/>
            <w:shd w:val="clear" w:color="auto" w:fill="CFF0FC"/>
          </w:tcPr>
          <w:p>
            <w:pPr>
              <w:spacing w:after="0"/>
              <w:rPr>
                <w:sz w:val="18"/>
                <w:szCs w:val="18"/>
                <w:color w:val="auto"/>
              </w:rPr>
            </w:pPr>
          </w:p>
        </w:tc>
      </w:tr>
      <w:tr>
        <w:trPr>
          <w:trHeight w:val="213"/>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January Income on Discontinued Operations</w:t>
            </w:r>
          </w:p>
        </w:tc>
        <w:tc>
          <w:tcPr>
            <w:tcW w:w="27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FF0FC"/>
            </w:tcBorders>
          </w:tcPr>
          <w:p>
            <w:pPr>
              <w:spacing w:after="0"/>
              <w:rPr>
                <w:sz w:val="18"/>
                <w:szCs w:val="18"/>
                <w:color w:val="auto"/>
              </w:rPr>
            </w:pPr>
          </w:p>
        </w:tc>
      </w:tr>
      <w:tr>
        <w:trPr>
          <w:trHeight w:val="210"/>
        </w:trPr>
        <w:tc>
          <w:tcPr>
            <w:tcW w:w="66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b w:val="1"/>
                <w:bCs w:val="1"/>
                <w:color w:val="auto"/>
              </w:rPr>
              <w:t>Gain on Sale of Windcat Workboats</w:t>
            </w:r>
          </w:p>
        </w:tc>
        <w:tc>
          <w:tcPr>
            <w:tcW w:w="27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22,756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222222"/>
        </w:rPr>
        <w:t>During the year ended December 31, 2021, the Company sold one PSV, three FSVs and reduced $22.5 million of debt under the FGUSA Credit Facility (as defined and described in Note 8 Long-Term Debt) with hull and machinery insurance proceeds received in respect of the SEACOR Power of $25.0 million, for a total of $30.1 million in consideration and gains of $20.9 million.</w:t>
      </w:r>
    </w:p>
    <w:p>
      <w:pPr>
        <w:spacing w:after="0" w:line="14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222222"/>
        </w:rPr>
        <w:t xml:space="preserve">During the year ended December 31, 2020, the Company sold </w:t>
      </w:r>
      <w:r>
        <w:rPr>
          <w:rFonts w:ascii="Arial" w:cs="Arial" w:eastAsia="Arial" w:hAnsi="Arial"/>
          <w:sz w:val="18"/>
          <w:szCs w:val="18"/>
          <w:color w:val="000000"/>
        </w:rPr>
        <w:t>two</w:t>
      </w:r>
      <w:r>
        <w:rPr>
          <w:rFonts w:ascii="Arial" w:cs="Arial" w:eastAsia="Arial" w:hAnsi="Arial"/>
          <w:sz w:val="18"/>
          <w:szCs w:val="18"/>
          <w:color w:val="222222"/>
        </w:rPr>
        <w:t xml:space="preserve"> AHTS vessels and one specialty vessel previously removed from service, four FSVs, one specialty vessels, </w:t>
      </w:r>
      <w:r>
        <w:rPr>
          <w:rFonts w:ascii="Arial" w:cs="Arial" w:eastAsia="Arial" w:hAnsi="Arial"/>
          <w:sz w:val="18"/>
          <w:szCs w:val="18"/>
          <w:color w:val="000000"/>
        </w:rPr>
        <w:t>one</w:t>
      </w:r>
      <w:r>
        <w:rPr>
          <w:rFonts w:ascii="Arial" w:cs="Arial" w:eastAsia="Arial" w:hAnsi="Arial"/>
          <w:sz w:val="18"/>
          <w:szCs w:val="18"/>
          <w:color w:val="222222"/>
        </w:rPr>
        <w:t xml:space="preserve"> vessel under construction and other equipment for $21.6 million ($20.7 million cash and $0.9 million in previously received deposits) and gains of $1.2 million.</w:t>
      </w:r>
    </w:p>
    <w:p>
      <w:pPr>
        <w:spacing w:after="0" w:line="14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For the year ended December 31, 2019, the Company completed the sale of its ERRV fleet business, which consisted of 18 vessels with a net book value of $23.4 million. The net proceeds from the sale of the ERRV fleet, including property and equipment, were approximately $27.4 million resulting in a net loss on dispositions of $9.1 million. Additional consideration of up to £4.0 million (equivalent to approximately $5.2 million based on the exchange rate at the time of the sale) may be payable to the Company based on revenue targets being achieved in 2021. The revenue targets were not achieved in 2021 or 2020 and as such no additional consideration payments were made.</w:t>
      </w:r>
    </w:p>
    <w:p>
      <w:pPr>
        <w:spacing w:after="0" w:line="17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In addition to the sale of the North Sea ERRV fleet, for the year ended December 31, 2019, the Company sold one AHTS vessels, five FSVs, five PSVs, three liftboats, and other equipment for net proceeds of $55.3 million ($54.2 million in cash and $1.1 million in cash deposits previously received) and gains of $5.5 million.</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Major equipment dispositions for the years ended December 31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3"/>
          </w:tcPr>
          <w:p>
            <w:pPr>
              <w:ind w:left="5660"/>
              <w:spacing w:after="0"/>
              <w:rPr>
                <w:sz w:val="20"/>
                <w:szCs w:val="20"/>
                <w:color w:val="auto"/>
              </w:rPr>
            </w:pPr>
            <w:r>
              <w:rPr>
                <w:rFonts w:ascii="Arial" w:cs="Arial" w:eastAsia="Arial" w:hAnsi="Arial"/>
                <w:sz w:val="18"/>
                <w:szCs w:val="18"/>
                <w:b w:val="1"/>
                <w:bCs w:val="1"/>
                <w:color w:val="auto"/>
              </w:rPr>
              <w:t xml:space="preserve">2021 </w:t>
            </w:r>
            <w:r>
              <w:rPr>
                <w:rFonts w:ascii="Arial" w:cs="Arial" w:eastAsia="Arial" w:hAnsi="Arial"/>
                <w:sz w:val="15"/>
                <w:szCs w:val="15"/>
                <w:b w:val="1"/>
                <w:bCs w:val="1"/>
                <w:color w:val="auto"/>
              </w:rPr>
              <w:t>(1)</w:t>
            </w:r>
          </w:p>
        </w:tc>
        <w:tc>
          <w:tcPr>
            <w:tcW w:w="21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 xml:space="preserve">2020 </w:t>
            </w:r>
            <w:r>
              <w:rPr>
                <w:rFonts w:ascii="Arial" w:cs="Arial" w:eastAsia="Arial" w:hAnsi="Arial"/>
                <w:sz w:val="15"/>
                <w:szCs w:val="15"/>
                <w:b w:val="1"/>
                <w:bCs w:val="1"/>
                <w:color w:val="auto"/>
              </w:rPr>
              <w:t>(2)</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23"/>
        </w:trPr>
        <w:tc>
          <w:tcPr>
            <w:tcW w:w="50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AHTS</w:t>
            </w:r>
          </w:p>
        </w:tc>
        <w:tc>
          <w:tcPr>
            <w:tcW w:w="14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CFF0FC"/>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480" w:type="dxa"/>
            <w:vAlign w:val="bottom"/>
            <w:gridSpan w:val="3"/>
          </w:tcPr>
          <w:p>
            <w:pPr>
              <w:spacing w:after="0"/>
              <w:rPr>
                <w:sz w:val="20"/>
                <w:szCs w:val="20"/>
                <w:color w:val="auto"/>
              </w:rPr>
            </w:pPr>
            <w:r>
              <w:rPr>
                <w:rFonts w:ascii="Arial" w:cs="Arial" w:eastAsia="Arial" w:hAnsi="Arial"/>
                <w:sz w:val="18"/>
                <w:szCs w:val="18"/>
                <w:color w:val="auto"/>
              </w:rPr>
              <w:t>FSV</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29"/>
        </w:trPr>
        <w:tc>
          <w:tcPr>
            <w:tcW w:w="6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Supply</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30"/>
        </w:trPr>
        <w:tc>
          <w:tcPr>
            <w:tcW w:w="6480" w:type="dxa"/>
            <w:vAlign w:val="bottom"/>
            <w:gridSpan w:val="3"/>
          </w:tcPr>
          <w:p>
            <w:pPr>
              <w:spacing w:after="0"/>
              <w:rPr>
                <w:sz w:val="20"/>
                <w:szCs w:val="20"/>
                <w:color w:val="auto"/>
              </w:rPr>
            </w:pPr>
            <w:r>
              <w:rPr>
                <w:rFonts w:ascii="Arial" w:cs="Arial" w:eastAsia="Arial" w:hAnsi="Arial"/>
                <w:sz w:val="18"/>
                <w:szCs w:val="18"/>
                <w:color w:val="auto"/>
              </w:rPr>
              <w:t>Liftboats</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30"/>
        </w:trPr>
        <w:tc>
          <w:tcPr>
            <w:tcW w:w="6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Specialty</w:t>
            </w:r>
          </w:p>
        </w:tc>
        <w:tc>
          <w:tcPr>
            <w:tcW w:w="2120" w:type="dxa"/>
            <w:vAlign w:val="bottom"/>
            <w:gridSpan w:val="3"/>
            <w:shd w:val="clear" w:color="auto" w:fill="CFF0FC"/>
          </w:tcPr>
          <w:p>
            <w:pPr>
              <w:jc w:val="right"/>
              <w:ind w:right="17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15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4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35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2" w:lineRule="exact"/>
        <w:rPr>
          <w:sz w:val="20"/>
          <w:szCs w:val="20"/>
          <w:color w:val="auto"/>
        </w:rPr>
      </w:pPr>
    </w:p>
    <w:p>
      <w:pPr>
        <w:ind w:left="760" w:hanging="752"/>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Excludes four liftboats that were previously removed from service.</w:t>
      </w:r>
    </w:p>
    <w:p>
      <w:pPr>
        <w:spacing w:after="0" w:line="28" w:lineRule="exact"/>
        <w:rPr>
          <w:rFonts w:ascii="Arial" w:cs="Arial" w:eastAsia="Arial" w:hAnsi="Arial"/>
          <w:sz w:val="14"/>
          <w:szCs w:val="14"/>
          <w:color w:val="auto"/>
        </w:rPr>
      </w:pPr>
    </w:p>
    <w:p>
      <w:pPr>
        <w:ind w:left="760" w:hanging="752"/>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Excludes three vessels that were previously removed from service (two AHTS vessels and one specialty vessel).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6" w:name="page97"/>
    <w:bookmarkEnd w:id="96"/>
    <w:p>
      <w:pPr>
        <w:ind w:left="760" w:hanging="752"/>
        <w:spacing w:after="0"/>
        <w:tabs>
          <w:tab w:leader="none" w:pos="7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AT EQUITY, AND ADVANCES TO 50% OR LESS OWNED COMPANIES</w:t>
      </w:r>
    </w:p>
    <w:p>
      <w:pPr>
        <w:spacing w:after="0" w:line="188"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Investments, at equity, and advances to 50% or less owned companies as of December 31 were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Ownership</w:t>
            </w:r>
          </w:p>
        </w:tc>
        <w:tc>
          <w:tcPr>
            <w:tcW w:w="3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20"/>
                <w:szCs w:val="20"/>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MexMar</w:t>
            </w:r>
          </w:p>
        </w:tc>
        <w:tc>
          <w:tcPr>
            <w:tcW w:w="160" w:type="dxa"/>
            <w:vAlign w:val="bottom"/>
            <w:shd w:val="clear" w:color="auto" w:fill="CFF0FC"/>
          </w:tcPr>
          <w:p>
            <w:pPr>
              <w:spacing w:after="0"/>
              <w:rPr>
                <w:sz w:val="19"/>
                <w:szCs w:val="19"/>
                <w:color w:val="auto"/>
              </w:rPr>
            </w:pPr>
          </w:p>
        </w:tc>
        <w:tc>
          <w:tcPr>
            <w:tcW w:w="2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49.0%</w:t>
            </w:r>
          </w:p>
        </w:tc>
        <w:tc>
          <w:tcPr>
            <w:tcW w:w="1220" w:type="dxa"/>
            <w:vAlign w:val="bottom"/>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59,940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50,037</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OSV Partners</w:t>
            </w:r>
            <w:r>
              <w:rPr>
                <w:rFonts w:ascii="Arial" w:cs="Arial" w:eastAsia="Arial" w:hAnsi="Arial"/>
                <w:sz w:val="15"/>
                <w:szCs w:val="15"/>
                <w:color w:val="auto"/>
              </w:rPr>
              <w:t>(1)</w:t>
            </w:r>
          </w:p>
        </w:tc>
        <w:tc>
          <w:tcPr>
            <w:tcW w:w="23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30.4%</w:t>
            </w:r>
          </w:p>
        </w:tc>
        <w:tc>
          <w:tcPr>
            <w:tcW w:w="1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9,094</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SEACOR Marlin</w:t>
            </w:r>
          </w:p>
        </w:tc>
        <w:tc>
          <w:tcPr>
            <w:tcW w:w="2340" w:type="dxa"/>
            <w:vAlign w:val="bottom"/>
            <w:gridSpan w:val="3"/>
          </w:tcPr>
          <w:p>
            <w:pPr>
              <w:jc w:val="right"/>
              <w:ind w:right="180"/>
              <w:spacing w:after="0"/>
              <w:rPr>
                <w:sz w:val="20"/>
                <w:szCs w:val="20"/>
                <w:color w:val="auto"/>
              </w:rPr>
            </w:pPr>
            <w:r>
              <w:rPr>
                <w:rFonts w:ascii="Arial" w:cs="Arial" w:eastAsia="Arial" w:hAnsi="Arial"/>
                <w:sz w:val="18"/>
                <w:szCs w:val="18"/>
                <w:color w:val="auto"/>
              </w:rPr>
              <w:t>49.0%</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6,958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7,979</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MEXMAR Offshore</w:t>
            </w:r>
            <w:r>
              <w:rPr>
                <w:rFonts w:ascii="Arial" w:cs="Arial" w:eastAsia="Arial" w:hAnsi="Arial"/>
                <w:sz w:val="15"/>
                <w:szCs w:val="15"/>
                <w:color w:val="auto"/>
              </w:rPr>
              <w:t>(2)</w:t>
            </w:r>
          </w:p>
        </w:tc>
        <w:tc>
          <w:tcPr>
            <w:tcW w:w="23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49.0%</w:t>
            </w:r>
          </w:p>
        </w:tc>
        <w:tc>
          <w:tcPr>
            <w:tcW w:w="1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Offshore Vessel Holdings</w:t>
            </w:r>
          </w:p>
        </w:tc>
        <w:tc>
          <w:tcPr>
            <w:tcW w:w="2340" w:type="dxa"/>
            <w:vAlign w:val="bottom"/>
            <w:gridSpan w:val="3"/>
          </w:tcPr>
          <w:p>
            <w:pPr>
              <w:jc w:val="right"/>
              <w:ind w:right="180"/>
              <w:spacing w:after="0"/>
              <w:rPr>
                <w:sz w:val="20"/>
                <w:szCs w:val="20"/>
                <w:color w:val="auto"/>
              </w:rPr>
            </w:pPr>
            <w:r>
              <w:rPr>
                <w:rFonts w:ascii="Arial" w:cs="Arial" w:eastAsia="Arial" w:hAnsi="Arial"/>
                <w:sz w:val="18"/>
                <w:szCs w:val="18"/>
                <w:color w:val="auto"/>
              </w:rPr>
              <w:t>49.0%</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2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20.0% — 50.0%</w:t>
            </w:r>
          </w:p>
        </w:tc>
        <w:tc>
          <w:tcPr>
            <w:tcW w:w="1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FF0FC"/>
          </w:tcPr>
          <w:p>
            <w:pPr>
              <w:spacing w:after="0"/>
              <w:rPr>
                <w:sz w:val="19"/>
                <w:szCs w:val="19"/>
                <w:color w:val="auto"/>
              </w:rPr>
            </w:pPr>
          </w:p>
        </w:tc>
      </w:tr>
      <w:tr>
        <w:trPr>
          <w:trHeight w:val="223"/>
        </w:trPr>
        <w:tc>
          <w:tcPr>
            <w:tcW w:w="4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71,727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75,308</w:t>
            </w:r>
          </w:p>
        </w:tc>
        <w:tc>
          <w:tcPr>
            <w:tcW w:w="10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6" w:lineRule="exact"/>
        <w:rPr>
          <w:sz w:val="20"/>
          <w:szCs w:val="20"/>
          <w:color w:val="auto"/>
        </w:rPr>
      </w:pPr>
    </w:p>
    <w:p>
      <w:pPr>
        <w:ind w:left="760" w:hanging="752"/>
        <w:spacing w:after="0" w:line="275" w:lineRule="auto"/>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Company owned 66.7% of the General Partner and 29.7% of the limited partnership interest of OSV Partners I. On December 31, 2021, the Company purchased the remaining shares in this joint venture that it did not own and consolidated the net assets of OSV Partners. See details below as well as “Note 3. Business Acquisitions”.</w:t>
      </w:r>
    </w:p>
    <w:p>
      <w:pPr>
        <w:jc w:val="both"/>
        <w:ind w:left="760" w:hanging="752"/>
        <w:spacing w:after="0" w:line="255" w:lineRule="auto"/>
        <w:tabs>
          <w:tab w:leader="none" w:pos="7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This joint venture holds the investment in UP Offshore. The Company received a cash distribution in excess of its investment in MEXMOR Offshore during 2021. The distribution exceeded the investment value by $9.4 million and this amount was recognized as gain from return of investments in 50% or less owned companies. On December 9, 2021, the Company sold their ownership in this joint venture to the majority shareholder. See details below.</w:t>
      </w:r>
    </w:p>
    <w:p>
      <w:pPr>
        <w:spacing w:after="0" w:line="14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b w:val="1"/>
          <w:bCs w:val="1"/>
          <w:i w:val="1"/>
          <w:iCs w:val="1"/>
          <w:color w:val="auto"/>
        </w:rPr>
        <w:t xml:space="preserve">Combined Condensed Financial Information of Other Investees. </w:t>
      </w:r>
      <w:r>
        <w:rPr>
          <w:rFonts w:ascii="Arial" w:cs="Arial" w:eastAsia="Arial" w:hAnsi="Arial"/>
          <w:sz w:val="18"/>
          <w:szCs w:val="18"/>
          <w:color w:val="auto"/>
        </w:rPr>
        <w:t>Summarized financial information of the Company’s other investees,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as of and for the years ended December 31 was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20"/>
                <w:szCs w:val="20"/>
                <w:color w:val="auto"/>
              </w:rPr>
            </w:pPr>
          </w:p>
        </w:tc>
      </w:tr>
      <w:tr>
        <w:trPr>
          <w:trHeight w:val="223"/>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119,559</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109,687</w:t>
            </w:r>
          </w:p>
        </w:tc>
        <w:tc>
          <w:tcPr>
            <w:tcW w:w="100" w:type="dxa"/>
            <w:vAlign w:val="bottom"/>
            <w:shd w:val="clear" w:color="auto" w:fill="CFF0FC"/>
          </w:tcPr>
          <w:p>
            <w:pPr>
              <w:spacing w:after="0"/>
              <w:rPr>
                <w:sz w:val="19"/>
                <w:szCs w:val="19"/>
                <w:color w:val="auto"/>
              </w:rPr>
            </w:pPr>
          </w:p>
        </w:tc>
      </w:tr>
      <w:tr>
        <w:trPr>
          <w:trHeight w:val="229"/>
        </w:trPr>
        <w:tc>
          <w:tcPr>
            <w:tcW w:w="7800" w:type="dxa"/>
            <w:vAlign w:val="bottom"/>
          </w:tcPr>
          <w:p>
            <w:pPr>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181,712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259,424</w:t>
            </w:r>
          </w:p>
        </w:tc>
        <w:tc>
          <w:tcPr>
            <w:tcW w:w="100" w:type="dxa"/>
            <w:vAlign w:val="bottom"/>
          </w:tcPr>
          <w:p>
            <w:pPr>
              <w:spacing w:after="0"/>
              <w:rPr>
                <w:sz w:val="19"/>
                <w:szCs w:val="19"/>
                <w:color w:val="auto"/>
              </w:rPr>
            </w:pPr>
          </w:p>
        </w:tc>
      </w:tr>
      <w:tr>
        <w:trPr>
          <w:trHeight w:val="230"/>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93,304</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109,074</w:t>
            </w:r>
          </w:p>
        </w:tc>
        <w:tc>
          <w:tcPr>
            <w:tcW w:w="100" w:type="dxa"/>
            <w:vAlign w:val="bottom"/>
            <w:shd w:val="clear" w:color="auto" w:fill="CFF0FC"/>
          </w:tcPr>
          <w:p>
            <w:pPr>
              <w:spacing w:after="0"/>
              <w:rPr>
                <w:sz w:val="19"/>
                <w:szCs w:val="19"/>
                <w:color w:val="auto"/>
              </w:rPr>
            </w:pP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65,902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115,626</w:t>
            </w:r>
          </w:p>
        </w:tc>
        <w:tc>
          <w:tcPr>
            <w:tcW w:w="100" w:type="dxa"/>
            <w:vAlign w:val="bottom"/>
          </w:tcPr>
          <w:p>
            <w:pPr>
              <w:spacing w:after="0"/>
              <w:rPr>
                <w:sz w:val="20"/>
                <w:szCs w:val="20"/>
                <w:color w:val="auto"/>
              </w:rPr>
            </w:pPr>
          </w:p>
        </w:tc>
      </w:tr>
    </w:tbl>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160,781</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and administrative</w:t>
            </w: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142,228</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27,044</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169,272</w:t>
            </w: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on Asset Dispositions and Impairments, Net</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 Income</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(6,258)</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(8,491)</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(18,229)</w:t>
            </w:r>
          </w:p>
        </w:tc>
        <w:tc>
          <w:tcPr>
            <w:tcW w:w="2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As of December 31, 2021, cumulative undistributed net earnings of all 50% or less owned companies included in the Company’s consolidated retained earnings were $38.7 million.</w:t>
      </w:r>
    </w:p>
    <w:p>
      <w:pPr>
        <w:spacing w:after="0" w:line="13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MexMar. </w:t>
      </w:r>
      <w:r>
        <w:rPr>
          <w:rFonts w:ascii="Arial" w:cs="Arial" w:eastAsia="Arial" w:hAnsi="Arial"/>
          <w:sz w:val="18"/>
          <w:szCs w:val="18"/>
          <w:color w:val="auto"/>
        </w:rPr>
        <w:t>MexMar owns and operates 16 offshore support vessels in Mexico and manages three PSV’s and one FSV on behalf of OVH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Mexico. During the years ended December 31, 2021, 2020 and 2019, there were no returns of capital advances or distributions to shareholders and the Company charged $0.3 million of vessel management fees to MexMar.</w:t>
      </w:r>
    </w:p>
    <w:p>
      <w:pPr>
        <w:spacing w:after="0" w:line="157"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b w:val="1"/>
          <w:bCs w:val="1"/>
          <w:i w:val="1"/>
          <w:iCs w:val="1"/>
          <w:color w:val="auto"/>
        </w:rPr>
        <w:t xml:space="preserve">OSV Partners. </w:t>
      </w:r>
      <w:r>
        <w:rPr>
          <w:rFonts w:ascii="Arial" w:cs="Arial" w:eastAsia="Arial" w:hAnsi="Arial"/>
          <w:sz w:val="17"/>
          <w:szCs w:val="17"/>
          <w:color w:val="auto"/>
        </w:rPr>
        <w:t>On December 31, 2021, SEACOR Marine, SEACOR Offshore OSV and OSV Partners I entered into the Merger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which OSV Partners I merged with and into SEACOR Offshore OSV, with SEACOR Offshore OSV surviving the merger (see “Note 3. Business Acquisitions”). The results of operations of OSV Partners are included in net income (loss) in the “Combined Condensed Financial Information of Other Investees” for the year ended December 31, 2021 for the period the entity was a 50% or less owned company.</w:t>
      </w:r>
    </w:p>
    <w:p>
      <w:pPr>
        <w:spacing w:after="0" w:line="131" w:lineRule="exact"/>
        <w:rPr>
          <w:sz w:val="20"/>
          <w:szCs w:val="20"/>
          <w:color w:val="auto"/>
        </w:rPr>
      </w:pPr>
    </w:p>
    <w:p>
      <w:pPr>
        <w:jc w:val="both"/>
        <w:ind w:right="20" w:firstLine="849"/>
        <w:spacing w:after="0" w:line="277" w:lineRule="auto"/>
        <w:rPr>
          <w:sz w:val="20"/>
          <w:szCs w:val="20"/>
          <w:color w:val="auto"/>
        </w:rPr>
      </w:pPr>
      <w:r>
        <w:rPr>
          <w:rFonts w:ascii="Arial" w:cs="Arial" w:eastAsia="Arial" w:hAnsi="Arial"/>
          <w:sz w:val="18"/>
          <w:szCs w:val="18"/>
          <w:b w:val="1"/>
          <w:bCs w:val="1"/>
          <w:i w:val="1"/>
          <w:iCs w:val="1"/>
          <w:color w:val="auto"/>
        </w:rPr>
        <w:t xml:space="preserve">SEACOSCO. </w:t>
      </w:r>
      <w:r>
        <w:rPr>
          <w:rFonts w:ascii="Arial" w:cs="Arial" w:eastAsia="Arial" w:hAnsi="Arial"/>
          <w:sz w:val="18"/>
          <w:szCs w:val="18"/>
          <w:color w:val="auto"/>
        </w:rPr>
        <w:t>On May 31, 2020, SEACOR Offshore Asia, entered into the SEACOSCO SPA, pursuant to which SEACOR Offshore Asia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agreed to acquire the SEACOSCO Interests held by the SEACOSCO Sellers that the Company did not already own.</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On June 30, 2020, SEACOR Offshore Asia completed the SEACOSCO Acquisition (see “Note 3. Business Acquisitions”).</w:t>
      </w:r>
    </w:p>
    <w:p>
      <w:pPr>
        <w:spacing w:after="0" w:line="198"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b w:val="1"/>
          <w:bCs w:val="1"/>
          <w:i w:val="1"/>
          <w:iCs w:val="1"/>
          <w:color w:val="auto"/>
        </w:rPr>
        <w:t xml:space="preserve">SEACOR Marlin. </w:t>
      </w:r>
      <w:r>
        <w:rPr>
          <w:rFonts w:ascii="Arial" w:cs="Arial" w:eastAsia="Arial" w:hAnsi="Arial"/>
          <w:sz w:val="17"/>
          <w:szCs w:val="17"/>
          <w:color w:val="auto"/>
        </w:rPr>
        <w:t>SEACOR Marlin LLC (“SEACOR Marlin”) owns the Seacor Marlin supply vessel. On September 13, 2018,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sold 51% of SEACOR Marlin to MEXMAR Offshore (MI) LLC, a wholly owned subsidiary of MexMar, for $8.0 million in cash, which generated a gain of $0.4 million. The Seacor Marlin supply vessel was pledged as collateral under the MexMar credit facility, for which the Company receives an annual collateral fee. </w:t>
      </w:r>
      <w:r>
        <w:rPr>
          <w:rFonts w:ascii="Arial" w:cs="Arial" w:eastAsia="Arial" w:hAnsi="Arial"/>
          <w:sz w:val="17"/>
          <w:szCs w:val="17"/>
          <w:b w:val="1"/>
          <w:bCs w:val="1"/>
          <w:i w:val="1"/>
          <w:iCs w:val="1"/>
          <w:color w:val="auto"/>
        </w:rPr>
        <w:t>During the year ended December 31, 2021, there was a distribution to the Company of $2.5 million. During the years ended December 31,</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2020 and 2019, there were no returns of capital advances or distributions to shareholders.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7" w:name="page98"/>
    <w:bookmarkEnd w:id="97"/>
    <w:p>
      <w:pPr>
        <w:jc w:val="both"/>
        <w:ind w:firstLine="749"/>
        <w:spacing w:after="0" w:line="254" w:lineRule="auto"/>
        <w:rPr>
          <w:sz w:val="20"/>
          <w:szCs w:val="20"/>
          <w:color w:val="auto"/>
        </w:rPr>
      </w:pPr>
      <w:r>
        <w:rPr>
          <w:rFonts w:ascii="Arial" w:cs="Arial" w:eastAsia="Arial" w:hAnsi="Arial"/>
          <w:sz w:val="18"/>
          <w:szCs w:val="18"/>
          <w:b w:val="1"/>
          <w:bCs w:val="1"/>
          <w:i w:val="1"/>
          <w:iCs w:val="1"/>
          <w:color w:val="auto"/>
        </w:rPr>
        <w:t>MEXMAR Offshore – UP Offshore Sale Transaction</w:t>
      </w:r>
      <w:r>
        <w:rPr>
          <w:rFonts w:ascii="Arial" w:cs="Arial" w:eastAsia="Arial" w:hAnsi="Arial"/>
          <w:sz w:val="21"/>
          <w:szCs w:val="21"/>
          <w:color w:val="222222"/>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June 1, 2021, MEXMAR Offshore International LLC (“MEXMAR Offshore”),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joint venture 49% owned by an indirect wholly-owned subsidiary of SEACOR Marine, and 51% owned by a subsidiary of Proyectos Globales de Energía y Servicios CME, S.A. de C.V. (“CME”), UP Offshore (Bahamas) Ltd. (“UP Offshore”), a provider of offshore support vessel services to the energy industry in Brazil and a wholly owned subsidiary of MEXMAR Offshore, and certain of subsidiaries of UP Offshore, completed the sale of eight vessels and certain Brazilian entities to Oceanpact Servicos Maritimos S.A. and its subsidiary, OceanPact Netherlands B.V., for a total purchase price of $30.2 million (the “UP Offshore Sale Transaction”). The UP Offshore Sale Transaction resulted in an equity earnings gain from 50% or less owned companies of $2.6 million.</w:t>
      </w:r>
    </w:p>
    <w:p>
      <w:pPr>
        <w:spacing w:after="0" w:line="158"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6"/>
          <w:szCs w:val="16"/>
          <w:b w:val="1"/>
          <w:bCs w:val="1"/>
          <w:i w:val="1"/>
          <w:iCs w:val="1"/>
          <w:color w:val="auto"/>
        </w:rPr>
        <w:t>MEXMAR Offshore – Distribution and Winddown</w:t>
      </w:r>
      <w:r>
        <w:rPr>
          <w:rFonts w:ascii="Arial" w:cs="Arial" w:eastAsia="Arial" w:hAnsi="Arial"/>
          <w:sz w:val="19"/>
          <w:szCs w:val="19"/>
          <w:b w:val="1"/>
          <w:bCs w:val="1"/>
          <w:i w:val="1"/>
          <w:iCs w:val="1"/>
          <w:color w:val="222222"/>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July 23, 2021, the Company received a distribution from MEXMAR Offshore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connection with the UP Offshore Sale Transaction in the amount of $12.0 million of which $9.4 million was in excess of the Company’s investment balance of $2.6 million. The excess was recorded by the Company in the third quarter as a gain from return of investments in 50% or less owned companies. After giving effect to the UP Offshore Sale Transaction, MEXMAR Offshore, indirectly through certain subsidiaries of UP Offshore, retained ownership of three vessels. As part of the winddown of the MEXMAR Offshore joint venture, ownership of two of these vessels was transferred from subsidiaries of UP Offshore to OVH on October 26, 2021, and the remaining vessel was transferred from a subsidiary of UP Offshore to OVH on November 2, 2021. Upon completion of these transactions, MEXMAR Offshore no longer held income producing assets and as a result, on December 9, 2021, the Company transferred its 49% interest in MEXMAR Offshore to a subsidiary of CME for nominal consideration and a transaction fee of $0.2 million. As of December 31, 2021, the Company does not have any ownership interest in MEXMAR Offshore. </w:t>
      </w:r>
      <w:r>
        <w:rPr>
          <w:rFonts w:ascii="Arial" w:cs="Arial" w:eastAsia="Arial" w:hAnsi="Arial"/>
          <w:sz w:val="16"/>
          <w:szCs w:val="16"/>
          <w:b w:val="1"/>
          <w:bCs w:val="1"/>
          <w:i w:val="1"/>
          <w:iCs w:val="1"/>
          <w:color w:val="auto"/>
        </w:rPr>
        <w:t>The results of operations of MexMar</w:t>
      </w:r>
    </w:p>
    <w:p>
      <w:pPr>
        <w:spacing w:after="0" w:line="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Offshore are included in net income (loss) in the “Combined Condensed Financial Information of Other Investees” for the year ended December 31, 2021 for the period the entity was a 50% or less owned company.</w:t>
      </w:r>
    </w:p>
    <w:p>
      <w:pPr>
        <w:spacing w:after="0" w:line="172"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b w:val="1"/>
          <w:bCs w:val="1"/>
          <w:i w:val="1"/>
          <w:iCs w:val="1"/>
          <w:color w:val="auto"/>
        </w:rPr>
        <w:t xml:space="preserve">Offshore Vessel Holdings (“OVH”). </w:t>
      </w:r>
      <w:r>
        <w:rPr>
          <w:rFonts w:ascii="Arial" w:cs="Arial" w:eastAsia="Arial" w:hAnsi="Arial"/>
          <w:sz w:val="17"/>
          <w:szCs w:val="17"/>
          <w:color w:val="auto"/>
        </w:rPr>
        <w:t>On December 28, 2018, the Company invested $4.9 million for a 49% interest in OVH. The remaining 51%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owned by a subsidiary of CME. OVH invests in offshore assets and charters marine equipment. During the year ended December 31, 2019 OVH loaned $10.0 million to Operadora Productora y Exploradora Mexicana S.A. de C.V., a drilling company in Mexico and affiliate of CME which owns and operates two jackup drilling rigs (“OPEM”), chartered-in three PSV’s from UP Offshore (a subsidiary of MEXMAR Offshore) and purchased one FSV from the Company for $2.4 million through a seller’s finance agreement. As part of the winddown of the MEXMAR Offshore joint venture, ownership of two of these PSVs was transferred from UP Offshore to OVH on October 26, 2021, and the remaining PSV was transferred from UP Offshore to OVH on November 2, 2021. On December 10, 2021, OVH and OPEM settled the $10.0 million loan in exchange for OPEM making an early repayment of $10.5 million, reflecting repayment of the principal amount in full and a prepayment discount and forgiveness of approximately $4.1 million of accrued interest. The Company charged $1.0 million of management fees to OVH for the year ended 2021.</w:t>
      </w:r>
    </w:p>
    <w:p>
      <w:pPr>
        <w:spacing w:after="0" w:line="14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The Company’s other 50% or less owned companies own and operate no vessels. During the years ended December 31, 2021 and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received dividends of $2.0 million and $2.1 million from these 50% or less owned companies, respectively. During the year ended December 31, 2019, the Company received dividends of $2.1 million and $0.5 million of return capital from these 50% or less owned companies. During the years ended December 31, 2021 and 2020, no vessel management fees were received from these 50% or less owned companies. In the year ended December 31, 2019, the Company received less than $0.1 million.</w:t>
      </w:r>
    </w:p>
    <w:p>
      <w:pPr>
        <w:spacing w:after="0" w:line="157" w:lineRule="exact"/>
        <w:rPr>
          <w:sz w:val="20"/>
          <w:szCs w:val="20"/>
          <w:color w:val="auto"/>
        </w:rPr>
      </w:pPr>
    </w:p>
    <w:p>
      <w:pPr>
        <w:ind w:left="760" w:hanging="752"/>
        <w:spacing w:after="0"/>
        <w:tabs>
          <w:tab w:leader="none" w:pos="7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RESERVE FUNDS</w:t>
      </w:r>
    </w:p>
    <w:p>
      <w:pPr>
        <w:spacing w:after="0" w:line="189"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The Company has established, pursuant to Section 511 of the Merchant Marine Act, 1936, as amended, construction reserve fund accounts subject to agreements with the Maritime Administration (“MARAD”). In accordance with this statute, the Company is permitted to deposit proceeds from the sale of certain vessels into the construction reserve fund accounts and defer the taxable gains realized from the sale of those vessels. Qualified withdrawals from the construction reserve fund accounts are only permitted for the purpose of acquiring qualified U.S.-flag vessels as defined in the statute and approved by MARAD. To the extent that sales proceeds are reinvested in replacement vessels, the carryover depreciable tax basis of the vessels originally sold is attributed to the U.S.-flag vessels acquired using such qualified withdrawals. The construction reserve funds must be committed for expenditure within three years of the date of sale of the equipment, subject to two one-year extensions that can be granted at the discretion of MARAD or be released for the Company’s general use as nonqualified withdrawals. For nonqualified withdrawals, the Company is obligated to pay taxes on the previously deferred gains at the prevailing statutory tax rate plus penalties and interest thereon for the period such taxes were deferred.</w:t>
      </w:r>
    </w:p>
    <w:p>
      <w:pPr>
        <w:spacing w:after="0" w:line="153" w:lineRule="exact"/>
        <w:rPr>
          <w:sz w:val="20"/>
          <w:szCs w:val="20"/>
          <w:color w:val="auto"/>
        </w:rPr>
      </w:pPr>
    </w:p>
    <w:p>
      <w:pPr>
        <w:jc w:val="both"/>
        <w:ind w:firstLine="749"/>
        <w:spacing w:after="0" w:line="329" w:lineRule="auto"/>
        <w:rPr>
          <w:sz w:val="20"/>
          <w:szCs w:val="20"/>
          <w:color w:val="auto"/>
        </w:rPr>
      </w:pPr>
      <w:r>
        <w:rPr>
          <w:rFonts w:ascii="Arial" w:cs="Arial" w:eastAsia="Arial" w:hAnsi="Arial"/>
          <w:sz w:val="16"/>
          <w:szCs w:val="16"/>
          <w:color w:val="auto"/>
        </w:rPr>
        <w:t>As of December 31, 2021, the Company had no balance in short-term construction reserve funds included in cash and cash equivalents. As of December 31, 2020, the Company had $4.2 million in short-term construction reserve funds included in cash and cash equivalents. During the years ended December 31, 2021, 2020 and 2019, construction reserve fund withdrawals totaled $4.2 million, $9.1 million and $15.2 million, respectively.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98" w:name="page99"/>
    <w:bookmarkEnd w:id="98"/>
    <w:p>
      <w:pPr>
        <w:ind w:left="760" w:hanging="752"/>
        <w:spacing w:after="0"/>
        <w:tabs>
          <w:tab w:leader="none" w:pos="7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On February 25, 2016, the FASB issued a comprehensive new leasing standard, ASC 842, Leases, meant to improve transparency and comparability among companies by requiring lessees to recognize a lease liability and a corresponding lease asset for virtually all lease contracts. It also requires additional disclosures about leasing arrangements. The Company adopted the standard on January 1, 2019 and applied the transition provisions of the standard with recognition of a cumulative-effect adjustment to the opening balance of retained earnings. The adoption of the standard had a material impact on the Company’s consolidated financial position, results of operations and cash flows. The adjustment to the Company’s balance sheet on January 1, 2019 included the addition of $33.7 million of right-of-use assets, $31.9 million in lease liability, and a cumulative-effect adjustment to the opening balance of retained earnings of $1.7 million for certain of its equipment, office and land leases. In addition, unamortized deferred gains for four vessels previously accounted for under sale-leaseback arrangements of $8.7 million, ($11.0 million deferred gains net of $2.3 million deferred taxes), were fully recognized as an adjustment to the opening balance of retained earnings.</w:t>
      </w:r>
    </w:p>
    <w:p>
      <w:pPr>
        <w:spacing w:after="0" w:line="154"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The Company assesses at contract inception whether a contract is, or contains, a lease, defined as a contract that conveys the right to control the use of an identified asset for a period of time in exchange for consideration. In calculating the present value of lease payments, the Company uses its incremental borrowing rate at the lease commencement date when the interest rate implicit in the lease is not readily determinable. The Company applies the short-term lease recognition exemption to its short-term leases of machinery and equipment (i.e., those leases that have a lease term of 12 months or less from the commencement date and do not contain a purchase option). It also applies the lease of low-value assets recognition exemption to leases of office equipment that are considered to be low value. As of December 31, 2021, the Company leased-in two AHTS vessels and certain facilities and other equipment. The leases typically contain purchase and renewal options or rights of first refusal with respect to the sale or lease of the equipment. As of December 31, 2021, the remaining lease terms of the vessels had a remaining duration of three to 23 months. The lease terms of certain facilities and other equipment range in duration from 11 to 300 months.</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31, 2021, future minimum payments for leases for the years ended December 31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1"/>
              </w:rPr>
              <w:t>Operating Leases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89"/>
              </w:rPr>
              <w:t>Finance Leases</w:t>
            </w: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24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gridSpan w:val="2"/>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2023</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2025</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Years subsequent to 2026</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Borders>
              <w:top w:val="single" w:sz="8" w:color="CFF0FC"/>
            </w:tcBorders>
            <w:shd w:val="clear" w:color="auto" w:fill="CFF0FC"/>
          </w:tcPr>
          <w:p>
            <w:pPr>
              <w:spacing w:after="0"/>
              <w:rPr>
                <w:sz w:val="19"/>
                <w:szCs w:val="19"/>
                <w:color w:val="auto"/>
              </w:rPr>
            </w:pPr>
          </w:p>
        </w:tc>
        <w:tc>
          <w:tcPr>
            <w:tcW w:w="24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8,832</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6"/>
                <w:szCs w:val="16"/>
                <w:color w:val="auto"/>
              </w:rPr>
              <w:t>Interest component</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(1,961)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r>
      <w:tr>
        <w:trPr>
          <w:trHeight w:val="223"/>
        </w:trPr>
        <w:tc>
          <w:tcPr>
            <w:tcW w:w="5280" w:type="dxa"/>
            <w:vAlign w:val="bottom"/>
            <w:tcBorders>
              <w:top w:val="single" w:sz="8" w:color="CFF0FC"/>
            </w:tcBorders>
            <w:shd w:val="clear" w:color="auto" w:fill="CFF0FC"/>
          </w:tcPr>
          <w:p>
            <w:pPr>
              <w:spacing w:after="0"/>
              <w:rPr>
                <w:sz w:val="19"/>
                <w:szCs w:val="19"/>
                <w:color w:val="auto"/>
              </w:rPr>
            </w:pPr>
          </w:p>
        </w:tc>
        <w:tc>
          <w:tcPr>
            <w:tcW w:w="24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6,871</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Current portion of long-term lease liabilities</w:t>
            </w:r>
          </w:p>
        </w:tc>
        <w:tc>
          <w:tcPr>
            <w:tcW w:w="24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Long-term lease liabilities</w:t>
            </w:r>
          </w:p>
        </w:tc>
        <w:tc>
          <w:tcPr>
            <w:tcW w:w="24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gridSpan w:val="2"/>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4,885</w:t>
            </w: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6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140" w:type="dxa"/>
            <w:vAlign w:val="bottom"/>
            <w:gridSpan w:val="4"/>
          </w:tcPr>
          <w:p>
            <w:pPr>
              <w:ind w:left="760"/>
              <w:spacing w:after="0"/>
              <w:rPr>
                <w:sz w:val="20"/>
                <w:szCs w:val="20"/>
                <w:color w:val="auto"/>
              </w:rPr>
            </w:pPr>
            <w:r>
              <w:rPr>
                <w:rFonts w:ascii="Arial" w:cs="Arial" w:eastAsia="Arial" w:hAnsi="Arial"/>
                <w:sz w:val="18"/>
                <w:szCs w:val="18"/>
                <w:color w:val="auto"/>
                <w:w w:val="91"/>
              </w:rPr>
              <w:t>For the years ended December 31, the components of lease expense were as follows (in thousands):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280" w:type="dxa"/>
            <w:vAlign w:val="bottom"/>
            <w:tcBorders>
              <w:bottom w:val="single" w:sz="8" w:color="CFF0FC"/>
            </w:tcBorders>
          </w:tcPr>
          <w:p>
            <w:pPr>
              <w:spacing w:after="0"/>
              <w:rPr>
                <w:sz w:val="21"/>
                <w:szCs w:val="21"/>
                <w:color w:val="auto"/>
              </w:rPr>
            </w:pPr>
          </w:p>
        </w:tc>
        <w:tc>
          <w:tcPr>
            <w:tcW w:w="24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37"/>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860" w:type="dxa"/>
            <w:vAlign w:val="bottom"/>
            <w:gridSpan w:val="3"/>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5,174</w:t>
            </w:r>
          </w:p>
        </w:tc>
        <w:tc>
          <w:tcPr>
            <w:tcW w:w="260" w:type="dxa"/>
            <w:vAlign w:val="bottom"/>
            <w:shd w:val="clear" w:color="auto" w:fill="CFF0FC"/>
          </w:tcPr>
          <w:p>
            <w:pPr>
              <w:spacing w:after="0"/>
              <w:rPr>
                <w:sz w:val="20"/>
                <w:szCs w:val="20"/>
                <w:color w:val="auto"/>
              </w:rPr>
            </w:pPr>
          </w:p>
        </w:tc>
        <w:tc>
          <w:tcPr>
            <w:tcW w:w="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6,205</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6"/>
                <w:szCs w:val="16"/>
                <w:color w:val="auto"/>
              </w:rPr>
              <w:t>Finance lease cost:</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
        </w:trPr>
        <w:tc>
          <w:tcPr>
            <w:tcW w:w="5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280" w:type="dxa"/>
            <w:vAlign w:val="bottom"/>
            <w:shd w:val="clear" w:color="auto" w:fill="CFF0FC"/>
          </w:tcPr>
          <w:p>
            <w:pPr>
              <w:ind w:left="260"/>
              <w:spacing w:after="0" w:line="242" w:lineRule="exact"/>
              <w:rPr>
                <w:sz w:val="20"/>
                <w:szCs w:val="20"/>
                <w:color w:val="auto"/>
              </w:rPr>
            </w:pPr>
            <w:r>
              <w:rPr>
                <w:rFonts w:ascii="Arial" w:cs="Arial" w:eastAsia="Arial" w:hAnsi="Arial"/>
                <w:sz w:val="16"/>
                <w:szCs w:val="16"/>
                <w:color w:val="auto"/>
              </w:rPr>
              <w:t xml:space="preserve">Amortization of finance lease asset </w:t>
            </w:r>
            <w:r>
              <w:rPr>
                <w:rFonts w:ascii="Arial" w:cs="Arial" w:eastAsia="Arial" w:hAnsi="Arial"/>
                <w:sz w:val="27"/>
                <w:szCs w:val="27"/>
                <w:color w:val="auto"/>
                <w:vertAlign w:val="superscript"/>
              </w:rPr>
              <w:t>(1)</w:t>
            </w:r>
          </w:p>
        </w:tc>
        <w:tc>
          <w:tcPr>
            <w:tcW w:w="24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1"/>
                <w:szCs w:val="21"/>
                <w:color w:val="auto"/>
              </w:rPr>
            </w:pPr>
          </w:p>
        </w:tc>
      </w:tr>
      <w:tr>
        <w:trPr>
          <w:trHeight w:val="243"/>
        </w:trPr>
        <w:tc>
          <w:tcPr>
            <w:tcW w:w="5280" w:type="dxa"/>
            <w:vAlign w:val="bottom"/>
          </w:tcPr>
          <w:p>
            <w:pPr>
              <w:ind w:left="260"/>
              <w:spacing w:after="0" w:line="242" w:lineRule="exact"/>
              <w:rPr>
                <w:sz w:val="20"/>
                <w:szCs w:val="20"/>
                <w:color w:val="auto"/>
              </w:rPr>
            </w:pPr>
            <w:r>
              <w:rPr>
                <w:rFonts w:ascii="Arial" w:cs="Arial" w:eastAsia="Arial" w:hAnsi="Arial"/>
                <w:sz w:val="16"/>
                <w:szCs w:val="16"/>
                <w:color w:val="auto"/>
              </w:rPr>
              <w:t xml:space="preserve">Interest on lease liabilities </w:t>
            </w:r>
            <w:r>
              <w:rPr>
                <w:rFonts w:ascii="Arial" w:cs="Arial" w:eastAsia="Arial" w:hAnsi="Arial"/>
                <w:sz w:val="27"/>
                <w:szCs w:val="27"/>
                <w:color w:val="auto"/>
                <w:vertAlign w:val="superscript"/>
              </w:rPr>
              <w:t>(2)</w:t>
            </w:r>
          </w:p>
        </w:tc>
        <w:tc>
          <w:tcPr>
            <w:tcW w:w="2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r>
      <w:tr>
        <w:trPr>
          <w:trHeight w:val="24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costs</w:t>
            </w:r>
          </w:p>
        </w:tc>
        <w:tc>
          <w:tcPr>
            <w:tcW w:w="24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911</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1,320</w:t>
            </w:r>
          </w:p>
        </w:tc>
        <w:tc>
          <w:tcPr>
            <w:tcW w:w="20" w:type="dxa"/>
            <w:vAlign w:val="bottom"/>
            <w:tcBorders>
              <w:bottom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280" w:type="dxa"/>
            <w:vAlign w:val="bottom"/>
          </w:tcPr>
          <w:p>
            <w:pPr>
              <w:spacing w:after="0"/>
              <w:rPr>
                <w:sz w:val="20"/>
                <w:szCs w:val="20"/>
                <w:color w:val="auto"/>
              </w:rPr>
            </w:pPr>
          </w:p>
        </w:tc>
        <w:tc>
          <w:tcPr>
            <w:tcW w:w="286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6,116</w:t>
            </w:r>
          </w:p>
        </w:tc>
        <w:tc>
          <w:tcPr>
            <w:tcW w:w="26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7,537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ind w:left="760" w:hanging="752"/>
        <w:spacing w:after="0"/>
        <w:tabs>
          <w:tab w:leader="none" w:pos="760" w:val="left"/>
        </w:tabs>
        <w:numPr>
          <w:ilvl w:val="0"/>
          <w:numId w:val="54"/>
        </w:numPr>
        <w:rPr>
          <w:rFonts w:ascii="Arial" w:cs="Arial" w:eastAsia="Arial" w:hAnsi="Arial"/>
          <w:sz w:val="12"/>
          <w:szCs w:val="12"/>
          <w:color w:val="auto"/>
        </w:rPr>
      </w:pPr>
      <w:r>
        <w:rPr>
          <w:rFonts w:ascii="Arial" w:cs="Arial" w:eastAsia="Arial" w:hAnsi="Arial"/>
          <w:sz w:val="14"/>
          <w:szCs w:val="14"/>
          <w:color w:val="auto"/>
        </w:rPr>
        <w:t>Included in amortization costs in the consolidated statements of income (loss).</w:t>
      </w:r>
    </w:p>
    <w:p>
      <w:pPr>
        <w:ind w:left="760" w:hanging="752"/>
        <w:spacing w:after="0"/>
        <w:tabs>
          <w:tab w:leader="none" w:pos="760" w:val="left"/>
        </w:tabs>
        <w:numPr>
          <w:ilvl w:val="0"/>
          <w:numId w:val="54"/>
        </w:numPr>
        <w:rPr>
          <w:rFonts w:ascii="Arial" w:cs="Arial" w:eastAsia="Arial" w:hAnsi="Arial"/>
          <w:sz w:val="12"/>
          <w:szCs w:val="12"/>
          <w:color w:val="auto"/>
        </w:rPr>
      </w:pPr>
      <w:r>
        <w:rPr>
          <w:rFonts w:ascii="Arial" w:cs="Arial" w:eastAsia="Arial" w:hAnsi="Arial"/>
          <w:sz w:val="14"/>
          <w:szCs w:val="14"/>
          <w:color w:val="auto"/>
        </w:rPr>
        <w:t>Included in interest expense in the consolidated statements of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1912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the year ended December 31, 2021, supplemental cashflow information related to leases were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Borders>
              <w:bottom w:val="single" w:sz="8" w:color="CFF0FC"/>
            </w:tcBorders>
          </w:tcPr>
          <w:p>
            <w:pPr>
              <w:spacing w:after="0"/>
              <w:rPr>
                <w:sz w:val="20"/>
                <w:szCs w:val="20"/>
                <w:color w:val="auto"/>
              </w:rPr>
            </w:pPr>
          </w:p>
        </w:tc>
        <w:tc>
          <w:tcPr>
            <w:tcW w:w="276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7"/>
              <w:spacing w:after="0"/>
              <w:rPr>
                <w:sz w:val="20"/>
                <w:szCs w:val="20"/>
                <w:color w:val="auto"/>
              </w:rPr>
            </w:pPr>
            <w:r>
              <w:rPr>
                <w:rFonts w:ascii="Arial" w:cs="Arial" w:eastAsia="Arial" w:hAnsi="Arial"/>
                <w:sz w:val="18"/>
                <w:szCs w:val="18"/>
                <w:b w:val="1"/>
                <w:bCs w:val="1"/>
                <w:color w:val="auto"/>
              </w:rPr>
              <w:t>2021</w:t>
            </w:r>
          </w:p>
        </w:tc>
      </w:tr>
      <w:tr>
        <w:trPr>
          <w:trHeight w:val="209"/>
        </w:trPr>
        <w:tc>
          <w:tcPr>
            <w:tcW w:w="6500" w:type="dxa"/>
            <w:vAlign w:val="bottom"/>
            <w:shd w:val="clear" w:color="auto" w:fill="CFF0FC"/>
          </w:tcPr>
          <w:p>
            <w:pPr>
              <w:spacing w:after="0"/>
              <w:rPr>
                <w:sz w:val="20"/>
                <w:szCs w:val="20"/>
                <w:color w:val="auto"/>
              </w:rPr>
            </w:pPr>
            <w:r>
              <w:rPr>
                <w:rFonts w:ascii="Arial" w:cs="Arial" w:eastAsia="Arial" w:hAnsi="Arial"/>
                <w:sz w:val="16"/>
                <w:szCs w:val="16"/>
                <w:color w:val="auto"/>
              </w:rPr>
              <w:t>Operating cash flows from operating leases</w:t>
            </w:r>
          </w:p>
        </w:tc>
        <w:tc>
          <w:tcPr>
            <w:tcW w:w="31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(7,456)</w:t>
            </w:r>
          </w:p>
        </w:tc>
      </w:tr>
      <w:tr>
        <w:trPr>
          <w:trHeight w:val="213"/>
        </w:trPr>
        <w:tc>
          <w:tcPr>
            <w:tcW w:w="6500" w:type="dxa"/>
            <w:vAlign w:val="bottom"/>
          </w:tcPr>
          <w:p>
            <w:pPr>
              <w:spacing w:after="0"/>
              <w:rPr>
                <w:sz w:val="20"/>
                <w:szCs w:val="20"/>
                <w:color w:val="auto"/>
              </w:rPr>
            </w:pPr>
            <w:r>
              <w:rPr>
                <w:rFonts w:ascii="Arial" w:cs="Arial" w:eastAsia="Arial" w:hAnsi="Arial"/>
                <w:sz w:val="16"/>
                <w:szCs w:val="16"/>
                <w:color w:val="auto"/>
              </w:rPr>
              <w:t>Financing cash outflows from finance leases</w:t>
            </w:r>
          </w:p>
        </w:tc>
        <w:tc>
          <w:tcPr>
            <w:tcW w:w="2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6500" w:type="dxa"/>
            <w:vAlign w:val="bottom"/>
            <w:shd w:val="clear" w:color="auto" w:fill="CFF0FC"/>
          </w:tcPr>
          <w:p>
            <w:pPr>
              <w:spacing w:after="0"/>
              <w:rPr>
                <w:sz w:val="20"/>
                <w:szCs w:val="20"/>
                <w:color w:val="auto"/>
              </w:rPr>
            </w:pPr>
            <w:r>
              <w:rPr>
                <w:rFonts w:ascii="Arial" w:cs="Arial" w:eastAsia="Arial" w:hAnsi="Arial"/>
                <w:sz w:val="16"/>
                <w:szCs w:val="16"/>
                <w:color w:val="auto"/>
              </w:rPr>
              <w:t>Right-of-use assets obtained for operating lease liabilities</w:t>
            </w:r>
          </w:p>
        </w:tc>
        <w:tc>
          <w:tcPr>
            <w:tcW w:w="27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57"/>
              <w:spacing w:after="0"/>
              <w:rPr>
                <w:sz w:val="20"/>
                <w:szCs w:val="20"/>
                <w:color w:val="auto"/>
              </w:rPr>
            </w:pPr>
            <w:r>
              <w:rPr>
                <w:rFonts w:ascii="Arial" w:cs="Arial" w:eastAsia="Arial" w:hAnsi="Arial"/>
                <w:sz w:val="16"/>
                <w:szCs w:val="16"/>
                <w:color w:val="auto"/>
              </w:rPr>
              <w:t>3,582</w:t>
            </w:r>
          </w:p>
        </w:tc>
      </w:tr>
      <w:tr>
        <w:trPr>
          <w:trHeight w:val="210"/>
        </w:trPr>
        <w:tc>
          <w:tcPr>
            <w:tcW w:w="6500" w:type="dxa"/>
            <w:vAlign w:val="bottom"/>
          </w:tcPr>
          <w:p>
            <w:pPr>
              <w:spacing w:after="0"/>
              <w:rPr>
                <w:sz w:val="20"/>
                <w:szCs w:val="20"/>
                <w:color w:val="auto"/>
              </w:rPr>
            </w:pPr>
            <w:r>
              <w:rPr>
                <w:rFonts w:ascii="Arial" w:cs="Arial" w:eastAsia="Arial" w:hAnsi="Arial"/>
                <w:sz w:val="16"/>
                <w:szCs w:val="16"/>
                <w:color w:val="auto"/>
              </w:rPr>
              <w:t>Right-of-use assets obtained for finance lease liabilities</w:t>
            </w:r>
          </w:p>
        </w:tc>
        <w:tc>
          <w:tcPr>
            <w:tcW w:w="2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ind w:right="57"/>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ind w:left="760"/>
        <w:spacing w:after="0"/>
        <w:rPr>
          <w:sz w:val="20"/>
          <w:szCs w:val="20"/>
          <w:color w:val="auto"/>
        </w:rPr>
      </w:pPr>
      <w:r>
        <w:rPr>
          <w:rFonts w:ascii="Arial" w:cs="Arial" w:eastAsia="Arial" w:hAnsi="Arial"/>
          <w:sz w:val="18"/>
          <w:szCs w:val="18"/>
          <w:color w:val="auto"/>
        </w:rPr>
        <w:t>For the year ended December 31, 2021, other information related to leases were as follows:</w:t>
      </w:r>
    </w:p>
    <w:p>
      <w:pPr>
        <w:spacing w:after="0" w:line="32" w:lineRule="exact"/>
        <w:rPr>
          <w:sz w:val="20"/>
          <w:szCs w:val="20"/>
          <w:color w:val="auto"/>
        </w:rPr>
      </w:pPr>
    </w:p>
    <w:p>
      <w:pPr>
        <w:ind w:left="9740"/>
        <w:spacing w:after="0"/>
        <w:rPr>
          <w:sz w:val="20"/>
          <w:szCs w:val="20"/>
          <w:color w:val="auto"/>
        </w:rPr>
      </w:pPr>
      <w:r>
        <w:rPr>
          <w:rFonts w:ascii="Arial" w:cs="Arial" w:eastAsia="Arial" w:hAnsi="Arial"/>
          <w:sz w:val="18"/>
          <w:szCs w:val="18"/>
          <w:b w:val="1"/>
          <w:bCs w:val="1"/>
          <w:color w:val="auto"/>
        </w:rPr>
        <w:t>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 average remaining lease term, in years - operating leases</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400" w:type="dxa"/>
            <w:vAlign w:val="bottom"/>
            <w:tcBorders>
              <w:top w:val="single" w:sz="8" w:color="CFF0FC"/>
            </w:tcBorders>
            <w:shd w:val="clear" w:color="auto" w:fill="CFF0FC"/>
          </w:tcPr>
          <w:p>
            <w:pPr>
              <w:spacing w:after="0"/>
              <w:rPr>
                <w:sz w:val="18"/>
                <w:szCs w:val="18"/>
                <w:color w:val="auto"/>
              </w:rPr>
            </w:pPr>
          </w:p>
        </w:tc>
      </w:tr>
      <w:tr>
        <w:trPr>
          <w:trHeight w:val="213"/>
        </w:trPr>
        <w:tc>
          <w:tcPr>
            <w:tcW w:w="9020" w:type="dxa"/>
            <w:vAlign w:val="bottom"/>
          </w:tcPr>
          <w:p>
            <w:pPr>
              <w:spacing w:after="0"/>
              <w:rPr>
                <w:sz w:val="20"/>
                <w:szCs w:val="20"/>
                <w:color w:val="auto"/>
              </w:rPr>
            </w:pPr>
            <w:r>
              <w:rPr>
                <w:rFonts w:ascii="Arial" w:cs="Arial" w:eastAsia="Arial" w:hAnsi="Arial"/>
                <w:sz w:val="16"/>
                <w:szCs w:val="16"/>
                <w:color w:val="auto"/>
              </w:rPr>
              <w:t>Weighted average remaining lease term, in years - finance leases</w:t>
            </w:r>
          </w:p>
        </w:tc>
        <w:tc>
          <w:tcPr>
            <w:tcW w:w="1820" w:type="dxa"/>
            <w:vAlign w:val="bottom"/>
          </w:tcPr>
          <w:p>
            <w:pPr>
              <w:jc w:val="right"/>
              <w:spacing w:after="0"/>
              <w:rPr>
                <w:sz w:val="20"/>
                <w:szCs w:val="20"/>
                <w:color w:val="auto"/>
              </w:rPr>
            </w:pPr>
            <w:r>
              <w:rPr>
                <w:rFonts w:ascii="Arial" w:cs="Arial" w:eastAsia="Arial" w:hAnsi="Arial"/>
                <w:sz w:val="16"/>
                <w:szCs w:val="16"/>
                <w:color w:val="auto"/>
              </w:rPr>
              <w:t>3.2</w:t>
            </w:r>
          </w:p>
        </w:tc>
        <w:tc>
          <w:tcPr>
            <w:tcW w:w="400" w:type="dxa"/>
            <w:vAlign w:val="bottom"/>
          </w:tcPr>
          <w:p>
            <w:pPr>
              <w:spacing w:after="0"/>
              <w:rPr>
                <w:sz w:val="18"/>
                <w:szCs w:val="18"/>
                <w:color w:val="auto"/>
              </w:rPr>
            </w:pPr>
          </w:p>
        </w:tc>
      </w:tr>
      <w:tr>
        <w:trPr>
          <w:trHeight w:val="219"/>
        </w:trPr>
        <w:tc>
          <w:tcPr>
            <w:tcW w:w="902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discount rate - operating leases</w:t>
            </w: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4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r>
      <w:tr>
        <w:trPr>
          <w:trHeight w:val="210"/>
        </w:trPr>
        <w:tc>
          <w:tcPr>
            <w:tcW w:w="9020" w:type="dxa"/>
            <w:vAlign w:val="bottom"/>
          </w:tcPr>
          <w:p>
            <w:pPr>
              <w:spacing w:after="0"/>
              <w:rPr>
                <w:sz w:val="20"/>
                <w:szCs w:val="20"/>
                <w:color w:val="auto"/>
              </w:rPr>
            </w:pPr>
            <w:r>
              <w:rPr>
                <w:rFonts w:ascii="Arial" w:cs="Arial" w:eastAsia="Arial" w:hAnsi="Arial"/>
                <w:sz w:val="16"/>
                <w:szCs w:val="16"/>
                <w:color w:val="auto"/>
              </w:rPr>
              <w:t>Weighted average discount - finance leases</w:t>
            </w:r>
          </w:p>
        </w:tc>
        <w:tc>
          <w:tcPr>
            <w:tcW w:w="1820" w:type="dxa"/>
            <w:vAlign w:val="bottom"/>
          </w:tcPr>
          <w:p>
            <w:pPr>
              <w:jc w:val="right"/>
              <w:spacing w:after="0"/>
              <w:rPr>
                <w:sz w:val="20"/>
                <w:szCs w:val="20"/>
                <w:color w:val="auto"/>
              </w:rPr>
            </w:pPr>
            <w:r>
              <w:rPr>
                <w:rFonts w:ascii="Arial" w:cs="Arial" w:eastAsia="Arial" w:hAnsi="Arial"/>
                <w:sz w:val="16"/>
                <w:szCs w:val="16"/>
                <w:color w:val="auto"/>
              </w:rPr>
              <w:t>4.0</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r>
    </w:tbl>
    <w:p>
      <w:pPr>
        <w:spacing w:after="0" w:line="27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Company recorded no impairment losses for the leased offshore support vessels for the year ended December 31, 2021. The Company recorded impairment losses of $5.9 million for two such leases in the year ended December 31, 2020, and $5.3 million for one such lease in the year ended December 31, 2019.</w:t>
      </w:r>
    </w:p>
    <w:p>
      <w:pPr>
        <w:spacing w:after="0" w:line="153" w:lineRule="exact"/>
        <w:rPr>
          <w:sz w:val="20"/>
          <w:szCs w:val="20"/>
          <w:color w:val="auto"/>
        </w:rPr>
      </w:pPr>
    </w:p>
    <w:p>
      <w:pPr>
        <w:ind w:left="760" w:hanging="752"/>
        <w:spacing w:after="0"/>
        <w:tabs>
          <w:tab w:leader="none" w:pos="7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88"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The Company’s long-term debt obligations as of December 31 were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Borders>
              <w:bottom w:val="single" w:sz="8" w:color="CFF0FC"/>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Recourse long-term debt</w:t>
            </w:r>
            <w:r>
              <w:rPr>
                <w:rFonts w:ascii="Arial" w:cs="Arial" w:eastAsia="Arial" w:hAnsi="Arial"/>
                <w:sz w:val="15"/>
                <w:szCs w:val="15"/>
                <w:i w:val="1"/>
                <w:iCs w:val="1"/>
                <w:color w:val="auto"/>
              </w:rPr>
              <w:t>(1)</w:t>
            </w:r>
            <w:r>
              <w:rPr>
                <w:rFonts w:ascii="Arial" w:cs="Arial" w:eastAsia="Arial" w:hAnsi="Arial"/>
                <w:sz w:val="18"/>
                <w:szCs w:val="18"/>
                <w:i w:val="1"/>
                <w:iCs w:val="1"/>
                <w:color w:val="auto"/>
              </w:rPr>
              <w: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Convertible Senior Notes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125,000</w:t>
            </w:r>
          </w:p>
        </w:tc>
        <w:tc>
          <w:tcPr>
            <w:tcW w:w="2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SEACOR Marine Foreign Holdings Credit Facility</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86,470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Sea-Cat Crewzer III Term Loan Facility</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19,178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SEACOR Offshore Delta (f/k/a SEACOSCO) Acquisition Debt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SEACOR Delta (f/k/a SEACOSCO) Shipyard Financing</w:t>
            </w:r>
            <w:r>
              <w:rPr>
                <w:rFonts w:ascii="Arial" w:cs="Arial" w:eastAsia="Arial" w:hAnsi="Arial"/>
                <w:sz w:val="15"/>
                <w:szCs w:val="15"/>
                <w:color w:val="auto"/>
              </w:rPr>
              <w:t>(2)</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86,316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95,317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SEACOR Alpine Shipyard Financing</w:t>
            </w:r>
            <w:r>
              <w:rPr>
                <w:rFonts w:ascii="Arial" w:cs="Arial" w:eastAsia="Arial" w:hAnsi="Arial"/>
                <w:sz w:val="15"/>
                <w:szCs w:val="15"/>
                <w:color w:val="auto"/>
              </w:rPr>
              <w:t>(3)</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29,734</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SEACOR 88/888 Term Loan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5,500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Tarahumara Shipyard Financing</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SEACOR Offshore OSV</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18,052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recourse long-term debt</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395,455</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399,028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i w:val="1"/>
                <w:iCs w:val="1"/>
                <w:color w:val="auto"/>
              </w:rPr>
              <w:t>Non-recourse long-term debt</w:t>
            </w:r>
            <w:r>
              <w:rPr>
                <w:rFonts w:ascii="Arial" w:cs="Arial" w:eastAsia="Arial" w:hAnsi="Arial"/>
                <w:sz w:val="15"/>
                <w:szCs w:val="15"/>
                <w:i w:val="1"/>
                <w:iCs w:val="1"/>
                <w:color w:val="auto"/>
              </w:rPr>
              <w:t>(4)</w:t>
            </w:r>
            <w:r>
              <w:rPr>
                <w:rFonts w:ascii="Arial" w:cs="Arial" w:eastAsia="Arial" w:hAnsi="Arial"/>
                <w:sz w:val="18"/>
                <w:szCs w:val="18"/>
                <w:i w:val="1"/>
                <w:iCs w:val="1"/>
                <w:color w:val="auto"/>
              </w:rPr>
              <w:t>:</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Falcon Global USA Term Loan Facility</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Falcon Global USA Revolver</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SEACOR 88/888 Term Loan</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5,500</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non-recourse long-term debt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principal due for long-term debt</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400,955</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521,877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Current portion due within one year</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(31,602)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discount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(33,398)</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(44,864)</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(3,193)</w:t>
            </w: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(4,126)</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less current portion</w:t>
            </w:r>
          </w:p>
        </w:tc>
        <w:tc>
          <w:tcPr>
            <w:tcW w:w="960" w:type="dxa"/>
            <w:vAlign w:val="bottom"/>
            <w:tcBorders>
              <w:top w:val="single" w:sz="8" w:color="auto"/>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332,762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440,510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Long-term debt related to Asset Held-for-Sale Windcat Workboats Facilities</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20" w:type="dxa"/>
            <w:vAlign w:val="bottom"/>
            <w:vMerge w:val="continue"/>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27,626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9512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14" w:lineRule="exact"/>
        <w:rPr>
          <w:sz w:val="20"/>
          <w:szCs w:val="20"/>
          <w:color w:val="auto"/>
        </w:rPr>
      </w:pPr>
    </w:p>
    <w:p>
      <w:pPr>
        <w:ind w:left="380" w:hanging="372"/>
        <w:spacing w:after="0" w:line="252" w:lineRule="auto"/>
        <w:tabs>
          <w:tab w:leader="none" w:pos="3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Recourse debt represents debt issued by SEACOR Marine and/or its subsidiaries and guaranteed by SEACOR Marine or one of its operating subsidiaries as provided in the relevant debt agreements.</w:t>
      </w:r>
    </w:p>
    <w:p>
      <w:pPr>
        <w:ind w:left="380" w:hanging="372"/>
        <w:spacing w:after="0"/>
        <w:tabs>
          <w:tab w:leader="none" w:pos="3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SEACOR Delta Shipyard Financing includes vessel financing on the eight vessels acquired in the SEACOSCO Acquisition (see “Note 3. Business Acquisitions”).</w:t>
      </w:r>
    </w:p>
    <w:p>
      <w:pPr>
        <w:spacing w:after="0" w:line="3" w:lineRule="exact"/>
        <w:rPr>
          <w:rFonts w:ascii="Arial" w:cs="Arial" w:eastAsia="Arial" w:hAnsi="Arial"/>
          <w:sz w:val="15"/>
          <w:szCs w:val="15"/>
          <w:color w:val="auto"/>
        </w:rPr>
      </w:pPr>
    </w:p>
    <w:p>
      <w:pPr>
        <w:ind w:left="380" w:hanging="372"/>
        <w:spacing w:after="0"/>
        <w:tabs>
          <w:tab w:leader="none" w:pos="3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SEACOR Alpine Shipyard Financing includes vessel financing on the SEACOR Alps, the SEACOR Andes and the SEACOR Atlas vessels.</w:t>
      </w:r>
    </w:p>
    <w:p>
      <w:pPr>
        <w:spacing w:after="0" w:line="3" w:lineRule="exact"/>
        <w:rPr>
          <w:rFonts w:ascii="Arial" w:cs="Arial" w:eastAsia="Arial" w:hAnsi="Arial"/>
          <w:sz w:val="15"/>
          <w:szCs w:val="15"/>
          <w:color w:val="auto"/>
        </w:rPr>
      </w:pPr>
    </w:p>
    <w:p>
      <w:pPr>
        <w:jc w:val="both"/>
        <w:ind w:left="380" w:hanging="372"/>
        <w:spacing w:after="0" w:line="251" w:lineRule="auto"/>
        <w:tabs>
          <w:tab w:leader="none" w:pos="3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Non-recourse debt represents debt issued by the Company’s Consolidated Subsidiaries with no recourse to SEACOR Marine or its other non-debtor operating subsidiaries with respect to the applicable instrument, other than certain limited support obligations as provided in the respective debt agreements, which in aggregate are not considered to be material to the Company’s business and financial condition.</w:t>
      </w:r>
    </w:p>
    <w:p>
      <w:pPr>
        <w:spacing w:after="0" w:line="256"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The Company’s contractual long-term debt maturities from continuing operations for the years ended December 31 were as follows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26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2023</w:t>
            </w:r>
          </w:p>
        </w:tc>
        <w:tc>
          <w:tcPr>
            <w:tcW w:w="5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55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2025</w:t>
            </w:r>
          </w:p>
        </w:tc>
        <w:tc>
          <w:tcPr>
            <w:tcW w:w="5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55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Years subsequent to 2026</w:t>
            </w:r>
          </w:p>
        </w:tc>
        <w:tc>
          <w:tcPr>
            <w:tcW w:w="55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CFF0FC"/>
            </w:tcBorders>
            <w:shd w:val="clear" w:color="auto" w:fill="CFF0FC"/>
          </w:tcPr>
          <w:p>
            <w:pPr>
              <w:spacing w:after="0"/>
              <w:rPr>
                <w:sz w:val="19"/>
                <w:szCs w:val="19"/>
                <w:color w:val="auto"/>
              </w:rPr>
            </w:pPr>
          </w:p>
        </w:tc>
        <w:tc>
          <w:tcPr>
            <w:tcW w:w="55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400,955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5580" w:type="dxa"/>
            <w:vAlign w:val="bottom"/>
            <w:vMerge w:val="restart"/>
          </w:tcPr>
          <w:p>
            <w:pPr>
              <w:jc w:val="right"/>
              <w:ind w:right="3450"/>
              <w:spacing w:after="0"/>
              <w:rPr>
                <w:sz w:val="20"/>
                <w:szCs w:val="20"/>
                <w:color w:val="auto"/>
              </w:rPr>
            </w:pPr>
            <w:r>
              <w:rPr>
                <w:rFonts w:ascii="Arial" w:cs="Arial" w:eastAsia="Arial" w:hAnsi="Arial"/>
                <w:sz w:val="18"/>
                <w:szCs w:val="18"/>
                <w:color w:val="auto"/>
              </w:rPr>
              <w:t>98</w:t>
            </w: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68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55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0" w:name="page101"/>
    <w:bookmarkEnd w:id="100"/>
    <w:p>
      <w:pPr>
        <w:ind w:left="860"/>
        <w:spacing w:after="0"/>
        <w:rPr>
          <w:sz w:val="20"/>
          <w:szCs w:val="20"/>
          <w:color w:val="auto"/>
        </w:rPr>
      </w:pPr>
      <w:r>
        <w:rPr>
          <w:rFonts w:ascii="Arial" w:cs="Arial" w:eastAsia="Arial" w:hAnsi="Arial"/>
          <w:sz w:val="18"/>
          <w:szCs w:val="18"/>
          <w:color w:val="auto"/>
        </w:rPr>
        <w:t>As of December 31, 2021, the Company is in compliance with all debt covenants and lender requirements.</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b w:val="1"/>
          <w:bCs w:val="1"/>
          <w:i w:val="1"/>
          <w:iCs w:val="1"/>
          <w:color w:val="auto"/>
        </w:rPr>
        <w:t xml:space="preserve">SEACOR Offshore OSV. </w:t>
      </w:r>
      <w:r>
        <w:rPr>
          <w:rFonts w:ascii="Arial" w:cs="Arial" w:eastAsia="Arial" w:hAnsi="Arial"/>
          <w:sz w:val="18"/>
          <w:szCs w:val="18"/>
          <w:color w:val="auto"/>
        </w:rPr>
        <w:t>In connection with the Merger, completed on December 31, 2021, the Company and SEACOR Offshore OSV assumed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guaranteed approximately $18.1 million of OSV Partners I’s third-party indebtedness outstanding under the OSV Credit Facility which requires quarterly principal payments of $0.5 million. Interest accrues under the OSV Credit Facility at a rate of Term SOFR (as defined in the Credit Facility) plus 4.68% plus Mandatory Costs (as defined in the OSV Credit Facility), if applicable. The OSV Credit Facility matures on December 31, 2023 and may be accelerated upon the occurrence of an event of default.</w:t>
      </w:r>
    </w:p>
    <w:p>
      <w:pPr>
        <w:spacing w:after="0" w:line="174" w:lineRule="exact"/>
        <w:rPr>
          <w:sz w:val="20"/>
          <w:szCs w:val="20"/>
          <w:color w:val="auto"/>
        </w:rPr>
      </w:pPr>
    </w:p>
    <w:p>
      <w:pPr>
        <w:jc w:val="both"/>
        <w:ind w:firstLine="849"/>
        <w:spacing w:after="0" w:line="255" w:lineRule="auto"/>
        <w:rPr>
          <w:sz w:val="20"/>
          <w:szCs w:val="20"/>
          <w:color w:val="auto"/>
        </w:rPr>
      </w:pPr>
      <w:r>
        <w:rPr>
          <w:rFonts w:ascii="Arial" w:cs="Arial" w:eastAsia="Arial" w:hAnsi="Arial"/>
          <w:sz w:val="18"/>
          <w:szCs w:val="18"/>
          <w:b w:val="1"/>
          <w:bCs w:val="1"/>
          <w:i w:val="1"/>
          <w:iCs w:val="1"/>
          <w:color w:val="auto"/>
        </w:rPr>
        <w:t xml:space="preserve">Tarahumara Shipyard Financing. </w:t>
      </w:r>
      <w:r>
        <w:rPr>
          <w:rFonts w:ascii="Arial" w:cs="Arial" w:eastAsia="Arial" w:hAnsi="Arial"/>
          <w:sz w:val="18"/>
          <w:szCs w:val="18"/>
          <w:color w:val="auto"/>
        </w:rPr>
        <w:t>On July 9, 2021, SEACOR Marine LLC (“SMLLC”), an indirect subsidiary of SEACOR Marine, took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delivery of the vessel named SEACOR Tarahumara, a 2021 new-build 221’ PSV. Effective upon such delivery and as partial consideration for the acquisition of the vessel, SMLLC entered into a loan agreement with Master Boat Builders, Inc. with respect to a term loan in the amount $6.5 million. This term loan matures in 2025 with interest-only payments for the first year, with the loan fully amortizing on a straight-line basis over the remaining term. The term loan bears interest at a fixed rate of 6% and is secured by a first lien mortgage on the vessel. SMLLC is the sole borrower under the loan agreement (the “Tarahumara Shipyard Financing”).</w:t>
      </w:r>
    </w:p>
    <w:p>
      <w:pPr>
        <w:spacing w:after="0" w:line="84" w:lineRule="exact"/>
        <w:rPr>
          <w:sz w:val="20"/>
          <w:szCs w:val="20"/>
          <w:color w:val="auto"/>
        </w:rPr>
      </w:pPr>
    </w:p>
    <w:p>
      <w:pPr>
        <w:jc w:val="both"/>
        <w:ind w:firstLine="1146"/>
        <w:spacing w:after="0" w:line="275" w:lineRule="auto"/>
        <w:rPr>
          <w:sz w:val="20"/>
          <w:szCs w:val="20"/>
          <w:color w:val="auto"/>
        </w:rPr>
      </w:pPr>
      <w:r>
        <w:rPr>
          <w:rFonts w:ascii="Arial" w:cs="Arial" w:eastAsia="Arial" w:hAnsi="Arial"/>
          <w:sz w:val="17"/>
          <w:szCs w:val="17"/>
          <w:b w:val="1"/>
          <w:bCs w:val="1"/>
          <w:i w:val="1"/>
          <w:iCs w:val="1"/>
          <w:color w:val="auto"/>
        </w:rPr>
        <w:t xml:space="preserve">Falcon Global. </w:t>
      </w:r>
      <w:r>
        <w:rPr>
          <w:rFonts w:ascii="Arial" w:cs="Arial" w:eastAsia="Arial" w:hAnsi="Arial"/>
          <w:sz w:val="17"/>
          <w:szCs w:val="17"/>
          <w:color w:val="auto"/>
        </w:rPr>
        <w:t>On June 10, 2021, SEACOR Marine, Falcon Global USA LLC, an indirect subsidiary of SEACOR Marine (“FGUSA”),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certain subsidiaries of FGUSA, entered into a Second Amendment and Conditional Payoff Agreement (the “Conditional Payoff Agreement”) in respect of that certain (i) term and revolving loan facility, dated as of February 8, 2018, administered by JPMorgan Chase Bank, N.A. (as amended, the “FGUSA Credit Facility”) and (ii) obligation guaranty issued by SEACOR Marine, dated February 8, 2018, pursuant to which SEACOR Marine provided a guarantee of certain limited obligations of FGUSA under the FGUSA Credit Facility (as amended, the “FGUSA Obligation Guaranty”).</w:t>
      </w:r>
    </w:p>
    <w:p>
      <w:pPr>
        <w:spacing w:after="0" w:line="68" w:lineRule="exact"/>
        <w:rPr>
          <w:sz w:val="20"/>
          <w:szCs w:val="20"/>
          <w:color w:val="auto"/>
        </w:rPr>
      </w:pPr>
    </w:p>
    <w:p>
      <w:pPr>
        <w:jc w:val="both"/>
        <w:ind w:firstLine="1153"/>
        <w:spacing w:after="0" w:line="291" w:lineRule="auto"/>
        <w:rPr>
          <w:sz w:val="20"/>
          <w:szCs w:val="20"/>
          <w:color w:val="auto"/>
        </w:rPr>
      </w:pPr>
      <w:r>
        <w:rPr>
          <w:rFonts w:ascii="Arial" w:cs="Arial" w:eastAsia="Arial" w:hAnsi="Arial"/>
          <w:sz w:val="16"/>
          <w:szCs w:val="16"/>
          <w:color w:val="auto"/>
        </w:rPr>
        <w:t>Under the terms of the Conditional Payoff Agreement, the $117.3 million of principal outstanding under the FGUSA Credit Facility was deemed satisfied in full following the payment to the lenders of a total of $50.0 million comprised of (i) $25.0 million paid by the Company at the signing of the Conditional Payoff Agreement, (ii) $22.5 million of hull and machinery insurance proceeds received by the lenders on June 18, 2021 in respect of the SEACOR Power and (iii) $2.5 million paid by the Company on June 24, 2021 (the $2.5 million was subsequently reimbursed to the Company on June 29, 2021 from hull and machinery insurance proceeds). All payments required for the extinguishment of the debt pursuant to the Conditional Payoff Agreement were made during the second quarter of 2021. Following the final payment on June 24, 2021, the FGUSA Credit Facility terminated, and the mortgages and security arrangements were released with respect to the nine liftboats securing the obligations under the FGUSA Credit Facility.</w:t>
      </w:r>
    </w:p>
    <w:p>
      <w:pPr>
        <w:spacing w:after="0" w:line="139" w:lineRule="exact"/>
        <w:rPr>
          <w:sz w:val="20"/>
          <w:szCs w:val="20"/>
          <w:color w:val="auto"/>
        </w:rPr>
      </w:pPr>
    </w:p>
    <w:p>
      <w:pPr>
        <w:jc w:val="both"/>
        <w:ind w:firstLine="849"/>
        <w:spacing w:after="0" w:line="277" w:lineRule="auto"/>
        <w:rPr>
          <w:sz w:val="20"/>
          <w:szCs w:val="20"/>
          <w:color w:val="auto"/>
        </w:rPr>
      </w:pPr>
      <w:r>
        <w:rPr>
          <w:rFonts w:ascii="Arial" w:cs="Arial" w:eastAsia="Arial" w:hAnsi="Arial"/>
          <w:sz w:val="18"/>
          <w:szCs w:val="18"/>
          <w:color w:val="auto"/>
        </w:rPr>
        <w:t>On June 24, 2021, the Company recognized a gain on transactions under the Conditional Payoff Agreement of approximately $62.0 million, calculated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June 24, 2021</w:t>
            </w:r>
          </w:p>
        </w:tc>
        <w:tc>
          <w:tcPr>
            <w:tcW w:w="100" w:type="dxa"/>
            <w:vAlign w:val="bottom"/>
            <w:tcBorders>
              <w:bottom w:val="single" w:sz="8" w:color="CFF0FC"/>
            </w:tcBorders>
          </w:tcPr>
          <w:p>
            <w:pPr>
              <w:spacing w:after="0"/>
              <w:rPr>
                <w:sz w:val="20"/>
                <w:szCs w:val="20"/>
                <w:color w:val="auto"/>
              </w:rPr>
            </w:pPr>
          </w:p>
        </w:tc>
      </w:tr>
      <w:tr>
        <w:trPr>
          <w:trHeight w:val="223"/>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Falcon Global USA Term Loan Facility</w:t>
            </w:r>
          </w:p>
        </w:tc>
        <w:tc>
          <w:tcPr>
            <w:tcW w:w="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102,349</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Falcon Global USA Revolver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Unamortized debt discount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(4,600)</w:t>
            </w:r>
          </w:p>
        </w:tc>
      </w:tr>
      <w:tr>
        <w:trPr>
          <w:trHeight w:val="223"/>
        </w:trPr>
        <w:tc>
          <w:tcPr>
            <w:tcW w:w="9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Liabilities</w:t>
            </w: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112,749</w:t>
            </w:r>
          </w:p>
        </w:tc>
        <w:tc>
          <w:tcPr>
            <w:tcW w:w="100" w:type="dxa"/>
            <w:vAlign w:val="bottom"/>
            <w:tcBorders>
              <w:bottom w:val="single" w:sz="8" w:color="CFF0FC"/>
            </w:tcBorders>
          </w:tcPr>
          <w:p>
            <w:pPr>
              <w:spacing w:after="0"/>
              <w:rPr>
                <w:sz w:val="19"/>
                <w:szCs w:val="19"/>
                <w:color w:val="auto"/>
              </w:rPr>
            </w:pPr>
          </w:p>
        </w:tc>
      </w:tr>
      <w:tr>
        <w:trPr>
          <w:trHeight w:val="223"/>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Transaction Fees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260"/>
              <w:spacing w:after="0"/>
              <w:rPr>
                <w:sz w:val="20"/>
                <w:szCs w:val="20"/>
                <w:color w:val="auto"/>
              </w:rPr>
            </w:pPr>
            <w:r>
              <w:rPr>
                <w:rFonts w:ascii="Arial" w:cs="Arial" w:eastAsia="Arial" w:hAnsi="Arial"/>
                <w:sz w:val="18"/>
                <w:szCs w:val="18"/>
                <w:color w:val="auto"/>
              </w:rPr>
              <w:t>Cash Paid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(27,500)</w:t>
            </w:r>
          </w:p>
        </w:tc>
      </w:tr>
      <w:tr>
        <w:trPr>
          <w:trHeight w:val="230"/>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Hull and Machinery Insurance Proceeds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(22,500)</w:t>
            </w:r>
          </w:p>
        </w:tc>
      </w:tr>
      <w:tr>
        <w:trPr>
          <w:trHeight w:val="223"/>
        </w:trPr>
        <w:tc>
          <w:tcPr>
            <w:tcW w:w="9260" w:type="dxa"/>
            <w:vAlign w:val="bottom"/>
          </w:tcPr>
          <w:p>
            <w:pPr>
              <w:ind w:left="260"/>
              <w:spacing w:after="0"/>
              <w:rPr>
                <w:sz w:val="20"/>
                <w:szCs w:val="20"/>
                <w:color w:val="auto"/>
              </w:rPr>
            </w:pPr>
            <w:r>
              <w:rPr>
                <w:rFonts w:ascii="Arial" w:cs="Arial" w:eastAsia="Arial" w:hAnsi="Arial"/>
                <w:sz w:val="18"/>
                <w:szCs w:val="18"/>
                <w:b w:val="1"/>
                <w:bCs w:val="1"/>
                <w:color w:val="auto"/>
              </w:rPr>
              <w:t>Gain on Troubled Debt Restructuring</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61,994</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849"/>
        <w:spacing w:after="0" w:line="277" w:lineRule="auto"/>
        <w:rPr>
          <w:sz w:val="20"/>
          <w:szCs w:val="20"/>
          <w:color w:val="auto"/>
        </w:rPr>
      </w:pPr>
      <w:r>
        <w:rPr>
          <w:rFonts w:ascii="Arial" w:cs="Arial" w:eastAsia="Arial" w:hAnsi="Arial"/>
          <w:sz w:val="18"/>
          <w:szCs w:val="18"/>
          <w:color w:val="auto"/>
        </w:rPr>
        <w:t>As of December 31, 2021, the gain on troubled debt restructuring resulted in an increase of basic and diluted earnings per share of $2.44 and $2.43, respectively.</w:t>
      </w:r>
    </w:p>
    <w:p>
      <w:pPr>
        <w:spacing w:after="0" w:line="143" w:lineRule="exact"/>
        <w:rPr>
          <w:sz w:val="20"/>
          <w:szCs w:val="20"/>
          <w:color w:val="auto"/>
        </w:rPr>
      </w:pPr>
    </w:p>
    <w:p>
      <w:pPr>
        <w:jc w:val="both"/>
        <w:ind w:firstLine="849"/>
        <w:spacing w:after="0" w:line="255" w:lineRule="auto"/>
        <w:rPr>
          <w:sz w:val="20"/>
          <w:szCs w:val="20"/>
          <w:color w:val="auto"/>
        </w:rPr>
      </w:pPr>
      <w:r>
        <w:rPr>
          <w:rFonts w:ascii="Arial" w:cs="Arial" w:eastAsia="Arial" w:hAnsi="Arial"/>
          <w:sz w:val="18"/>
          <w:szCs w:val="18"/>
          <w:b w:val="1"/>
          <w:bCs w:val="1"/>
          <w:i w:val="1"/>
          <w:iCs w:val="1"/>
          <w:color w:val="auto"/>
        </w:rPr>
        <w:t xml:space="preserve">SEACOR Alpine. </w:t>
      </w:r>
      <w:r>
        <w:rPr>
          <w:rFonts w:ascii="Arial" w:cs="Arial" w:eastAsia="Arial" w:hAnsi="Arial"/>
          <w:sz w:val="18"/>
          <w:szCs w:val="18"/>
          <w:color w:val="auto"/>
        </w:rPr>
        <w:t>In 2019, the Company committed to take possession of three Rolls Royce UT1771 CDL designed diesel electric powered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PSVs of 3,800 tons delivered deadweight capacity with dynamic position class 2 and firefighting class 1 notations. As part of this transaction, the shipbuilder, COSCO Shipping Heavy Industry (Zhoushan) Co. Ltd., agreed to finance 70% of the cost of each of these vessels pursuant to a deferred payment agreement. The deferred payment agreement calls for increasing quarterly payments of principal and interest payments that bear interest at an annual rate of 5% over a four-year term from delivery. The Company took delivery of the SEACOR Alps, the SEACOR Andes and the SEACOR Atlas on September 30, 2019, April 20, 2020 and August 10, 2020, respectively.</w:t>
      </w:r>
    </w:p>
    <w:p>
      <w:pPr>
        <w:spacing w:after="0" w:line="192" w:lineRule="exact"/>
        <w:rPr>
          <w:sz w:val="20"/>
          <w:szCs w:val="20"/>
          <w:color w:val="auto"/>
        </w:rPr>
      </w:pPr>
    </w:p>
    <w:p>
      <w:pPr>
        <w:jc w:val="both"/>
        <w:ind w:firstLine="849"/>
        <w:spacing w:after="0" w:line="259" w:lineRule="auto"/>
        <w:rPr>
          <w:sz w:val="20"/>
          <w:szCs w:val="20"/>
          <w:color w:val="auto"/>
        </w:rPr>
      </w:pPr>
      <w:r>
        <w:rPr>
          <w:rFonts w:ascii="Arial" w:cs="Arial" w:eastAsia="Arial" w:hAnsi="Arial"/>
          <w:sz w:val="18"/>
          <w:szCs w:val="18"/>
          <w:b w:val="1"/>
          <w:bCs w:val="1"/>
          <w:i w:val="1"/>
          <w:iCs w:val="1"/>
          <w:color w:val="auto"/>
        </w:rPr>
        <w:t xml:space="preserve">Windcat Workboats. </w:t>
      </w:r>
      <w:r>
        <w:rPr>
          <w:rFonts w:ascii="Arial" w:cs="Arial" w:eastAsia="Arial" w:hAnsi="Arial"/>
          <w:sz w:val="18"/>
          <w:szCs w:val="18"/>
          <w:color w:val="auto"/>
        </w:rPr>
        <w:t>On March 3, 2020, Windcat Workboats, together with certain other obligors that are its subsidiaries entered into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(the “RCF Amendment”) with Coöperatieve Rabobank U.A. to amend the €25 million revolving credit facility agreement, originally dated as of May 24, 2016, as amended and restated from time to time. Amended provisions included, among other things, the extension of the maturity date from December 31, 2021 to December 31, 2022. Applicable fees in the amount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1" w:name="page102"/>
    <w:bookmarkEnd w:id="101"/>
    <w:p>
      <w:pPr>
        <w:jc w:val="both"/>
        <w:spacing w:after="0" w:line="257" w:lineRule="auto"/>
        <w:rPr>
          <w:sz w:val="20"/>
          <w:szCs w:val="20"/>
          <w:color w:val="auto"/>
        </w:rPr>
      </w:pPr>
      <w:r>
        <w:rPr>
          <w:rFonts w:ascii="Arial" w:cs="Arial" w:eastAsia="Arial" w:hAnsi="Arial"/>
          <w:sz w:val="18"/>
          <w:szCs w:val="18"/>
          <w:color w:val="auto"/>
        </w:rPr>
        <w:t>of €0.1 million were paid in conjunction with the RCF Amendment and will be amortized over the credit facility term. During the year ended December 31, 2020, the Company borrowed an additional €1.0 million under the Windcat Workboats credit facilities, resulting in a net increase in USD borrowings of $1.1 million. On December 18, 2020, the Company announced the sale of Windcat Workboats, which was completed on January 12, 2021. Upon completion of the sale, the Windcat Buyer assumed all financial obligations related to Windcat Workboats. The long-term debt obligations as of December 31, 2020 were classified as liabilities associated with assets held for sale.</w:t>
      </w:r>
    </w:p>
    <w:p>
      <w:pPr>
        <w:spacing w:after="0" w:line="147" w:lineRule="exact"/>
        <w:rPr>
          <w:sz w:val="20"/>
          <w:szCs w:val="20"/>
          <w:color w:val="auto"/>
        </w:rPr>
      </w:pPr>
    </w:p>
    <w:p>
      <w:pPr>
        <w:jc w:val="both"/>
        <w:ind w:firstLine="849"/>
        <w:spacing w:after="0" w:line="254" w:lineRule="auto"/>
        <w:rPr>
          <w:sz w:val="20"/>
          <w:szCs w:val="20"/>
          <w:color w:val="auto"/>
        </w:rPr>
      </w:pPr>
      <w:r>
        <w:rPr>
          <w:rFonts w:ascii="Arial" w:cs="Arial" w:eastAsia="Arial" w:hAnsi="Arial"/>
          <w:sz w:val="18"/>
          <w:szCs w:val="18"/>
          <w:b w:val="1"/>
          <w:bCs w:val="1"/>
          <w:i w:val="1"/>
          <w:iCs w:val="1"/>
          <w:color w:val="auto"/>
        </w:rPr>
        <w:t xml:space="preserve">SEACOR Offshore Delta (f/k/a SEACOSCO). </w:t>
      </w:r>
      <w:r>
        <w:rPr>
          <w:rFonts w:ascii="Arial" w:cs="Arial" w:eastAsia="Arial" w:hAnsi="Arial"/>
          <w:sz w:val="18"/>
          <w:szCs w:val="18"/>
          <w:color w:val="auto"/>
        </w:rPr>
        <w:t>On June 30, 2020, the Company completed the acquisition of the SEACOSCO Interests that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did not already own. The deferred portion of the SEACOSCO Purchase Price is payable in annual installment payments of $1.0 million, $2.5 million and $2.5 million in the first, second and third year after the SEACOSCO SPA Signing Date, respectively, with the remaining $13.7 million due four years after such date. The deferred portion of the SEACOSCO Purchase Price accrues interest at a fixed rate of 1.5%, 7.0%, 7.5% and 8.0% for the first through fourth years after the signing date, respectively. The Guangdong DPAs comprising the SEACOR Delta Shipyard Financing provide for amortization of the purchase price for each vessel over a period of 10 years from delivery with the unpaid amount bearing floating interest rate of three-month LIBOR plus 4.0% (see “Note 3. Business Acquisitions”).</w:t>
      </w:r>
    </w:p>
    <w:p>
      <w:pPr>
        <w:spacing w:after="0" w:line="168" w:lineRule="exact"/>
        <w:rPr>
          <w:sz w:val="20"/>
          <w:szCs w:val="20"/>
          <w:color w:val="auto"/>
        </w:rPr>
      </w:pPr>
    </w:p>
    <w:p>
      <w:pPr>
        <w:jc w:val="both"/>
        <w:ind w:firstLine="849"/>
        <w:spacing w:after="0" w:line="268" w:lineRule="auto"/>
        <w:rPr>
          <w:sz w:val="20"/>
          <w:szCs w:val="20"/>
          <w:color w:val="auto"/>
        </w:rPr>
      </w:pPr>
      <w:r>
        <w:rPr>
          <w:rFonts w:ascii="Arial" w:cs="Arial" w:eastAsia="Arial" w:hAnsi="Arial"/>
          <w:sz w:val="17"/>
          <w:szCs w:val="17"/>
          <w:b w:val="1"/>
          <w:bCs w:val="1"/>
          <w:i w:val="1"/>
          <w:iCs w:val="1"/>
          <w:color w:val="auto"/>
        </w:rPr>
        <w:t xml:space="preserve">SEACOR Marine Foreign Holdings. </w:t>
      </w:r>
      <w:r>
        <w:rPr>
          <w:rFonts w:ascii="Arial" w:cs="Arial" w:eastAsia="Arial" w:hAnsi="Arial"/>
          <w:sz w:val="17"/>
          <w:szCs w:val="17"/>
          <w:color w:val="auto"/>
        </w:rPr>
        <w:t>On September 26, 2018, SEACOR Marine Foreign Holdings Inc. (“SMFH”), a wholly-owned subsidiary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Company, entered into a $130.0 million loan facility with a syndicate of lenders administered by DNB Bank ASA (as amended from time to time, the “SMFH Loan Facility”). Subject to Amendment No. 1, Amendment No. 2, Amendment No. 3 and the Letter Agreement described below, SMFH’s obligations pursuant to the SMFH Loan Facility were initially secured by mortgages on 20 vessels owned by the Company’s vessel owning subsidiaries as well as an assignment of earnings from those subsidiaries. The loan matures in 2023 and bears interest at a variable rate based on LIBOR (currently 3.9%). The obligations of SMFH under the SMFH Loan Facility are guaranteed by SEACOR Marine (the “SMFH Loan Facility Guaranty”). The proceeds from the SMFH Loan Facility were used to pay off all obligations under other credit facilities of subsidiaries of the Company (Falcon Global International Term Loan Facility, Sea-Cat Crewzer II Term Loan Facility, Sea-Cat Crewzer Term Loan Facility and C-Lift Acquisition Notes totaling $101.3 million, consisting of $99.9 million principal and $1.4 million accrued interest), resulting in a net increase in term debt of $30.1 million. Principal payments of $3.3 million per quarter under the SMFH Loan Facility began in December 2018. As a result of this transaction, the Company recognized a loss of $0.6 million upon the extinguishment of debt. In October 2018, the Company entered into an interest rate swap agreement on the notional value at inception of $65.0 million related to this debt (see “Note 10. Derivative Instruments and Hedging Strategies”). The SMFH Loan Facility provides for customary events of default and has customary affirmative and negative covenants for transactions of this type that are applicable to SEACOR Marine, SMFH and its subsidiaries.</w:t>
      </w:r>
    </w:p>
    <w:p>
      <w:pPr>
        <w:spacing w:after="0" w:line="144"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On August 6, 2019, SEACOR Marine, SMFH, and certain vessel-owning subsidiaries of SEACOR Marine, entered into Amendment No. 1 to the SMFH Loan Facility and SMFH Loan Facility Guaranty (the “Amendment No. 1”), which provided for, among other things, (i) the release of one vessel from a mortgage securing the SMFH Loan Facility and the substitution of mortgages over two other vessels owned by vessel-owning subsidiaries of SEACOR Marine, and (ii) the modification of certain financial maintenance and restrictive covenants contained in the SMFH Loan Facility or the SMFH Loan Facility Guaranty, including with respect to asset maintenance, vessel collateral releases, EBTIDA coverage ratios and the payment of dividends and distributions. On November 26, 2019, SEACOR Marine, SMFH, and certain vessel-owning subsidiaries of SEACOR Marine, entered into Amendment No. 2 to the SMFH Loan Facility, as amended (the “Amendment No. 2”), which provided for, among other things, (i) the release of six vessels from mortgages securing the SMFH Loan Facility and the substitution of mortgages over three other vessels owned by vessel-owning subsidiaries of SEACOR Marine and (ii) the bareboat registration in Nigeria of a vessel subject to a mortgage securing the SMFH Loan Facility.</w:t>
      </w:r>
    </w:p>
    <w:p>
      <w:pPr>
        <w:spacing w:after="0" w:line="126" w:lineRule="exact"/>
        <w:rPr>
          <w:sz w:val="20"/>
          <w:szCs w:val="20"/>
          <w:color w:val="auto"/>
        </w:rPr>
      </w:pPr>
    </w:p>
    <w:p>
      <w:pPr>
        <w:jc w:val="both"/>
        <w:ind w:firstLine="849"/>
        <w:spacing w:after="0" w:line="255" w:lineRule="auto"/>
        <w:rPr>
          <w:sz w:val="20"/>
          <w:szCs w:val="20"/>
          <w:color w:val="auto"/>
        </w:rPr>
      </w:pPr>
      <w:r>
        <w:rPr>
          <w:rFonts w:ascii="Arial" w:cs="Arial" w:eastAsia="Arial" w:hAnsi="Arial"/>
          <w:sz w:val="18"/>
          <w:szCs w:val="18"/>
          <w:color w:val="auto"/>
        </w:rPr>
        <w:t>On June 29, 2020, SEACOR Marine, SMFH, and certain vessel-owning subsidiaries of SEACOR Marine, entered into Amendment No. 3 to the SMFH Loan Facility, as amended (the “Amendment No. 3”), which provides for, among other things, (i) the modification of certain financial maintenance and restrictive covenants contained in the SMFH Loan Facility or the guaranty provided by SEACOR Marine with respect thereto, including with respect to EBITDA coverage ratios, mandatory prepayment events, and the exclusion of certain indebtedness associated with the acquisition of the SEACOSCO Interests, and (ii) the placement of mortgages on two additional vessels owned by vessel-owning subsidiaries of SEACOR Marine as security for the indebtedness under the SMFH Loan Facility.</w:t>
      </w:r>
    </w:p>
    <w:p>
      <w:pPr>
        <w:spacing w:after="0" w:line="165" w:lineRule="exact"/>
        <w:rPr>
          <w:sz w:val="20"/>
          <w:szCs w:val="20"/>
          <w:color w:val="auto"/>
        </w:rPr>
      </w:pPr>
    </w:p>
    <w:p>
      <w:pPr>
        <w:jc w:val="both"/>
        <w:ind w:firstLine="849"/>
        <w:spacing w:after="0" w:line="257" w:lineRule="auto"/>
        <w:rPr>
          <w:sz w:val="20"/>
          <w:szCs w:val="20"/>
          <w:color w:val="auto"/>
        </w:rPr>
      </w:pPr>
      <w:r>
        <w:rPr>
          <w:rFonts w:ascii="Arial" w:cs="Arial" w:eastAsia="Arial" w:hAnsi="Arial"/>
          <w:sz w:val="18"/>
          <w:szCs w:val="18"/>
          <w:color w:val="auto"/>
        </w:rPr>
        <w:t>On December 18, 2020, SEACOR Marine, SMFH and DNB Bank ASA, New York Branch, as facility agent on behalf of the lenders under the SMFH Loan Facility, and SMFH Loan Facility Guaranty, entered into a letter agreement (the “Letter Agreement”) pursuant to which an estimated $31.2 million tax refund receivable from the IRS under the Coronavirus Aid, Relief, and Economic Security Act (“CARES Act”) which was to be treated as cash or cash equivalents, for the period up to and including January 31, 2021, for purposes of calculating the Company’s cash or cash equivalent balances required under the SMFH Loan Facility Guaranty.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jc w:val="both"/>
        <w:ind w:firstLine="749"/>
        <w:spacing w:after="0" w:line="254" w:lineRule="auto"/>
        <w:rPr>
          <w:sz w:val="20"/>
          <w:szCs w:val="20"/>
          <w:color w:val="auto"/>
        </w:rPr>
      </w:pPr>
      <w:r>
        <w:rPr>
          <w:rFonts w:ascii="Arial" w:cs="Arial" w:eastAsia="Arial" w:hAnsi="Arial"/>
          <w:sz w:val="18"/>
          <w:szCs w:val="18"/>
          <w:b w:val="1"/>
          <w:bCs w:val="1"/>
          <w:i w:val="1"/>
          <w:iCs w:val="1"/>
          <w:color w:val="auto"/>
        </w:rPr>
        <w:t xml:space="preserve">Convertible Senior Notes. </w:t>
      </w:r>
      <w:r>
        <w:rPr>
          <w:rFonts w:ascii="Arial" w:cs="Arial" w:eastAsia="Arial" w:hAnsi="Arial"/>
          <w:sz w:val="18"/>
          <w:szCs w:val="18"/>
          <w:color w:val="auto"/>
        </w:rPr>
        <w:t>On December 1, 2015, the Company issued $175.0 million in aggregate principal amount of its Convertible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(the “Convertible Senior Notes”), at an interest rate of 3.75%, initially due December 1, 2022, (subsequently amended to December 2, 2023 as described below) to investment funds managed and controlled by the Carlyle Group (collectively “Carlyle”). The Convertible Senior Notes are convertible into shares of Common Stock at a conversion rate of 23.26 shares per $1,000 in principal amount of such notes, subject to certain conditions, or, into warrants to purchase an equal number of shares of Common Stock at an exercise price of $0.01 per share in order to facilitate the Company’s compliance with the provisions of the Jones Act. The indenture governing the Convertible Senior Notes contains customary events of default with respect to the Convertible Senior Notes.</w:t>
      </w:r>
    </w:p>
    <w:p>
      <w:pPr>
        <w:spacing w:after="0" w:line="16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The Company bifurcated the embedded conversion option liability of $27.3 million from the Convertible Senior Notes and recorded an additional debt discount (see “Note 10. Derivative Instruments and Hedging Strategies” and “Note 11. Fair Value Measurements”). The adjusted unamortized debt discount and issue costs are being amortized as additional non-cash interest expense over the remaining maturity of the debt for an overall effective interest rate of 7.95% and the changes in the fair value of the bifurcated derivative are recorded as derivative income or loss.</w:t>
      </w:r>
    </w:p>
    <w:p>
      <w:pPr>
        <w:spacing w:after="0" w:line="131"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6"/>
          <w:szCs w:val="16"/>
          <w:color w:val="auto"/>
        </w:rPr>
        <w:t>On May 2, 2018, the Company and Carlyle entered into an exchange transaction (the “Exchange”) pursuant to which Carlyle exchanged $50 million in principal amount of the Convertible Senior Notes for Warrants to purchase 1,886,792 shares of Common Stock (to facilitate compliance with the provisions of the Jones Act) at an exercise price of $0.01 per share, subject to adjustments (the “Carlyle Warrants”), representing an implied exchange rate of approximately 37.73 shares per $1,000 in principal amount of the Convertible Senior Notes (equivalent to an exchange price of $26.50 per share). The Carlyle Warrants have a 25-year term, which commenced May 2, 2018. The Company and Carlyle also amended the $125.0 million in principal amount of Convertible Senior Notes that remained outstanding following the Exchange to (i) increase the interest rate from 3.75% per annum to 4.25% per annum and</w:t>
      </w:r>
    </w:p>
    <w:p>
      <w:pPr>
        <w:spacing w:after="0" w:line="4" w:lineRule="exact"/>
        <w:rPr>
          <w:sz w:val="20"/>
          <w:szCs w:val="20"/>
          <w:color w:val="auto"/>
        </w:rPr>
      </w:pPr>
    </w:p>
    <w:p>
      <w:pPr>
        <w:ind w:firstLine="8"/>
        <w:spacing w:after="0" w:line="260" w:lineRule="auto"/>
        <w:tabs>
          <w:tab w:leader="none" w:pos="2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extend the maturity date of the Convertible Senior Notes by 12 months to December 1, 2023. Interest on the Convertible Senior Notes is payable semi-annually on June 15 and December 15 of each year.</w:t>
      </w:r>
    </w:p>
    <w:p>
      <w:pPr>
        <w:spacing w:after="0" w:line="145"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b w:val="1"/>
          <w:bCs w:val="1"/>
          <w:i w:val="1"/>
          <w:iCs w:val="1"/>
          <w:color w:val="auto"/>
        </w:rPr>
        <w:t xml:space="preserve">Sea-Cat Crewzer III Term Loan Facility. </w:t>
      </w:r>
      <w:r>
        <w:rPr>
          <w:rFonts w:ascii="Arial" w:cs="Arial" w:eastAsia="Arial" w:hAnsi="Arial"/>
          <w:sz w:val="17"/>
          <w:szCs w:val="17"/>
          <w:color w:val="auto"/>
        </w:rPr>
        <w:t>On April 21, 2016, Sea-Cat Crewzer III LLC (“Sea-Cat Crewzer III”) entered into a €27.6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 loan facility (payable in U.S. dollars) secured by the vessel owned by Sea-Cat Crewzer III and fully guaranteed by SEACOR Marine (the “Sea-Cat Crewzer III Loan Facility”). Borrowings under the facility bear interest at a Commercial Interest Reference Rate, currently 2.76%. During the years ended December 31, 2017 and 2016, Sea-Cat Crewzer III drew $7.1 million and $22.8 million, respectively, under the facility and incurred issue costs of $2.7 million in 2016 related to this facility. During the years ended December 31, 2018 Sea-Cat Crewzer III made scheduled payments of $3.1 million, related to this facility. On December 26, 2019, Sea-Cat Crewzer III, SEACOR Marine, Banco Santander S.A. (as mandated lead arranger and agent), and Santander Bank, N.A. (as lender) entered into Amendment No. 1 to the Sea-Cat Crewzer III Loan Facility, which provided for, among other things, an increase to the maximum debt to capitalization ratio required to be maintained thereunder. On December 24, 2020, Sea-Cat Crewzer III, SEACOR Marine, Banco Santander S.A. (as mandated lead arranger and agent), and Santander Bank, N.A. (as lender) entered into Amendment No. 2 to the Sea-Cat Crewzer III Loan Facility, which provided for, among other things, a waiver of the covenant breaches related to maximum debt to capitalization ratio and the exclusion of certain obligations of the guarantor from the guarantor’s net financial debt for purposes of calculating the guarantor’s permitted net financial debt to equity. The original loan agreement did not expressly exclude certain obligation of the guarantor, including but not limited to non-recourse obligations. This amendment allows Sea-Cat Crewzer III to be in compliance with its debt agreements.</w:t>
      </w:r>
    </w:p>
    <w:p>
      <w:pPr>
        <w:spacing w:after="0" w:line="159"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b w:val="1"/>
          <w:bCs w:val="1"/>
          <w:i w:val="1"/>
          <w:iCs w:val="1"/>
          <w:color w:val="auto"/>
        </w:rPr>
        <w:t xml:space="preserve">SEACOR 88/888. </w:t>
      </w:r>
      <w:r>
        <w:rPr>
          <w:rFonts w:ascii="Arial" w:cs="Arial" w:eastAsia="Arial" w:hAnsi="Arial"/>
          <w:sz w:val="17"/>
          <w:szCs w:val="17"/>
          <w:color w:val="auto"/>
        </w:rPr>
        <w:t>On July 5, 2018, a wholly owned subsidiary of SEACOR Marine entered into a new term loan of $11.0 million and used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funds to acquire two vessels, the SEACOR 88 and SEACOR 888, that were previously managed (but not owned) by the Company. The term loan matures in 2023, bears interest at a variable rate (currently 3.75%) and is secured by the two vessels. SEACOR Marine provided a limited guaranty of such loan under which claims recoverable from SEACOR Marine shall not exceed the lesser of (x) $5.5 million and (y) 50% of the obligations outstanding at the time a claim is made thereunder. In October 2018, the Company entered into an interest rate swap agreement on the notional value at inception of $5.5 million related to this loan (see “Note 10. Derivative Instruments and Hedging Strategies”).</w:t>
      </w:r>
    </w:p>
    <w:p>
      <w:pPr>
        <w:spacing w:after="0" w:line="13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b w:val="1"/>
          <w:bCs w:val="1"/>
          <w:i w:val="1"/>
          <w:iCs w:val="1"/>
          <w:color w:val="auto"/>
        </w:rPr>
        <w:t xml:space="preserve">Letters of Credit. </w:t>
      </w:r>
      <w:r>
        <w:rPr>
          <w:rFonts w:ascii="Arial" w:cs="Arial" w:eastAsia="Arial" w:hAnsi="Arial"/>
          <w:sz w:val="18"/>
          <w:szCs w:val="18"/>
          <w:color w:val="auto"/>
        </w:rPr>
        <w:t>As of December 31, 2021, the Company had outstanding letters of credit totaling $1.2 million securing lease obligations, labor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performance guarantees.</w:t>
      </w:r>
    </w:p>
    <w:p>
      <w:pPr>
        <w:spacing w:after="0" w:line="126" w:lineRule="exact"/>
        <w:rPr>
          <w:sz w:val="20"/>
          <w:szCs w:val="20"/>
          <w:color w:val="auto"/>
        </w:rPr>
      </w:pPr>
    </w:p>
    <w:p>
      <w:pPr>
        <w:ind w:left="760" w:hanging="752"/>
        <w:spacing w:after="0"/>
        <w:tabs>
          <w:tab w:leader="none" w:pos="7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849"/>
        <w:spacing w:after="0" w:line="257" w:lineRule="auto"/>
        <w:rPr>
          <w:sz w:val="20"/>
          <w:szCs w:val="20"/>
          <w:color w:val="auto"/>
        </w:rPr>
      </w:pPr>
      <w:r>
        <w:rPr>
          <w:rFonts w:ascii="Arial" w:cs="Arial" w:eastAsia="Arial" w:hAnsi="Arial"/>
          <w:sz w:val="18"/>
          <w:szCs w:val="18"/>
          <w:color w:val="auto"/>
        </w:rPr>
        <w:t>On March 27, 2020 the Coronavirus Aid, Relief, and Economic Security Act (“CARES Act”) was enacted into law in response to the COVID-19 pandemic. The CARES Act lifts certain deduction limitations originally imposed by the 2017 Tax Act. Under the CARES Act, corporate taxpayers may carry back NOLs realized during 2018 through 2020 for up to five years. The CARES Act also eliminates the 80% of taxable income limitations by allowing corporate entities to fully utilize NOL carryforwards to offset taxable income in 2018 through 2020, and increased the deductible interest expense limit, as discussed in further detail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3" w:name="page104"/>
    <w:bookmarkEnd w:id="103"/>
    <w:p>
      <w:pPr>
        <w:jc w:val="both"/>
        <w:ind w:firstLine="849"/>
        <w:spacing w:after="0" w:line="272" w:lineRule="auto"/>
        <w:rPr>
          <w:sz w:val="20"/>
          <w:szCs w:val="20"/>
          <w:color w:val="auto"/>
        </w:rPr>
      </w:pPr>
      <w:r>
        <w:rPr>
          <w:rFonts w:ascii="Arial" w:cs="Arial" w:eastAsia="Arial" w:hAnsi="Arial"/>
          <w:sz w:val="17"/>
          <w:szCs w:val="17"/>
          <w:color w:val="auto"/>
        </w:rPr>
        <w:t>On June 26, 2020, the Company entered into a Tax Refund and Indemnification Agreement (the “Tax Refund Agreement”) with SEACOR Holdings Inc. (“SEACOR Holdings”), the Company’s former parent company (see “Note 17. Related Party Transactions”). The Tax Refund Agreement enabled the Company to utilize net operating losses (“NOLs”) generated in 2018 and 2019 to claim refunds for tax years prior to the Company’s spin-off from SEACOR Holdings in 2017 (at which time the Company was included in SEACOR Holdings consolidated tax returns) that were permitted to be carried back pursuant to the provisions of the CARES Act and for which SEACOR Holdings needed to claim the refund on behalf of the Company. As a result, the Company received an aggregate amount of cash tax refunds of $32.3 million (including $1.1 million of interest paid by the Internal Revenue Service (“IRS”) in respect of refund payment delays due in part to the COVID-19 pandemic).</w:t>
      </w:r>
    </w:p>
    <w:p>
      <w:pPr>
        <w:spacing w:after="0" w:line="177" w:lineRule="exact"/>
        <w:rPr>
          <w:sz w:val="20"/>
          <w:szCs w:val="20"/>
          <w:color w:val="auto"/>
        </w:rPr>
      </w:pPr>
    </w:p>
    <w:p>
      <w:pPr>
        <w:jc w:val="both"/>
        <w:ind w:firstLine="849"/>
        <w:spacing w:after="0" w:line="255" w:lineRule="auto"/>
        <w:rPr>
          <w:sz w:val="20"/>
          <w:szCs w:val="20"/>
          <w:color w:val="auto"/>
        </w:rPr>
      </w:pPr>
      <w:r>
        <w:rPr>
          <w:rFonts w:ascii="Arial" w:cs="Arial" w:eastAsia="Arial" w:hAnsi="Arial"/>
          <w:sz w:val="18"/>
          <w:szCs w:val="18"/>
          <w:color w:val="auto"/>
        </w:rPr>
        <w:t>SEACOR Holdings retained certain of the funds to facilitate tax savings realized by SEACOR Holdings of no less than 35% of the amount of its own 2019 NOLs. Additionally, a $3.0 million transaction fee was paid to SEACOR Holdings concurrently with the signing of the agreement as consideration for its cooperation in connection with the filing of the applicable tax refund returns. The Tax Refund Agreement did not restrict the use of approximately $23.1 million of the refund and required the remaining approximately $8.1 million required to be deposited into an account to be used solely to satisfy certain of the Company’s obligations that remained guaranteed by SEACOR Holdings. As of December 31, 2021, the Company has applied all of the amount deposited to satisfy these obligations in full.</w:t>
      </w:r>
    </w:p>
    <w:p>
      <w:pPr>
        <w:spacing w:after="0" w:line="15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Income (loss) before income tax benefit and equity in earnings (losses) of 50% or less owned companies derived from U.S. and foreign companies for the years ended December 31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Borders>
              <w:bottom w:val="single" w:sz="8" w:color="CFF0FC"/>
            </w:tcBorders>
          </w:tcPr>
          <w:p>
            <w:pPr>
              <w:spacing w:after="0"/>
              <w:rPr>
                <w:sz w:val="20"/>
                <w:szCs w:val="20"/>
                <w:color w:val="auto"/>
              </w:rPr>
            </w:pPr>
          </w:p>
        </w:tc>
        <w:tc>
          <w:tcPr>
            <w:tcW w:w="28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20"/>
                <w:szCs w:val="20"/>
                <w:color w:val="auto"/>
              </w:rPr>
            </w:pP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8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(83,560)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(71,833)</w:t>
            </w:r>
          </w:p>
        </w:tc>
        <w:tc>
          <w:tcPr>
            <w:tcW w:w="100" w:type="dxa"/>
            <w:vAlign w:val="bottom"/>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Foreign</w:t>
            </w: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(29,425)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(17,748)</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(23,663)</w:t>
            </w: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Eliminations</w:t>
            </w:r>
          </w:p>
        </w:tc>
        <w:tc>
          <w:tcPr>
            <w:tcW w:w="28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3,201</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11,022</w:t>
            </w:r>
          </w:p>
        </w:tc>
        <w:tc>
          <w:tcPr>
            <w:tcW w:w="100" w:type="dxa"/>
            <w:vAlign w:val="bottom"/>
            <w:shd w:val="clear" w:color="auto" w:fill="CFF0FC"/>
          </w:tcPr>
          <w:p>
            <w:pPr>
              <w:spacing w:after="0"/>
              <w:rPr>
                <w:sz w:val="19"/>
                <w:szCs w:val="19"/>
                <w:color w:val="auto"/>
              </w:rPr>
            </w:pPr>
          </w:p>
        </w:tc>
      </w:tr>
      <w:tr>
        <w:trPr>
          <w:trHeight w:val="223"/>
        </w:trPr>
        <w:tc>
          <w:tcPr>
            <w:tcW w:w="38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(98,107)</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(84,474)</w:t>
            </w:r>
          </w:p>
        </w:tc>
        <w:tc>
          <w:tcPr>
            <w:tcW w:w="100" w:type="dxa"/>
            <w:vAlign w:val="bottom"/>
          </w:tcPr>
          <w:p>
            <w:pPr>
              <w:spacing w:after="0"/>
              <w:rPr>
                <w:sz w:val="19"/>
                <w:szCs w:val="19"/>
                <w:color w:val="auto"/>
              </w:rPr>
            </w:pPr>
          </w:p>
        </w:tc>
      </w:tr>
      <w:tr>
        <w:trPr>
          <w:trHeight w:val="20"/>
        </w:trPr>
        <w:tc>
          <w:tcPr>
            <w:tcW w:w="666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800" w:type="dxa"/>
            <w:vAlign w:val="bottom"/>
            <w:gridSpan w:val="9"/>
          </w:tcPr>
          <w:p>
            <w:pPr>
              <w:ind w:left="760"/>
              <w:spacing w:after="0"/>
              <w:rPr>
                <w:sz w:val="20"/>
                <w:szCs w:val="20"/>
                <w:color w:val="auto"/>
              </w:rPr>
            </w:pPr>
            <w:r>
              <w:rPr>
                <w:rFonts w:ascii="Arial" w:cs="Arial" w:eastAsia="Arial" w:hAnsi="Arial"/>
                <w:sz w:val="18"/>
                <w:szCs w:val="18"/>
                <w:color w:val="auto"/>
                <w:w w:val="98"/>
              </w:rPr>
              <w:t>The components of income tax expense (benefit) for the years ended December 31 were as follows (in thousands):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820" w:type="dxa"/>
            <w:vAlign w:val="bottom"/>
            <w:tcBorders>
              <w:bottom w:val="single" w:sz="8" w:color="CFF0FC"/>
            </w:tcBorders>
          </w:tcPr>
          <w:p>
            <w:pPr>
              <w:spacing w:after="0"/>
              <w:rPr>
                <w:sz w:val="24"/>
                <w:szCs w:val="24"/>
                <w:color w:val="auto"/>
              </w:rPr>
            </w:pPr>
          </w:p>
        </w:tc>
        <w:tc>
          <w:tcPr>
            <w:tcW w:w="28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24"/>
                <w:szCs w:val="24"/>
                <w:color w:val="auto"/>
              </w:rPr>
            </w:pP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Federal</w:t>
            </w:r>
          </w:p>
        </w:tc>
        <w:tc>
          <w:tcPr>
            <w:tcW w:w="31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(30,838)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State</w:t>
            </w:r>
          </w:p>
        </w:tc>
        <w:tc>
          <w:tcPr>
            <w:tcW w:w="2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w:t>
            </w:r>
          </w:p>
        </w:tc>
      </w:tr>
      <w:tr>
        <w:trPr>
          <w:trHeight w:val="230"/>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w:t>
            </w:r>
          </w:p>
        </w:tc>
        <w:tc>
          <w:tcPr>
            <w:tcW w:w="28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5,533</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5,005</w:t>
            </w:r>
          </w:p>
        </w:tc>
        <w:tc>
          <w:tcPr>
            <w:tcW w:w="100" w:type="dxa"/>
            <w:vAlign w:val="bottom"/>
            <w:tcBorders>
              <w:bottom w:val="single" w:sz="8" w:color="CFF0FC"/>
            </w:tcBorders>
          </w:tcPr>
          <w:p>
            <w:pPr>
              <w:spacing w:after="0"/>
              <w:rPr>
                <w:sz w:val="19"/>
                <w:szCs w:val="19"/>
                <w:color w:val="auto"/>
              </w:rPr>
            </w:pPr>
          </w:p>
        </w:tc>
      </w:tr>
      <w:tr>
        <w:trPr>
          <w:trHeight w:val="223"/>
        </w:trPr>
        <w:tc>
          <w:tcPr>
            <w:tcW w:w="382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(25,182)</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4,921</w:t>
            </w:r>
          </w:p>
        </w:tc>
        <w:tc>
          <w:tcPr>
            <w:tcW w:w="100" w:type="dxa"/>
            <w:vAlign w:val="bottom"/>
            <w:shd w:val="clear" w:color="auto" w:fill="CFF0FC"/>
          </w:tcPr>
          <w:p>
            <w:pPr>
              <w:spacing w:after="0"/>
              <w:rPr>
                <w:sz w:val="19"/>
                <w:szCs w:val="19"/>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Deferred:</w:t>
            </w: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Federal</w:t>
            </w:r>
          </w:p>
        </w:tc>
        <w:tc>
          <w:tcPr>
            <w:tcW w:w="2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(12,594)</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State</w:t>
            </w: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2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w:t>
            </w:r>
          </w:p>
        </w:tc>
      </w:tr>
      <w:tr>
        <w:trPr>
          <w:trHeight w:val="223"/>
        </w:trPr>
        <w:tc>
          <w:tcPr>
            <w:tcW w:w="3820" w:type="dxa"/>
            <w:vAlign w:val="bottom"/>
            <w:tcBorders>
              <w:bottom w:val="single" w:sz="8" w:color="CFF0FC"/>
            </w:tcBorders>
          </w:tcPr>
          <w:p>
            <w:pPr>
              <w:spacing w:after="0"/>
              <w:rPr>
                <w:sz w:val="19"/>
                <w:szCs w:val="19"/>
                <w:color w:val="auto"/>
              </w:rPr>
            </w:pPr>
          </w:p>
        </w:tc>
        <w:tc>
          <w:tcPr>
            <w:tcW w:w="28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2,258</w:t>
            </w:r>
          </w:p>
        </w:tc>
        <w:tc>
          <w:tcPr>
            <w:tcW w:w="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(12,890)</w:t>
            </w:r>
          </w:p>
        </w:tc>
        <w:tc>
          <w:tcPr>
            <w:tcW w:w="100" w:type="dxa"/>
            <w:vAlign w:val="bottom"/>
            <w:tcBorders>
              <w:bottom w:val="single" w:sz="8" w:color="CFF0FC"/>
            </w:tcBorders>
          </w:tcPr>
          <w:p>
            <w:pPr>
              <w:spacing w:after="0"/>
              <w:rPr>
                <w:sz w:val="19"/>
                <w:szCs w:val="19"/>
                <w:color w:val="auto"/>
              </w:rPr>
            </w:pPr>
          </w:p>
        </w:tc>
      </w:tr>
      <w:tr>
        <w:trPr>
          <w:trHeight w:val="223"/>
        </w:trPr>
        <w:tc>
          <w:tcPr>
            <w:tcW w:w="3820" w:type="dxa"/>
            <w:vAlign w:val="bottom"/>
            <w:tcBorders>
              <w:bottom w:val="single" w:sz="8" w:color="CFF0FC"/>
            </w:tcBorders>
            <w:shd w:val="clear" w:color="auto" w:fill="CFF0FC"/>
          </w:tcPr>
          <w:p>
            <w:pPr>
              <w:spacing w:after="0"/>
              <w:rPr>
                <w:sz w:val="19"/>
                <w:szCs w:val="19"/>
                <w:color w:val="auto"/>
              </w:rPr>
            </w:pPr>
          </w:p>
        </w:tc>
        <w:tc>
          <w:tcPr>
            <w:tcW w:w="28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(22,924)</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49"/>
        <w:spacing w:after="0" w:line="293" w:lineRule="auto"/>
        <w:rPr>
          <w:sz w:val="20"/>
          <w:szCs w:val="20"/>
          <w:color w:val="auto"/>
        </w:rPr>
      </w:pPr>
      <w:r>
        <w:rPr>
          <w:rFonts w:ascii="Arial" w:cs="Arial" w:eastAsia="Arial" w:hAnsi="Arial"/>
          <w:sz w:val="16"/>
          <w:szCs w:val="16"/>
          <w:color w:val="auto"/>
        </w:rPr>
        <w:t>For the year ending December 31, 2020 the Company received a $1.6 million tax refund that had been withheld by the State of Qatar from vessel revenues between 2010 and 2016. Of this amount, approximately $0.3 million will be claimed as foreign tax credits by SEACOR Holdings on its U.S. tax return prior to the spin-off of SEACOR Marine in 2017. Subject to final resolution of taxes with the State of Qatar, these amounts are expected to be remitted to SEACOR Holdings Inc. The remaining amount relates to foreign taxes that were considered in computing earnings and profits and available foreign taxes of foreign subsidiaries of the Company and will require the Company to recompute its 2017 tax liability under Internal Revenue Code Section 965. The additional U.S. tax liability of the Company under Section 965 due to these refunds is expected to be approximately $0.4 million.</w:t>
      </w:r>
    </w:p>
    <w:p>
      <w:pPr>
        <w:spacing w:after="0" w:line="16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For the year ending December 31, 2019, the Company recorded a return to provision adjustment related to losses from a consolidated joint venture for the 2018 tax year. The resulting additional liability of $2.3 million was recorded in the Company’s financial statements during the third quarter of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4" w:name="page105"/>
    <w:bookmarkEnd w:id="104"/>
    <w:p>
      <w:pPr>
        <w:jc w:val="both"/>
        <w:ind w:firstLine="749"/>
        <w:spacing w:after="0" w:line="277" w:lineRule="auto"/>
        <w:rPr>
          <w:sz w:val="20"/>
          <w:szCs w:val="20"/>
          <w:color w:val="auto"/>
        </w:rPr>
      </w:pPr>
      <w:r>
        <w:rPr>
          <w:rFonts w:ascii="Arial" w:cs="Arial" w:eastAsia="Arial" w:hAnsi="Arial"/>
          <w:sz w:val="18"/>
          <w:szCs w:val="18"/>
          <w:color w:val="auto"/>
        </w:rPr>
        <w:t>The following table reconciles the difference between the statutory federal income tax rate for the Company and the effective income tax rate for the years ended December 31: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380" w:type="dxa"/>
            <w:vAlign w:val="bottom"/>
            <w:tcBorders>
              <w:bottom w:val="single" w:sz="8" w:color="CFF0FC"/>
            </w:tcBorders>
          </w:tcPr>
          <w:p>
            <w:pPr>
              <w:spacing w:after="0"/>
              <w:rPr>
                <w:sz w:val="20"/>
                <w:szCs w:val="20"/>
                <w:color w:val="auto"/>
              </w:rPr>
            </w:pPr>
          </w:p>
        </w:tc>
        <w:tc>
          <w:tcPr>
            <w:tcW w:w="16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CFF0FC"/>
            </w:tcBorders>
          </w:tcPr>
          <w:p>
            <w:pPr>
              <w:spacing w:after="0"/>
              <w:rPr>
                <w:sz w:val="20"/>
                <w:szCs w:val="20"/>
                <w:color w:val="auto"/>
              </w:rPr>
            </w:pPr>
          </w:p>
        </w:tc>
        <w:tc>
          <w:tcPr>
            <w:tcW w:w="16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Statutory rate</w:t>
            </w:r>
          </w:p>
        </w:tc>
        <w:tc>
          <w:tcPr>
            <w:tcW w:w="1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w:t>
            </w:r>
          </w:p>
        </w:tc>
        <w:tc>
          <w:tcPr>
            <w:tcW w:w="2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w:t>
            </w:r>
          </w:p>
        </w:tc>
        <w:tc>
          <w:tcPr>
            <w:tcW w:w="1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5"/>
        </w:trPr>
        <w:tc>
          <w:tcPr>
            <w:tcW w:w="6460" w:type="dxa"/>
            <w:vAlign w:val="bottom"/>
            <w:gridSpan w:val="2"/>
          </w:tcPr>
          <w:p>
            <w:pPr>
              <w:spacing w:after="0"/>
              <w:rPr>
                <w:sz w:val="20"/>
                <w:szCs w:val="20"/>
                <w:color w:val="auto"/>
              </w:rPr>
            </w:pPr>
            <w:r>
              <w:rPr>
                <w:rFonts w:ascii="Arial" w:cs="Arial" w:eastAsia="Arial" w:hAnsi="Arial"/>
                <w:sz w:val="18"/>
                <w:szCs w:val="18"/>
                <w:color w:val="auto"/>
              </w:rPr>
              <w:t>Exclusion of foreign subsidiaries with current year losses and</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withholding tax</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141.6%</w:t>
            </w: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6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federal income tax law changes</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(11.8)%</w:t>
            </w:r>
          </w:p>
        </w:tc>
        <w:tc>
          <w:tcPr>
            <w:tcW w:w="1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60" w:type="dxa"/>
            <w:vAlign w:val="bottom"/>
            <w:gridSpan w:val="2"/>
          </w:tcPr>
          <w:p>
            <w:pPr>
              <w:spacing w:after="0"/>
              <w:rPr>
                <w:sz w:val="20"/>
                <w:szCs w:val="20"/>
                <w:color w:val="auto"/>
              </w:rPr>
            </w:pPr>
            <w:r>
              <w:rPr>
                <w:rFonts w:ascii="Arial" w:cs="Arial" w:eastAsia="Arial" w:hAnsi="Arial"/>
                <w:sz w:val="18"/>
                <w:szCs w:val="18"/>
                <w:color w:val="auto"/>
              </w:rPr>
              <w:t>Non-Deductible Expenses</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JV equity earnings</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w:t>
            </w:r>
          </w:p>
        </w:tc>
        <w:tc>
          <w:tcPr>
            <w:tcW w:w="2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(0.3)%</w:t>
            </w:r>
          </w:p>
        </w:tc>
        <w:tc>
          <w:tcPr>
            <w:tcW w:w="1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6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Return to provision</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0.4%</w:t>
            </w:r>
          </w:p>
        </w:tc>
        <w:tc>
          <w:tcPr>
            <w:tcW w:w="2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(0.4)%</w:t>
            </w:r>
          </w:p>
        </w:tc>
        <w:tc>
          <w:tcPr>
            <w:tcW w:w="1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6460" w:type="dxa"/>
            <w:vAlign w:val="bottom"/>
            <w:gridSpan w:val="2"/>
          </w:tcPr>
          <w:p>
            <w:pPr>
              <w:spacing w:after="0"/>
              <w:rPr>
                <w:sz w:val="20"/>
                <w:szCs w:val="20"/>
                <w:color w:val="auto"/>
              </w:rPr>
            </w:pPr>
            <w:r>
              <w:rPr>
                <w:rFonts w:ascii="Arial" w:cs="Arial" w:eastAsia="Arial" w:hAnsi="Arial"/>
                <w:sz w:val="18"/>
                <w:szCs w:val="18"/>
                <w:color w:val="auto"/>
              </w:rPr>
              <w:t>State Taxes</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6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Subpart F Income</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w:t>
            </w:r>
          </w:p>
        </w:tc>
        <w:tc>
          <w:tcPr>
            <w:tcW w:w="2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0.3%</w:t>
            </w:r>
          </w:p>
        </w:tc>
        <w:tc>
          <w:tcPr>
            <w:tcW w:w="1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60" w:type="dxa"/>
            <w:vAlign w:val="bottom"/>
            <w:gridSpan w:val="2"/>
          </w:tcPr>
          <w:p>
            <w:pPr>
              <w:spacing w:after="0"/>
              <w:rPr>
                <w:sz w:val="20"/>
                <w:szCs w:val="20"/>
                <w:color w:val="auto"/>
              </w:rPr>
            </w:pPr>
            <w:r>
              <w:rPr>
                <w:rFonts w:ascii="Arial" w:cs="Arial" w:eastAsia="Arial" w:hAnsi="Arial"/>
                <w:sz w:val="18"/>
                <w:szCs w:val="18"/>
                <w:color w:val="auto"/>
              </w:rPr>
              <w:t>Share Award Plans</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0.6%</w:t>
            </w:r>
          </w:p>
        </w:tc>
        <w:tc>
          <w:tcPr>
            <w:tcW w:w="1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1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173.4%</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(23.4)%</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853"/>
        <w:spacing w:after="0" w:line="308" w:lineRule="auto"/>
        <w:rPr>
          <w:sz w:val="20"/>
          <w:szCs w:val="20"/>
          <w:color w:val="auto"/>
        </w:rPr>
      </w:pPr>
      <w:r>
        <w:rPr>
          <w:rFonts w:ascii="Arial" w:cs="Arial" w:eastAsia="Arial" w:hAnsi="Arial"/>
          <w:sz w:val="17"/>
          <w:szCs w:val="17"/>
          <w:color w:val="auto"/>
        </w:rPr>
        <w:t>For the year ending December 31, 2021, the Company’s effective income tax rate of 173.4% was primarily due to foreign taxes not creditable against U.S. income taxes and foreign subsidiaries with current losses for which there is no current or future federal income tax benefit.</w:t>
      </w:r>
    </w:p>
    <w:p>
      <w:pPr>
        <w:spacing w:after="0" w:line="106" w:lineRule="exact"/>
        <w:rPr>
          <w:sz w:val="20"/>
          <w:szCs w:val="20"/>
          <w:color w:val="auto"/>
        </w:rPr>
      </w:pPr>
    </w:p>
    <w:p>
      <w:pPr>
        <w:jc w:val="both"/>
        <w:ind w:firstLine="853"/>
        <w:spacing w:after="0" w:line="263" w:lineRule="auto"/>
        <w:rPr>
          <w:sz w:val="20"/>
          <w:szCs w:val="20"/>
          <w:color w:val="auto"/>
        </w:rPr>
      </w:pPr>
      <w:r>
        <w:rPr>
          <w:rFonts w:ascii="Arial" w:cs="Arial" w:eastAsia="Arial" w:hAnsi="Arial"/>
          <w:sz w:val="18"/>
          <w:szCs w:val="18"/>
          <w:color w:val="auto"/>
        </w:rPr>
        <w:t>For the year ending December 31, 2020, the Company’s effective income tax rate of 23.4% was primarily due to the effect of the NOL carrybacks pursuant to the CARES Act, foreign subsidiaries with current losses for which there is no federal income tax benefit, foreign taxes not creditable against U.S. income taxes, and taxes on income attributable to noncontrolling interests.</w:t>
      </w:r>
    </w:p>
    <w:p>
      <w:pPr>
        <w:spacing w:after="0" w:line="18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For the year ending December 31, 2019, the Company’s effective income tax rate of 9.4% was lower than the statutory tax rate of 21% primarily due to foreign subsidiaries with current losses for which there is no federal income tax benefit, foreign taxes not creditable against U.S. income taxes, and noncontrolling interests.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components of net deferred income tax liabilities as of December 31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Borders>
              <w:bottom w:val="single" w:sz="8" w:color="CFF0FC"/>
            </w:tcBorders>
          </w:tcPr>
          <w:p>
            <w:pPr>
              <w:spacing w:after="0"/>
              <w:rPr>
                <w:sz w:val="20"/>
                <w:szCs w:val="20"/>
                <w:color w:val="auto"/>
              </w:rPr>
            </w:pPr>
          </w:p>
        </w:tc>
        <w:tc>
          <w:tcPr>
            <w:tcW w:w="214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4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63,802</w:t>
            </w:r>
          </w:p>
        </w:tc>
        <w:tc>
          <w:tcPr>
            <w:tcW w:w="300" w:type="dxa"/>
            <w:vAlign w:val="bottom"/>
          </w:tcPr>
          <w:p>
            <w:pPr>
              <w:spacing w:after="0"/>
              <w:rPr>
                <w:sz w:val="19"/>
                <w:szCs w:val="19"/>
                <w:color w:val="auto"/>
              </w:rPr>
            </w:pP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58,676</w:t>
            </w:r>
          </w:p>
        </w:tc>
        <w:tc>
          <w:tcPr>
            <w:tcW w:w="12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50% or Less Owned Companies</w:t>
            </w:r>
          </w:p>
        </w:tc>
        <w:tc>
          <w:tcPr>
            <w:tcW w:w="2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2,925</w:t>
            </w:r>
          </w:p>
        </w:tc>
        <w:tc>
          <w:tcPr>
            <w:tcW w:w="12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w:t>
            </w:r>
          </w:p>
        </w:tc>
        <w:tc>
          <w:tcPr>
            <w:tcW w:w="12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2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67,261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66,420</w:t>
            </w:r>
          </w:p>
        </w:tc>
        <w:tc>
          <w:tcPr>
            <w:tcW w:w="120" w:type="dxa"/>
            <w:vAlign w:val="bottom"/>
            <w:shd w:val="clear" w:color="auto" w:fill="CFF0FC"/>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Deferred tax assets:</w:t>
            </w:r>
          </w:p>
        </w:tc>
        <w:tc>
          <w:tcPr>
            <w:tcW w:w="2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Federal Net Operating Loss Carryforwards</w:t>
            </w:r>
          </w:p>
        </w:tc>
        <w:tc>
          <w:tcPr>
            <w:tcW w:w="2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23,061</w:t>
            </w:r>
          </w:p>
        </w:tc>
        <w:tc>
          <w:tcPr>
            <w:tcW w:w="12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10,073</w:t>
            </w:r>
          </w:p>
        </w:tc>
        <w:tc>
          <w:tcPr>
            <w:tcW w:w="12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29,115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33,134</w:t>
            </w:r>
          </w:p>
        </w:tc>
        <w:tc>
          <w:tcPr>
            <w:tcW w:w="12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Valuation Allowance</w:t>
            </w:r>
          </w:p>
        </w:tc>
        <w:tc>
          <w:tcPr>
            <w:tcW w:w="2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(2,536)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(2,536)</w:t>
            </w:r>
          </w:p>
        </w:tc>
      </w:tr>
      <w:tr>
        <w:trPr>
          <w:trHeight w:val="223"/>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2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26,579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30,598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214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40,682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35,822</w:t>
            </w:r>
          </w:p>
        </w:tc>
        <w:tc>
          <w:tcPr>
            <w:tcW w:w="12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The Section 163(j) interest deduction limitations were amended to limit the ability of the Company to deduct net interest expense to 30% of adjusted taxable income. The CARES Act modified the computation for 2020 to increase the limit to 50% of adjusted taxable income and to allow a deduction for 50% of partnership excess business interest from 2019. For the year ended December 31, 2021 $4.6 million of previously suspended interest was deductible. For the year ended December 31, 2020, $4.4 million of interest expense was suspended and $3.3 million of 2019 suspended interest was deductible. This results in a total interest expense amount available for carry forward of $6.7 million. This amount will be available to be deducted in future years subject to the 30% limitation.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5" w:name="page106"/>
    <w:bookmarkEnd w:id="105"/>
    <w:p>
      <w:pPr>
        <w:jc w:val="both"/>
        <w:ind w:firstLine="749"/>
        <w:spacing w:after="0" w:line="255" w:lineRule="auto"/>
        <w:rPr>
          <w:sz w:val="20"/>
          <w:szCs w:val="20"/>
          <w:color w:val="auto"/>
        </w:rPr>
      </w:pPr>
      <w:r>
        <w:rPr>
          <w:rFonts w:ascii="Arial" w:cs="Arial" w:eastAsia="Arial" w:hAnsi="Arial"/>
          <w:sz w:val="18"/>
          <w:szCs w:val="18"/>
          <w:color w:val="auto"/>
        </w:rPr>
        <w:t>Future utilization of NOL’s arising in tax years after December 31, 2017 are limited to 80% of taxable income and are allowed to be carried forward indefinitely. The CARES Act allowed a five-year carryback of NOL’s generated in 2018, 2019 and 2020. The 2018 and 2019 NOLs were eligible to be carried back pursuant to the CARES Act. As of December 31, 2021, the Company has $24.3 million of net operating losses generated prior to December 31, 2017 and $72.4 million of net operating losses generated after 2017. Net operating losses generated in 2017 may be carried forward 20 years (expiring in 2037). The post 2017 NOLs will be carried forward indefinitely with no expiration period but its utilization will be subject to an annual 80% of taxable income limitation.</w:t>
      </w:r>
    </w:p>
    <w:p>
      <w:pPr>
        <w:spacing w:after="0" w:line="15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As of December 31, 2021, the Company's valuation allowance of $2.5 million related primarily to foreign tax credit carryforwards which the Company expects to expire unutilized and Louisiana state net operating loss carryforwards.</w:t>
      </w:r>
    </w:p>
    <w:p>
      <w:pPr>
        <w:spacing w:after="0" w:line="139" w:lineRule="exact"/>
        <w:rPr>
          <w:sz w:val="20"/>
          <w:szCs w:val="20"/>
          <w:color w:val="auto"/>
        </w:rPr>
      </w:pPr>
    </w:p>
    <w:p>
      <w:pPr>
        <w:ind w:left="760" w:hanging="752"/>
        <w:spacing w:after="0"/>
        <w:tabs>
          <w:tab w:leader="none" w:pos="7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STRATEGIES</w:t>
      </w:r>
    </w:p>
    <w:p>
      <w:pPr>
        <w:spacing w:after="0" w:line="18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Derivative instruments are classified as either assets or liabilities based on their individual fair values. The fair values of the Company’s derivative instruments as of December 31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40"/>
              <w:spacing w:after="0" w:line="205" w:lineRule="exact"/>
              <w:rPr>
                <w:sz w:val="20"/>
                <w:szCs w:val="20"/>
                <w:color w:val="auto"/>
              </w:rPr>
            </w:pPr>
            <w:r>
              <w:rPr>
                <w:rFonts w:ascii="Arial" w:cs="Arial" w:eastAsia="Arial" w:hAnsi="Arial"/>
                <w:sz w:val="18"/>
                <w:szCs w:val="18"/>
                <w:b w:val="1"/>
                <w:bCs w:val="1"/>
                <w:color w:val="auto"/>
              </w:rPr>
              <w:t>Derivative</w:t>
            </w:r>
          </w:p>
        </w:tc>
        <w:tc>
          <w:tcPr>
            <w:tcW w:w="120" w:type="dxa"/>
            <w:vAlign w:val="bottom"/>
          </w:tcPr>
          <w:p>
            <w:pPr>
              <w:spacing w:after="0"/>
              <w:rPr>
                <w:sz w:val="17"/>
                <w:szCs w:val="17"/>
                <w:color w:val="auto"/>
              </w:rPr>
            </w:pPr>
          </w:p>
        </w:tc>
        <w:tc>
          <w:tcPr>
            <w:tcW w:w="1020" w:type="dxa"/>
            <w:vAlign w:val="bottom"/>
          </w:tcPr>
          <w:p>
            <w:pPr>
              <w:jc w:val="center"/>
              <w:ind w:right="50"/>
              <w:spacing w:after="0" w:line="205" w:lineRule="exact"/>
              <w:rPr>
                <w:sz w:val="20"/>
                <w:szCs w:val="20"/>
                <w:color w:val="auto"/>
              </w:rPr>
            </w:pPr>
            <w:r>
              <w:rPr>
                <w:rFonts w:ascii="Arial" w:cs="Arial" w:eastAsia="Arial" w:hAnsi="Arial"/>
                <w:sz w:val="18"/>
                <w:szCs w:val="18"/>
                <w:b w:val="1"/>
                <w:bCs w:val="1"/>
                <w:color w:val="auto"/>
                <w:w w:val="92"/>
              </w:rPr>
              <w:t>Derivative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Derivative</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0"/>
              <w:spacing w:after="0" w:line="205" w:lineRule="exact"/>
              <w:rPr>
                <w:sz w:val="20"/>
                <w:szCs w:val="20"/>
                <w:color w:val="auto"/>
              </w:rPr>
            </w:pPr>
            <w:r>
              <w:rPr>
                <w:rFonts w:ascii="Arial" w:cs="Arial" w:eastAsia="Arial" w:hAnsi="Arial"/>
                <w:sz w:val="18"/>
                <w:szCs w:val="18"/>
                <w:b w:val="1"/>
                <w:bCs w:val="1"/>
                <w:color w:val="auto"/>
                <w:w w:val="92"/>
              </w:rPr>
              <w:t>Derivative</w:t>
            </w:r>
          </w:p>
        </w:tc>
        <w:tc>
          <w:tcPr>
            <w:tcW w:w="100" w:type="dxa"/>
            <w:vAlign w:val="bottom"/>
          </w:tcPr>
          <w:p>
            <w:pPr>
              <w:spacing w:after="0"/>
              <w:rPr>
                <w:sz w:val="17"/>
                <w:szCs w:val="17"/>
                <w:color w:val="auto"/>
              </w:rPr>
            </w:pPr>
          </w:p>
        </w:tc>
      </w:tr>
      <w:tr>
        <w:trPr>
          <w:trHeight w:val="234"/>
        </w:trPr>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Asset</w:t>
            </w:r>
          </w:p>
        </w:tc>
        <w:tc>
          <w:tcPr>
            <w:tcW w:w="12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Liability</w:t>
            </w:r>
          </w:p>
        </w:tc>
        <w:tc>
          <w:tcPr>
            <w:tcW w:w="12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Arial" w:cs="Arial" w:eastAsia="Arial" w:hAnsi="Arial"/>
                <w:sz w:val="18"/>
                <w:szCs w:val="18"/>
                <w:b w:val="1"/>
                <w:bCs w:val="1"/>
                <w:color w:val="auto"/>
              </w:rPr>
              <w:t>Asset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Liability</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Derivatives designated as hedging instruments:</w:t>
            </w: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Interest rate swap agreements (cash flow hedges)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1,831</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3,698</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Forward Exchange Contract</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Conversion option liability on Convertible Senior Notes</w:t>
            </w:r>
          </w:p>
        </w:tc>
        <w:tc>
          <w:tcPr>
            <w:tcW w:w="120" w:type="dxa"/>
            <w:vAlign w:val="bottom"/>
          </w:tcPr>
          <w:p>
            <w:pPr>
              <w:spacing w:after="0"/>
              <w:rPr>
                <w:sz w:val="19"/>
                <w:szCs w:val="19"/>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b w:val="1"/>
          <w:bCs w:val="1"/>
          <w:i w:val="1"/>
          <w:iCs w:val="1"/>
          <w:color w:val="auto"/>
        </w:rPr>
        <w:t xml:space="preserve">Economic Hedges. </w:t>
      </w:r>
      <w:r>
        <w:rPr>
          <w:rFonts w:ascii="Arial" w:cs="Arial" w:eastAsia="Arial" w:hAnsi="Arial"/>
          <w:sz w:val="16"/>
          <w:szCs w:val="16"/>
          <w:color w:val="auto"/>
        </w:rPr>
        <w:t>The Company enters and settles forward currency exchange, option and future contracts with respect to various foreign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currencies. These contracts enable the Company to buy currencies in the future at fixed exchange rates, which could offset possible consequences of changes in currency exchange rates with respect to the Company’s business conducted outside of the U.S. The Company generally does not enter into contracts with forward settlement dates beyond twelve to eighteen months. During the year ended December 31, 2021, the Company recognized gains of $0.4 million on these contracts which were recognized concurrently in earnings and as of December 31, 2021, the Company no longer has open forward currency exchange contracts. During the year ended December 31, 2020, the Company recognized losses of $0.9 million on these contracts which were recognized concurrently in earnings and included in derivative liabilities in the accompanying consolidated balance sheets.</w:t>
      </w:r>
    </w:p>
    <w:p>
      <w:pPr>
        <w:spacing w:after="0" w:line="139"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b w:val="1"/>
          <w:bCs w:val="1"/>
          <w:i w:val="1"/>
          <w:iCs w:val="1"/>
          <w:color w:val="auto"/>
        </w:rPr>
        <w:t xml:space="preserve">Cash Flow Hedges. </w:t>
      </w:r>
      <w:r>
        <w:rPr>
          <w:rFonts w:ascii="Arial" w:cs="Arial" w:eastAsia="Arial" w:hAnsi="Arial"/>
          <w:sz w:val="17"/>
          <w:szCs w:val="17"/>
          <w:color w:val="auto"/>
        </w:rPr>
        <w:t>The Company and certain of its 50% or less owned companies have interest rate swap agreements designated as cash flow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hedges. By entering into these interest rate swap agreements, the Company and its 50% or less owned companies have converted the variable LIBOR component of certain of their outstanding borrowings to a fixed interest rate. The Company recognized gains on derivative instruments designated as cash flow hedges of $2.3 million for the year ended December 31, 2021, losses of $0.7 million for the year ended December 31, 2020 and losses of $1.3 million for the year ended December 31, 2019 as a component of other comprehensive income (loss). As of December 31, 2021, the interest rate swaps held by the Company and certain of the Company’s 50% or less owned companies were as follows:</w:t>
      </w:r>
    </w:p>
    <w:p>
      <w:pPr>
        <w:spacing w:after="0" w:line="137" w:lineRule="exact"/>
        <w:rPr>
          <w:sz w:val="20"/>
          <w:szCs w:val="20"/>
          <w:color w:val="auto"/>
        </w:rPr>
      </w:pPr>
    </w:p>
    <w:p>
      <w:pPr>
        <w:ind w:left="1120" w:hanging="370"/>
        <w:spacing w:after="0" w:line="308" w:lineRule="auto"/>
        <w:tabs>
          <w:tab w:leader="none" w:pos="11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SMFH has an interest rate swap agreement maturing in 2023 that calls for SMFH to pay a fixed rate of interest of 3.32% per annum on the amortized notional value of $6.8 million and receive a variable interest rate based on LIBOR on the amortized notional value;</w:t>
      </w:r>
    </w:p>
    <w:p>
      <w:pPr>
        <w:spacing w:after="0" w:line="105" w:lineRule="exact"/>
        <w:rPr>
          <w:rFonts w:ascii="Arial" w:cs="Arial" w:eastAsia="Arial" w:hAnsi="Arial"/>
          <w:sz w:val="17"/>
          <w:szCs w:val="17"/>
          <w:color w:val="auto"/>
        </w:rPr>
      </w:pPr>
    </w:p>
    <w:p>
      <w:pPr>
        <w:ind w:left="1120" w:right="20" w:hanging="370"/>
        <w:spacing w:after="0" w:line="308" w:lineRule="auto"/>
        <w:tabs>
          <w:tab w:leader="none" w:pos="11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SMFH has an interest rate swap agreement maturing in 2023 that calls for SMFH to pay a fixed rate of interest of 3.195% per annum on the amortized notional value of $37.5 million and receive a variable interest rate based on LIBOR on the amortized notional value;</w:t>
      </w:r>
    </w:p>
    <w:p>
      <w:pPr>
        <w:spacing w:after="0" w:line="105" w:lineRule="exact"/>
        <w:rPr>
          <w:rFonts w:ascii="Arial" w:cs="Arial" w:eastAsia="Arial" w:hAnsi="Arial"/>
          <w:sz w:val="17"/>
          <w:szCs w:val="17"/>
          <w:color w:val="auto"/>
        </w:rPr>
      </w:pPr>
    </w:p>
    <w:p>
      <w:pPr>
        <w:jc w:val="both"/>
        <w:ind w:left="1120" w:hanging="370"/>
        <w:spacing w:after="0" w:line="238" w:lineRule="auto"/>
        <w:tabs>
          <w:tab w:leader="none" w:pos="1120" w:val="left"/>
        </w:tabs>
        <w:numPr>
          <w:ilvl w:val="0"/>
          <w:numId w:val="60"/>
        </w:numPr>
        <w:rPr>
          <w:rFonts w:ascii="Arial" w:cs="Arial" w:eastAsia="Arial" w:hAnsi="Arial"/>
          <w:sz w:val="22"/>
          <w:szCs w:val="22"/>
          <w:color w:val="auto"/>
        </w:rPr>
      </w:pPr>
      <w:r>
        <w:rPr>
          <w:rFonts w:ascii="Arial" w:cs="Arial" w:eastAsia="Arial" w:hAnsi="Arial"/>
          <w:sz w:val="18"/>
          <w:szCs w:val="18"/>
          <w:color w:val="auto"/>
        </w:rPr>
        <w:t>SEACOR 88/888 have an interest rate swap agreement maturing in 2023 that calls for SEACOR 88/888 to pay a fixed rate of interest of 3.175% per annum on the amortized notional value of $5.5 million and receive a variable interest rate based on LIBOR on the amortized notional value; and</w:t>
      </w:r>
    </w:p>
    <w:p>
      <w:pPr>
        <w:spacing w:after="0" w:line="162" w:lineRule="exact"/>
        <w:rPr>
          <w:rFonts w:ascii="Arial" w:cs="Arial" w:eastAsia="Arial" w:hAnsi="Arial"/>
          <w:sz w:val="22"/>
          <w:szCs w:val="22"/>
          <w:color w:val="auto"/>
        </w:rPr>
      </w:pPr>
    </w:p>
    <w:p>
      <w:pPr>
        <w:jc w:val="both"/>
        <w:ind w:left="1120" w:hanging="370"/>
        <w:spacing w:after="0" w:line="238" w:lineRule="auto"/>
        <w:tabs>
          <w:tab w:leader="none" w:pos="1120" w:val="left"/>
        </w:tabs>
        <w:numPr>
          <w:ilvl w:val="0"/>
          <w:numId w:val="60"/>
        </w:numPr>
        <w:rPr>
          <w:rFonts w:ascii="Arial" w:cs="Arial" w:eastAsia="Arial" w:hAnsi="Arial"/>
          <w:sz w:val="22"/>
          <w:szCs w:val="22"/>
          <w:color w:val="auto"/>
        </w:rPr>
      </w:pPr>
      <w:r>
        <w:rPr>
          <w:rFonts w:ascii="Arial" w:cs="Arial" w:eastAsia="Arial" w:hAnsi="Arial"/>
          <w:sz w:val="18"/>
          <w:szCs w:val="18"/>
          <w:color w:val="auto"/>
        </w:rPr>
        <w:t>MexMar, in which the Company has a 49% noncontrolling interest, has five interest rate swap agreements with maturities in 2023 that call for MexMar to pay fixed rates of interest ranging from 1.71% to 2.10% per annum on the aggregate amortized notional value of $58.1 million and receive a variable interest rate based on LIBOR on the aggregate amortized notional value.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6" w:name="page107"/>
    <w:bookmarkEnd w:id="106"/>
    <w:p>
      <w:pPr>
        <w:jc w:val="both"/>
        <w:ind w:firstLine="749"/>
        <w:spacing w:after="0" w:line="311" w:lineRule="auto"/>
        <w:rPr>
          <w:sz w:val="20"/>
          <w:szCs w:val="20"/>
          <w:color w:val="auto"/>
        </w:rPr>
      </w:pPr>
      <w:r>
        <w:rPr>
          <w:rFonts w:ascii="Arial" w:cs="Arial" w:eastAsia="Arial" w:hAnsi="Arial"/>
          <w:sz w:val="16"/>
          <w:szCs w:val="16"/>
          <w:b w:val="1"/>
          <w:bCs w:val="1"/>
          <w:i w:val="1"/>
          <w:iCs w:val="1"/>
          <w:color w:val="auto"/>
        </w:rPr>
        <w:t xml:space="preserve">Derivative Instruments. </w:t>
      </w:r>
      <w:r>
        <w:rPr>
          <w:rFonts w:ascii="Arial" w:cs="Arial" w:eastAsia="Arial" w:hAnsi="Arial"/>
          <w:sz w:val="16"/>
          <w:szCs w:val="16"/>
          <w:color w:val="auto"/>
        </w:rPr>
        <w:t>The Company utilizes derivative instruments to manage the volatility of cash flows due to fluctuating interest rates.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derivative instruments not qualifying for the normal purchase and normal sale exception are recorded on the balance sheets at fair value. The treatment of the periodic changes in fair value will depend on whether the derivative is designated and effective as a hedge for accounting purposes.</w:t>
      </w:r>
    </w:p>
    <w:p>
      <w:pPr>
        <w:spacing w:after="0" w:line="12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If a derivative qualifies for hedge accounting and is designated as a cash flow hedge, the effective portion of the change in fair value of the derivative is deferred in Accumulated Other Comprehensive Income (“AOCI”), a component of owners’ equity, and reclassified to earnings when the forecasted transaction occurs. Cash flows from a derivative instrument designated as a hedge are classified in the same category as the cash flows from the item being hedged. As such, we include the cash flows from interest rate derivative instruments in interest expense.</w:t>
      </w:r>
    </w:p>
    <w:p>
      <w:pPr>
        <w:spacing w:after="0" w:line="131"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If a derivative does not qualify as a hedge or is not designated as a hedge, the gain or loss resulting from the change in fair value on the derivative is recognized currently in earnings as a component of other income (expense).</w:t>
      </w:r>
    </w:p>
    <w:p>
      <w:pPr>
        <w:spacing w:after="0" w:line="130"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We formally document all relationships between hedging instruments and hedged items, as well as its risk management objectives and strategy for undertaking the hedge. This documentation includes the specific identification of the hedging instrument and the hedged item, the nature of the risk being hedged and the manner in which the hedging instrument’s effectiveness will be assessed. At the inception of the hedge, and on an ongoing basis, we assess whether the derivatives used in hedging transactions are highly effective in offsetting changes in cash flows of hedged items.</w:t>
      </w:r>
    </w:p>
    <w:p>
      <w:pPr>
        <w:spacing w:after="0" w:line="130"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The relationship between the hedging instrument and the hedged item must be highly effective in achieving the offset of changes in cash flows attributable to the hedged risk both at the inception of the contract and on an ongoing basis. We measure hedge ineffectiveness on a quarterly basis and reclassify any ineffective portion of the gain or loss related to the change in fair value to earnings in the current period.</w:t>
      </w:r>
    </w:p>
    <w:p>
      <w:pPr>
        <w:spacing w:after="0" w:line="12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We will discontinue hedge accounting on a prospective basis when a hedge instrument is terminated or ceases to be highly effective. Gains and losses deferred in AOCI related to cash flow hedges for which hedge accounting has been discontinued remain deferred until the forecasted transaction occurs. If it is no longer probable that a hedged forecasted transaction will occur, deferred gains or losses on the hedging instrument are reclassified to earnings immediately.</w:t>
      </w:r>
    </w:p>
    <w:p>
      <w:pPr>
        <w:spacing w:after="0" w:line="14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For balance sheet classification purposes, we analyze the fair values of the derivative instruments on a contract-by-contract basis and report the related fair values and any related collateral by counterparty on a gross basis. Realized and unrealized gains and losses on derivatives designated as cash flow hedges that are entered into by the Company’s 50% or less owned companies are also reported as a component of the Company’s other comprehensive loss in proportion to the Company’s ownership percentage, with reclassifications and ineffective portions being included in equity in earnings (losses) of 50% or less owned companies, net of tax, in the accompanying consolidated statements of income (loss).</w:t>
      </w:r>
    </w:p>
    <w:p>
      <w:pPr>
        <w:spacing w:after="0" w:line="14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fair value of our derivative instruments, depending on the type of instrument, was determined by the use of present value methods or standard option valuation models with assumptions about commodity prices based on those observed in underlying markets. The estimated fair value of our derivative instruments was a net liability of $1.8 million as of December 31, 2021. The estimated fair value is net of an adjustment for credit risk based on the default probabilities by year as indicated by market quotes for the counterparties’ credit default swap rates. The credit risk adjustment was $0.2 million at December 31, 2021.</w:t>
      </w:r>
    </w:p>
    <w:p>
      <w:pPr>
        <w:spacing w:after="0" w:line="147"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The following tables reflect amounts recorded in Other Comprehensive Income (Loss) (“OCI”) and amounts reclassified from OCI to revenue and expense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6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89"/>
              </w:rPr>
              <w:t>Gains (Losses) Recognized in OCI on Derivatives</w:t>
            </w:r>
          </w:p>
        </w:tc>
      </w:tr>
      <w:tr>
        <w:trPr>
          <w:trHeight w:val="234"/>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1"/>
              </w:rPr>
              <w:t>(Effective Portion)</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Derivatives in Cash Flow Hedging Relationships</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 contracts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10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Joint venture interest rate swap contracts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(645)</w:t>
            </w:r>
          </w:p>
        </w:tc>
      </w:tr>
      <w:tr>
        <w:trPr>
          <w:trHeight w:val="440"/>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6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89"/>
              </w:rPr>
              <w:t>Losses Reclassified from OCI into Income</w:t>
            </w:r>
          </w:p>
        </w:tc>
      </w:tr>
      <w:tr>
        <w:trPr>
          <w:trHeight w:val="234"/>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1"/>
              </w:rPr>
              <w:t>(Effective Portion)</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 of Loss</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1,648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Our consolidated earnings are also affected by the use of the mark-to-market method of accounting for derivative instruments that do not qualify for hedge accounting or that have not been designated as hedges. The changes in fair value of these instruments are recorded on the balance sheet and through earnings rather than being deferred until the anticipated transaction settles. The use of mark-to-market accounting for financial instruments can cause non-cash earnings volatility due to changes in the underlying commodity price indices.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7" w:name="page108"/>
    <w:bookmarkEnd w:id="107"/>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Other Derivative Instruments. </w:t>
      </w:r>
      <w:r>
        <w:rPr>
          <w:rFonts w:ascii="Arial" w:cs="Arial" w:eastAsia="Arial" w:hAnsi="Arial"/>
          <w:sz w:val="18"/>
          <w:szCs w:val="18"/>
          <w:color w:val="auto"/>
        </w:rPr>
        <w:t>The Company recognized gains (losses) on derivative instruments not designated as hedging instruments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ended December 31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95"/>
              </w:rPr>
              <w:t>Derivative gains (losses), net</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Conversion option liability on Convertible Senior Notes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Forward currency exchange, option and future contracts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(893)</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4,310</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The conversion option liability relates to the bifurcated embedded conversion option in the Convertible Senior Notes issued to investment funds managed and controlled by Carlyle (see “Note 8. Long-Term Debt”). The forward currency exchange contract relates to £31.5 million swap related to the proceeds received from the sale of Windcat Workboats (see “Note 4. Equipment Acquisitions and Dispositions”).</w:t>
      </w:r>
    </w:p>
    <w:p>
      <w:pPr>
        <w:spacing w:after="0" w:line="121" w:lineRule="exact"/>
        <w:rPr>
          <w:sz w:val="20"/>
          <w:szCs w:val="20"/>
          <w:color w:val="auto"/>
        </w:rPr>
      </w:pPr>
    </w:p>
    <w:p>
      <w:pPr>
        <w:ind w:left="760" w:hanging="752"/>
        <w:spacing w:after="0"/>
        <w:tabs>
          <w:tab w:leader="none" w:pos="7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 xml:space="preserve">The fair value of an asset or liability is the price that would be received to sell an asset or transfer a liability (an exit price) 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fair value. </w:t>
      </w:r>
      <w:r>
        <w:rPr>
          <w:rFonts w:ascii="Arial" w:cs="Arial" w:eastAsia="Arial" w:hAnsi="Arial"/>
          <w:sz w:val="17"/>
          <w:szCs w:val="17"/>
          <w:i w:val="1"/>
          <w:iCs w:val="1"/>
          <w:color w:val="auto"/>
        </w:rPr>
        <w:t>Level 1</w:t>
      </w:r>
      <w:r>
        <w:rPr>
          <w:rFonts w:ascii="Arial" w:cs="Arial" w:eastAsia="Arial" w:hAnsi="Arial"/>
          <w:sz w:val="17"/>
          <w:szCs w:val="17"/>
          <w:color w:val="auto"/>
        </w:rPr>
        <w:t xml:space="preserve"> inputs are quoted prices in active markets for identical assets or liabilities. </w:t>
      </w:r>
      <w:r>
        <w:rPr>
          <w:rFonts w:ascii="Arial" w:cs="Arial" w:eastAsia="Arial" w:hAnsi="Arial"/>
          <w:sz w:val="17"/>
          <w:szCs w:val="17"/>
          <w:i w:val="1"/>
          <w:iCs w:val="1"/>
          <w:color w:val="auto"/>
        </w:rPr>
        <w:t>Level 2</w:t>
      </w:r>
      <w:r>
        <w:rPr>
          <w:rFonts w:ascii="Arial" w:cs="Arial" w:eastAsia="Arial" w:hAnsi="Arial"/>
          <w:sz w:val="17"/>
          <w:szCs w:val="17"/>
          <w:color w:val="auto"/>
        </w:rPr>
        <w:t xml:space="preserve"> inputs are observable inputs other than quoted prices included in </w:t>
      </w:r>
      <w:r>
        <w:rPr>
          <w:rFonts w:ascii="Arial" w:cs="Arial" w:eastAsia="Arial" w:hAnsi="Arial"/>
          <w:sz w:val="17"/>
          <w:szCs w:val="17"/>
          <w:i w:val="1"/>
          <w:iCs w:val="1"/>
          <w:color w:val="auto"/>
        </w:rPr>
        <w:t>Level 1</w:t>
      </w:r>
      <w:r>
        <w:rPr>
          <w:rFonts w:ascii="Arial" w:cs="Arial" w:eastAsia="Arial" w:hAnsi="Arial"/>
          <w:sz w:val="17"/>
          <w:szCs w:val="17"/>
          <w:color w:val="auto"/>
        </w:rPr>
        <w:t xml:space="preserve">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Arial" w:cs="Arial" w:eastAsia="Arial" w:hAnsi="Arial"/>
          <w:sz w:val="17"/>
          <w:szCs w:val="17"/>
          <w:i w:val="1"/>
          <w:iCs w:val="1"/>
          <w:color w:val="auto"/>
        </w:rPr>
        <w:t>Level 3</w:t>
      </w:r>
      <w:r>
        <w:rPr>
          <w:rFonts w:ascii="Arial" w:cs="Arial" w:eastAsia="Arial" w:hAnsi="Arial"/>
          <w:sz w:val="17"/>
          <w:szCs w:val="17"/>
          <w:color w:val="auto"/>
        </w:rPr>
        <w:t xml:space="preserve"> inputs are unobservable inputs that are supported by little or no market activity and are significant to the fair value of the assets or liabilities.</w:t>
      </w:r>
    </w:p>
    <w:p>
      <w:pPr>
        <w:spacing w:after="0" w:line="178"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The Company’s financial assets and liabilities as of December 31 that are measured at fair value on a recurring basis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23"/>
        </w:trPr>
        <w:tc>
          <w:tcPr>
            <w:tcW w:w="6520" w:type="dxa"/>
            <w:vAlign w:val="bottom"/>
            <w:tcBorders>
              <w:bottom w:val="single" w:sz="8" w:color="auto"/>
            </w:tcBorders>
            <w:gridSpan w:val="2"/>
          </w:tcPr>
          <w:p>
            <w:pPr>
              <w:ind w:left="308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1100" w:type="dxa"/>
            <w:vAlign w:val="bottom"/>
            <w:tcBorders>
              <w:top w:val="single" w:sz="8" w:color="auto"/>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1100" w:type="dxa"/>
            <w:vAlign w:val="bottom"/>
            <w:tcBorders>
              <w:top w:val="single" w:sz="8" w:color="auto"/>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5"/>
        </w:trPr>
        <w:tc>
          <w:tcPr>
            <w:tcW w:w="6520" w:type="dxa"/>
            <w:vAlign w:val="bottom"/>
            <w:gridSpan w:val="2"/>
          </w:tcPr>
          <w:p>
            <w:pPr>
              <w:spacing w:after="0"/>
              <w:rPr>
                <w:sz w:val="20"/>
                <w:szCs w:val="20"/>
                <w:color w:val="auto"/>
              </w:rPr>
            </w:pPr>
            <w:r>
              <w:rPr>
                <w:rFonts w:ascii="Arial" w:cs="Arial" w:eastAsia="Arial" w:hAnsi="Arial"/>
                <w:sz w:val="18"/>
                <w:szCs w:val="18"/>
                <w:color w:val="auto"/>
              </w:rPr>
              <w:t>Derivative instruments</w:t>
            </w:r>
          </w:p>
        </w:tc>
        <w:tc>
          <w:tcPr>
            <w:tcW w:w="116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1,831</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4"/>
        </w:trPr>
        <w:tc>
          <w:tcPr>
            <w:tcW w:w="6520" w:type="dxa"/>
            <w:vAlign w:val="bottom"/>
            <w:tcBorders>
              <w:bottom w:val="single" w:sz="8" w:color="auto"/>
            </w:tcBorders>
            <w:gridSpan w:val="2"/>
          </w:tcPr>
          <w:p>
            <w:pPr>
              <w:ind w:left="308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20"/>
                <w:szCs w:val="20"/>
                <w:color w:val="auto"/>
              </w:rPr>
            </w:pPr>
          </w:p>
        </w:tc>
        <w:tc>
          <w:tcPr>
            <w:tcW w:w="1020" w:type="dxa"/>
            <w:vAlign w:val="bottom"/>
            <w:tcBorders>
              <w:bottom w:val="single" w:sz="8" w:color="CFF0FC"/>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23"/>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Derivative instruments</w:t>
            </w:r>
          </w:p>
        </w:tc>
        <w:tc>
          <w:tcPr>
            <w:tcW w:w="116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4,591</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Conversion Option Liability on Convertible Senior Notes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365"/>
        </w:trPr>
        <w:tc>
          <w:tcPr>
            <w:tcW w:w="1500" w:type="dxa"/>
            <w:vAlign w:val="bottom"/>
            <w:tcBorders>
              <w:bottom w:val="single" w:sz="8" w:color="auto"/>
            </w:tcBorders>
          </w:tcPr>
          <w:p>
            <w:pPr>
              <w:spacing w:after="0"/>
              <w:rPr>
                <w:sz w:val="24"/>
                <w:szCs w:val="24"/>
                <w:color w:val="auto"/>
              </w:rPr>
            </w:pPr>
          </w:p>
        </w:tc>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350"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b w:val="1"/>
          <w:bCs w:val="1"/>
          <w:i w:val="1"/>
          <w:iCs w:val="1"/>
          <w:color w:val="auto"/>
        </w:rPr>
        <w:t xml:space="preserve">Level 3 Measurement. </w:t>
      </w:r>
      <w:r>
        <w:rPr>
          <w:rFonts w:ascii="Arial" w:cs="Arial" w:eastAsia="Arial" w:hAnsi="Arial"/>
          <w:sz w:val="16"/>
          <w:szCs w:val="16"/>
          <w:color w:val="auto"/>
        </w:rPr>
        <w:t>The fair value of the conversion option liability embedded in the Convertible Senior Notes is estimated with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inputs that are both observable and unobservable in the market and therefore is considered a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fair value measurement. The Company used a binomial lattice model that assumes the holders will maximize their value by finding the optimal decision between redeeming at the redemption price or converting into shares of Common Stock. This model estimates the fair value of the conversion option as the differential in the fair value of the notes including the conversion option compared with the fair value of the notes excluding the conversion option. The significant observable inputs used in the fair value measurement include the price of Common Stock and the risk-free interest rate. The significant unobservable inputs are the estimated Company credit spread and Common Stock volatility, which were based on comparable companies in the transportation and energy industries.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8" w:name="page109"/>
    <w:bookmarkEnd w:id="108"/>
    <w:p>
      <w:pPr>
        <w:ind w:left="760"/>
        <w:spacing w:after="0"/>
        <w:rPr>
          <w:sz w:val="20"/>
          <w:szCs w:val="20"/>
          <w:color w:val="auto"/>
        </w:rPr>
      </w:pPr>
      <w:r>
        <w:rPr>
          <w:rFonts w:ascii="Arial" w:cs="Arial" w:eastAsia="Arial" w:hAnsi="Arial"/>
          <w:sz w:val="18"/>
          <w:szCs w:val="18"/>
          <w:color w:val="auto"/>
        </w:rPr>
        <w:t>The estimated fair values of the Company’s other financial assets and liabilities as of December 31 were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Estimated Fair Value</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line="205" w:lineRule="exact"/>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Level 2</w:t>
            </w:r>
          </w:p>
        </w:tc>
        <w:tc>
          <w:tcPr>
            <w:tcW w:w="20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r>
      <w:tr>
        <w:trPr>
          <w:trHeight w:val="223"/>
        </w:trPr>
        <w:tc>
          <w:tcPr>
            <w:tcW w:w="5700" w:type="dxa"/>
            <w:vAlign w:val="bottom"/>
            <w:tcBorders>
              <w:bottom w:val="single" w:sz="8" w:color="auto"/>
            </w:tcBorders>
          </w:tcPr>
          <w:p>
            <w:pPr>
              <w:ind w:left="266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1000" w:type="dxa"/>
            <w:vAlign w:val="bottom"/>
            <w:tcBorders>
              <w:top w:val="single" w:sz="8" w:color="auto"/>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960" w:type="dxa"/>
            <w:vAlign w:val="bottom"/>
            <w:tcBorders>
              <w:top w:val="single" w:sz="8" w:color="auto"/>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960" w:type="dxa"/>
            <w:vAlign w:val="bottom"/>
            <w:tcBorders>
              <w:top w:val="single" w:sz="8" w:color="auto"/>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960" w:type="dxa"/>
            <w:vAlign w:val="bottom"/>
            <w:tcBorders>
              <w:top w:val="single" w:sz="8" w:color="auto"/>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5"/>
        </w:trPr>
        <w:tc>
          <w:tcPr>
            <w:tcW w:w="5700" w:type="dxa"/>
            <w:vAlign w:val="bottom"/>
          </w:tcPr>
          <w:p>
            <w:pPr>
              <w:spacing w:after="0"/>
              <w:rPr>
                <w:sz w:val="20"/>
                <w:szCs w:val="20"/>
                <w:color w:val="auto"/>
              </w:rPr>
            </w:pPr>
            <w:r>
              <w:rPr>
                <w:rFonts w:ascii="Arial" w:cs="Arial" w:eastAsia="Arial" w:hAnsi="Arial"/>
                <w:sz w:val="18"/>
                <w:szCs w:val="18"/>
                <w:color w:val="auto"/>
              </w:rPr>
              <w:t>Cash, cash equivalents and restricted cash</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41,220</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41,220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34"/>
        </w:trPr>
        <w:tc>
          <w:tcPr>
            <w:tcW w:w="57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Long-term debt, including current portion</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364,364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372,992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r>
      <w:tr>
        <w:trPr>
          <w:trHeight w:val="229"/>
        </w:trPr>
        <w:tc>
          <w:tcPr>
            <w:tcW w:w="5700" w:type="dxa"/>
            <w:vAlign w:val="bottom"/>
            <w:tcBorders>
              <w:bottom w:val="single" w:sz="8" w:color="auto"/>
            </w:tcBorders>
          </w:tcPr>
          <w:p>
            <w:pPr>
              <w:ind w:left="266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5"/>
        </w:trPr>
        <w:tc>
          <w:tcPr>
            <w:tcW w:w="5700" w:type="dxa"/>
            <w:vAlign w:val="bottom"/>
          </w:tcPr>
          <w:p>
            <w:pPr>
              <w:spacing w:after="0"/>
              <w:rPr>
                <w:sz w:val="20"/>
                <w:szCs w:val="20"/>
                <w:color w:val="auto"/>
              </w:rPr>
            </w:pPr>
            <w:r>
              <w:rPr>
                <w:rFonts w:ascii="Arial" w:cs="Arial" w:eastAsia="Arial" w:hAnsi="Arial"/>
                <w:sz w:val="18"/>
                <w:szCs w:val="18"/>
                <w:color w:val="auto"/>
              </w:rPr>
              <w:t>Cash, cash equivalents and restricted cash</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36,018</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36,018</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34"/>
        </w:trPr>
        <w:tc>
          <w:tcPr>
            <w:tcW w:w="57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Long-term debt, including current portion</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472,887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470,561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carrying value of cash, cash equivalents and restricted cash approximates fair value. The fair value of the Company’s long-term debt was estimated based upon quoted market prices or by using discounted cash flow analysis based on estimated current rates for similar types of arrangements. Considerable judgment was required in developing certain of the estimates of fair value including the consideration of the COVID-19 pandemic that has caused significant volatility in the U.S. and international markets, and, accordingly, the estimates presented herein are not necessarily indicative of the amounts that the Company could realize in a current market exchange.</w:t>
      </w:r>
    </w:p>
    <w:p>
      <w:pPr>
        <w:spacing w:after="0" w:line="188"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b w:val="1"/>
          <w:bCs w:val="1"/>
          <w:i w:val="1"/>
          <w:iCs w:val="1"/>
          <w:color w:val="auto"/>
        </w:rPr>
        <w:t xml:space="preserve">Property and equipment. </w:t>
      </w:r>
      <w:r>
        <w:rPr>
          <w:rFonts w:ascii="Arial" w:cs="Arial" w:eastAsia="Arial" w:hAnsi="Arial"/>
          <w:sz w:val="16"/>
          <w:szCs w:val="16"/>
          <w:color w:val="auto"/>
        </w:rPr>
        <w:t>During the year ended December 31, 2021, the Company recognized no impairment charges and none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Company’s property and equipment had a fair value based on ordinary liquidation value or indicative sales price. During the year ended December 31, 2020 the Company recognized impairment charges of $18.8 million associated with certain offshore support vessels. As of December 31, 2020, the Company had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fair values determined based upon ordinary liquidation value of $43.0 million on five liftboats. The Level 3 fair values were determined based on third-party valuations using significant inputs that are unobservable in the market. Due to limited market transactions, the primary valuation methodology applied by the appraisers was an estimated cost approach less estimated economic depreciation for comparably aged and conditioned assets less estimated economic obsolescence based on market data or utilization and rates per day worked trending of the vessels since 2014.</w:t>
      </w:r>
    </w:p>
    <w:p>
      <w:pPr>
        <w:spacing w:after="0" w:line="139"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b w:val="1"/>
          <w:bCs w:val="1"/>
          <w:i w:val="1"/>
          <w:iCs w:val="1"/>
          <w:color w:val="auto"/>
        </w:rPr>
        <w:t xml:space="preserve">Investments, at equity, in 50% or less owned companies. </w:t>
      </w:r>
      <w:r>
        <w:rPr>
          <w:rFonts w:ascii="Arial" w:cs="Arial" w:eastAsia="Arial" w:hAnsi="Arial"/>
          <w:sz w:val="17"/>
          <w:szCs w:val="17"/>
          <w:color w:val="auto"/>
        </w:rPr>
        <w:t>During the year ended December 31, 2021, the Company received a distribution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one of its investments in 50% or less owned companies, MEXMAR Offshore, in the amount of $12.0 million of which $9.4 million was in excess of the Company’s investment balance of $2.6 million. The beginning balance of the Company’s investment in MEXMAR Offshore was zero. During the year ended December 31, 2020, the Company marked two of its investments in 50% or less owned companies, Seabulk Tims I and Offshore Vessel Holdings, to zero due to a return of funds that exceeded the carrying value of the investment and continued losses, respectively. The Company did not make any further adjustments to any of its investments in 50% or less owned companies.</w:t>
      </w:r>
    </w:p>
    <w:p>
      <w:pPr>
        <w:spacing w:after="0" w:line="200" w:lineRule="exact"/>
        <w:rPr>
          <w:sz w:val="20"/>
          <w:szCs w:val="20"/>
          <w:color w:val="auto"/>
        </w:rPr>
      </w:pPr>
    </w:p>
    <w:p>
      <w:pPr>
        <w:spacing w:after="0" w:line="325" w:lineRule="exact"/>
        <w:rPr>
          <w:sz w:val="20"/>
          <w:szCs w:val="20"/>
          <w:color w:val="auto"/>
        </w:rPr>
      </w:pPr>
    </w:p>
    <w:p>
      <w:pPr>
        <w:ind w:left="760" w:hanging="752"/>
        <w:spacing w:after="0"/>
        <w:tabs>
          <w:tab w:leader="none" w:pos="7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89"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color w:val="auto"/>
        </w:rPr>
        <w:t>In connection with various transactions, the Company issued 2,560,456 warrants to purchase shares of Common Stock at an exercise price of $0.01 per share (“Warrants”), of which 1,439,483 remain outstanding as of December 31, 2021. Included among these are the Carlyle Warrants.</w:t>
      </w:r>
    </w:p>
    <w:p>
      <w:pPr>
        <w:spacing w:after="0" w:line="119"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On December 23, 2021, 48,809 Warrants were exercised for a penny per share, resulting in 1,439,483 Warrants outstanding as of December 31, 2021. In connection with the exercise of Warrants on December 23, 2021, 149 shares of Common Stock were withheld as payment for the exercise price of the exercised Warrants.</w:t>
      </w:r>
    </w:p>
    <w:p>
      <w:pPr>
        <w:spacing w:after="0" w:line="14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On September 1, 2020 and September 18, 2020, 255,307 and 83,367 Warrants were exercised, respectively, for a penny per share, resulting in 1,488,292 Warrants outstanding as of December 31, 2020. In connection with the exercise of Warrants on September 18, 2020, 354 shares of Common Stock were withheld as payment for the exercise price of the exercised Warrants.</w:t>
      </w:r>
    </w:p>
    <w:p>
      <w:pPr>
        <w:spacing w:after="0" w:line="14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On May 28, 2019 and June 14, 2019, 380,000 and 64,440 Warrants were exercised, respectively, for a penny per share, resulting in 1,826,966 Warrants outstanding as of December 31, 2019. In connection with the exercise of Warrants on June 14, 2019, 49 shares of Common Stock were withheld as payment for the exercise price of the exercised Warrants.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9" w:name="page110"/>
    <w:bookmarkEnd w:id="109"/>
    <w:p>
      <w:pPr>
        <w:ind w:left="760" w:hanging="752"/>
        <w:spacing w:after="0"/>
        <w:tabs>
          <w:tab w:leader="none" w:pos="7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On December 31, 2021, pursuant to the Merger Agreement OSV Partners I merged with and into SEACOR Offshore OSV with SEACOR Offshore OSV surviving the Merger.</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In connection with the consummation of the Merger, the Company issued an aggregate number of 1,567,935 shares of Common Stock,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4" w:lineRule="exact"/>
        <w:rPr>
          <w:sz w:val="20"/>
          <w:szCs w:val="20"/>
          <w:color w:val="auto"/>
        </w:rPr>
      </w:pPr>
    </w:p>
    <w:p>
      <w:pPr>
        <w:ind w:left="1500" w:hanging="750"/>
        <w:spacing w:after="0" w:line="274" w:lineRule="auto"/>
        <w:tabs>
          <w:tab w:leader="none" w:pos="1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531,872 </w:t>
      </w:r>
      <w:r>
        <w:rPr>
          <w:rFonts w:ascii="Arial" w:cs="Arial" w:eastAsia="Arial" w:hAnsi="Arial"/>
          <w:sz w:val="21"/>
          <w:szCs w:val="21"/>
          <w:color w:val="auto"/>
        </w:rPr>
        <w:t>shares of Common Stock as consideration for the Merger paid to OSV Partners I’s limited partners (other</w:t>
      </w:r>
      <w:r>
        <w:rPr>
          <w:rFonts w:ascii="Arial" w:cs="Arial" w:eastAsia="Arial" w:hAnsi="Arial"/>
          <w:sz w:val="18"/>
          <w:szCs w:val="18"/>
          <w:color w:val="auto"/>
        </w:rPr>
        <w:t xml:space="preserve"> </w:t>
      </w:r>
      <w:r>
        <w:rPr>
          <w:rFonts w:ascii="Arial" w:cs="Arial" w:eastAsia="Arial" w:hAnsi="Arial"/>
          <w:sz w:val="21"/>
          <w:szCs w:val="21"/>
          <w:color w:val="auto"/>
        </w:rPr>
        <w:t>than the Company and its subsidiaries), and</w:t>
      </w:r>
    </w:p>
    <w:p>
      <w:pPr>
        <w:spacing w:after="0" w:line="150" w:lineRule="exact"/>
        <w:rPr>
          <w:rFonts w:ascii="Arial" w:cs="Arial" w:eastAsia="Arial" w:hAnsi="Arial"/>
          <w:sz w:val="18"/>
          <w:szCs w:val="18"/>
          <w:color w:val="auto"/>
        </w:rPr>
      </w:pPr>
    </w:p>
    <w:p>
      <w:pPr>
        <w:jc w:val="both"/>
        <w:ind w:left="1500" w:hanging="750"/>
        <w:spacing w:after="0" w:line="257" w:lineRule="auto"/>
        <w:tabs>
          <w:tab w:leader="none" w:pos="1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1,036,063 </w:t>
      </w:r>
      <w:r>
        <w:rPr>
          <w:rFonts w:ascii="Arial" w:cs="Arial" w:eastAsia="Arial" w:hAnsi="Arial"/>
          <w:sz w:val="21"/>
          <w:szCs w:val="21"/>
          <w:color w:val="auto"/>
        </w:rPr>
        <w:t>shares of Common Stock as payment to settle all amounts and other obligations outstanding under the</w:t>
      </w:r>
      <w:r>
        <w:rPr>
          <w:rFonts w:ascii="Arial" w:cs="Arial" w:eastAsia="Arial" w:hAnsi="Arial"/>
          <w:sz w:val="18"/>
          <w:szCs w:val="18"/>
          <w:color w:val="auto"/>
        </w:rPr>
        <w:t xml:space="preserve"> </w:t>
      </w:r>
      <w:r>
        <w:rPr>
          <w:rFonts w:ascii="Arial" w:cs="Arial" w:eastAsia="Arial" w:hAnsi="Arial"/>
          <w:sz w:val="21"/>
          <w:szCs w:val="21"/>
          <w:color w:val="auto"/>
        </w:rPr>
        <w:t>Subordinated PIK Loan Agreement and paid to the former lenders thereunder (all of whom were limited partners of OSV Partners I).</w:t>
      </w:r>
    </w:p>
    <w:p>
      <w:pPr>
        <w:spacing w:after="0" w:line="149"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On December 23, 2021, 48,809 Warrants were exercised for a penny per share, resulting in 1,439,483 Warrants outstanding as of December 31, 2021. In connection with the exercise of Warrants on December 23, 2021, 149 shares of Common Stock were withheld as payment for the exercise price of the exercised Warrants.</w:t>
      </w:r>
    </w:p>
    <w:p>
      <w:pPr>
        <w:spacing w:after="0" w:line="143" w:lineRule="exact"/>
        <w:rPr>
          <w:sz w:val="20"/>
          <w:szCs w:val="20"/>
          <w:color w:val="auto"/>
        </w:rPr>
      </w:pPr>
    </w:p>
    <w:p>
      <w:pPr>
        <w:jc w:val="both"/>
        <w:ind w:firstLine="849"/>
        <w:spacing w:after="0" w:line="263" w:lineRule="auto"/>
        <w:rPr>
          <w:sz w:val="20"/>
          <w:szCs w:val="20"/>
          <w:color w:val="auto"/>
        </w:rPr>
      </w:pPr>
      <w:r>
        <w:rPr>
          <w:rFonts w:ascii="Arial" w:cs="Arial" w:eastAsia="Arial" w:hAnsi="Arial"/>
          <w:sz w:val="18"/>
          <w:szCs w:val="18"/>
          <w:color w:val="auto"/>
        </w:rPr>
        <w:t>On September 1, 2020 and September 18, 2020, 255,307 and 83,367 Warrants were exercised, respectively, for a penny per share, resulting in 1,488,292 Warrants outstanding as of December 31, 2020. In connection with the exercise of Warrants on September 18, 2020, 354 shares of Common Stock were withheld as payment for the exercise price of the exercised Warrants.</w:t>
      </w:r>
    </w:p>
    <w:p>
      <w:pPr>
        <w:spacing w:after="0" w:line="143" w:lineRule="exact"/>
        <w:rPr>
          <w:sz w:val="20"/>
          <w:szCs w:val="20"/>
          <w:color w:val="auto"/>
        </w:rPr>
      </w:pPr>
    </w:p>
    <w:p>
      <w:pPr>
        <w:jc w:val="both"/>
        <w:ind w:firstLine="849"/>
        <w:spacing w:after="0" w:line="290" w:lineRule="auto"/>
        <w:rPr>
          <w:sz w:val="20"/>
          <w:szCs w:val="20"/>
          <w:color w:val="auto"/>
        </w:rPr>
      </w:pPr>
      <w:r>
        <w:rPr>
          <w:rFonts w:ascii="Arial" w:cs="Arial" w:eastAsia="Arial" w:hAnsi="Arial"/>
          <w:sz w:val="16"/>
          <w:szCs w:val="16"/>
          <w:color w:val="auto"/>
        </w:rPr>
        <w:t>The Company had previously registered 2,174,000 shares of Common Stock for issuance under the SEACOR Marine Holdings Inc. 2017 Equity Incentive Plan (the “2017 Plan”). The Company’s shareholders approved the SEACOR Marine Holdings Inc. 2020 Equity Incentive Plan (the “2020 Plan”) at the annual meeting of shareholders held on June 9, 2020 (the “Approval Date”), which authorized the issuance of 2,080,000 shares of Common Stock under the 2020 Plan. On June 9, 2020 the Company filed a registration statement on Form S-8 with the Securities and Exchange Commission (“SEC”) with respect to the registration of 2,114,821 shares of Common Stock, representing the 2,080,000 shares of Common Stock approved by the Company’s shareholders for issuance under the 2020 Plan, plus 24,821 shares of Common Stock remaining available for issuance under the 2017 Equity Incentive Plan as of the Approval Date that will be available for issuance under the 2020 Plan, plus Common Stock subject to awards outstanding under the 2017 Plan, that pursuant to the terms of the 2017 Plan and the 2020 Plan, may be available for future issuance under the 2020 Plan.</w:t>
      </w:r>
    </w:p>
    <w:p>
      <w:pPr>
        <w:spacing w:after="0" w:line="138" w:lineRule="exact"/>
        <w:rPr>
          <w:sz w:val="20"/>
          <w:szCs w:val="20"/>
          <w:color w:val="auto"/>
        </w:rPr>
      </w:pPr>
    </w:p>
    <w:p>
      <w:pPr>
        <w:jc w:val="both"/>
        <w:ind w:firstLine="849"/>
        <w:spacing w:after="0" w:line="257" w:lineRule="auto"/>
        <w:rPr>
          <w:sz w:val="20"/>
          <w:szCs w:val="20"/>
          <w:color w:val="auto"/>
        </w:rPr>
      </w:pPr>
      <w:r>
        <w:rPr>
          <w:rFonts w:ascii="Arial" w:cs="Arial" w:eastAsia="Arial" w:hAnsi="Arial"/>
          <w:sz w:val="18"/>
          <w:szCs w:val="18"/>
          <w:color w:val="auto"/>
        </w:rPr>
        <w:t>On March 20, 2020, SEACOR LB Holdings LLC, an indirect wholly-owned subsidiary of SEACOR Marine (“SEACOR LB Holdings”), entered into a membership interest purchase agreement with SEACOR Marine, Montco Offshore, LLC (“Montco”) and Lee Orgeron, the principal of Montco, pursuant to which SEACOR LB Holdings purchased the 28% minority equity interest in Falcon Global Holdings held by Montco in exchange for 900,000 shares of Common Stock issued to Montco as consideration in a private placement. The purchase resulted in the Company owning 100% of Falcon Global Holdings.</w:t>
      </w:r>
    </w:p>
    <w:p>
      <w:pPr>
        <w:spacing w:after="0" w:line="147" w:lineRule="exact"/>
        <w:rPr>
          <w:sz w:val="20"/>
          <w:szCs w:val="20"/>
          <w:color w:val="auto"/>
        </w:rPr>
      </w:pPr>
    </w:p>
    <w:p>
      <w:pPr>
        <w:jc w:val="both"/>
        <w:ind w:firstLine="849"/>
        <w:spacing w:after="0" w:line="308" w:lineRule="auto"/>
        <w:rPr>
          <w:sz w:val="20"/>
          <w:szCs w:val="20"/>
          <w:color w:val="auto"/>
        </w:rPr>
      </w:pPr>
      <w:r>
        <w:rPr>
          <w:rFonts w:ascii="Arial" w:cs="Arial" w:eastAsia="Arial" w:hAnsi="Arial"/>
          <w:sz w:val="17"/>
          <w:szCs w:val="17"/>
          <w:color w:val="auto"/>
        </w:rPr>
        <w:t>On May 28, 2019 and June 8, 2019, 380,000 and 64,440 Warrants were exercised, respectively, for a penny per share. In connection with the exercise of Warrants on June 14, 2019, 49 shares of Common Stock were withheld as payment for the exercise price of the exercised Warrants.</w:t>
      </w:r>
    </w:p>
    <w:p>
      <w:pPr>
        <w:spacing w:after="0" w:line="106" w:lineRule="exact"/>
        <w:rPr>
          <w:sz w:val="20"/>
          <w:szCs w:val="20"/>
          <w:color w:val="auto"/>
        </w:rPr>
      </w:pPr>
    </w:p>
    <w:p>
      <w:pPr>
        <w:jc w:val="both"/>
        <w:ind w:firstLine="849"/>
        <w:spacing w:after="0" w:line="291" w:lineRule="auto"/>
        <w:rPr>
          <w:sz w:val="20"/>
          <w:szCs w:val="20"/>
          <w:color w:val="auto"/>
        </w:rPr>
      </w:pPr>
      <w:r>
        <w:rPr>
          <w:rFonts w:ascii="Arial" w:cs="Arial" w:eastAsia="Arial" w:hAnsi="Arial"/>
          <w:sz w:val="16"/>
          <w:szCs w:val="16"/>
          <w:color w:val="auto"/>
        </w:rPr>
        <w:t>On January 25, 2019, Seabulk Overseas Transport, Inc., a wholly owned subsidiary of SEACOR Marine (“Seabulk Overseas”), acquired a 6.25% minority interest in Windcat Workboats that it did not previously own upon the exercise of certain put options by one of the two minority owners pursuant to the terms of a subscription and shareholders agreement, as amended (the “Subscription and Shareholders Agreement”), in exchange for consideration of £1.6 million (approximately $2.0 million) in cash. The Company acquired the other 6.25% minority interest in Windcat Workboats that the Company did not already own on March 15, 2019 in exchange for consideration of 50,000 shares of Common Stock and €1.2 million (approximately $1.4 million) in cash. The Common Stock was issued in a private placement in reliance upon the exemption from registration provided by Section 4(a)(2) of the Securities Act. The two acquisitions resulted in Seabulk Overseas owning (and SEACOR Marine indirectly owning) 100% of Windcat Workboats.</w:t>
      </w:r>
    </w:p>
    <w:p>
      <w:pPr>
        <w:spacing w:after="0" w:line="139" w:lineRule="exact"/>
        <w:rPr>
          <w:sz w:val="20"/>
          <w:szCs w:val="20"/>
          <w:color w:val="auto"/>
        </w:rPr>
      </w:pPr>
    </w:p>
    <w:p>
      <w:pPr>
        <w:jc w:val="both"/>
        <w:ind w:firstLine="849"/>
        <w:spacing w:after="0" w:line="255" w:lineRule="auto"/>
        <w:rPr>
          <w:sz w:val="20"/>
          <w:szCs w:val="20"/>
          <w:color w:val="auto"/>
        </w:rPr>
      </w:pPr>
      <w:r>
        <w:rPr>
          <w:rFonts w:ascii="Arial" w:cs="Arial" w:eastAsia="Arial" w:hAnsi="Arial"/>
          <w:sz w:val="18"/>
          <w:szCs w:val="18"/>
          <w:color w:val="auto"/>
        </w:rPr>
        <w:t>On January 9, 2019, certain indirect wholly owned subsidiaries of SEACOR Marine acquired three FSVs in exchange for the private placement of 603,872 shares of Common Stock to domestic U.S. holders affiliated with the McCall family of Louisiana. The value of the vessels and the Common Stock was $7.8 million based on the closing price of a share of Common Stock on the NYSE on the day of the exchange. The Common Stock was issued in reliance upon the exemption from registration provided by Section 4(a)(2) of the Securities Act. The Company has operated the acquired vessels for the past ten years under a revenue sharing pooling agreement that included four of its owned FSVs of similar specification. In accordance with its terms, this pooling agreement was terminated.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0" w:name="page111"/>
    <w:bookmarkEnd w:id="110"/>
    <w:p>
      <w:pPr>
        <w:ind w:firstLine="849"/>
        <w:spacing w:after="0" w:line="277" w:lineRule="auto"/>
        <w:rPr>
          <w:sz w:val="20"/>
          <w:szCs w:val="20"/>
          <w:color w:val="auto"/>
        </w:rPr>
      </w:pPr>
      <w:r>
        <w:rPr>
          <w:rFonts w:ascii="Arial" w:cs="Arial" w:eastAsia="Arial" w:hAnsi="Arial"/>
          <w:sz w:val="18"/>
          <w:szCs w:val="18"/>
          <w:color w:val="auto"/>
        </w:rPr>
        <w:t>On January 1, 2019, the Company adopted ASC 842 regarding the recording of lease on the balance sheet. This adoption resulted in an increase of $10.4 million, net of tax, to the Company’s opening retained earnings for the current period.</w:t>
      </w:r>
    </w:p>
    <w:p>
      <w:pPr>
        <w:spacing w:after="0" w:line="139" w:lineRule="exact"/>
        <w:rPr>
          <w:sz w:val="20"/>
          <w:szCs w:val="20"/>
          <w:color w:val="auto"/>
        </w:rPr>
      </w:pPr>
    </w:p>
    <w:p>
      <w:pPr>
        <w:ind w:left="760" w:hanging="752"/>
        <w:spacing w:after="0"/>
        <w:tabs>
          <w:tab w:leader="none" w:pos="7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 IN SUBSIDIARIES</w:t>
      </w:r>
    </w:p>
    <w:p>
      <w:pPr>
        <w:spacing w:after="0" w:line="188"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Noncontrolling interests in the Company’s consolidated subsidiaries as of December 31 were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60" w:type="dxa"/>
            <w:vAlign w:val="bottom"/>
          </w:tcPr>
          <w:p>
            <w:pPr>
              <w:spacing w:after="0"/>
              <w:rPr>
                <w:sz w:val="18"/>
                <w:szCs w:val="18"/>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Noncontrolling</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656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Interests</w:t>
            </w:r>
          </w:p>
        </w:tc>
        <w:tc>
          <w:tcPr>
            <w:tcW w:w="400" w:type="dxa"/>
            <w:vAlign w:val="bottom"/>
          </w:tcPr>
          <w:p>
            <w:pPr>
              <w:spacing w:after="0"/>
              <w:rPr>
                <w:sz w:val="20"/>
                <w:szCs w:val="20"/>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VEESEA Holdings Inc.</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r>
    </w:tbl>
    <w:p>
      <w:pPr>
        <w:spacing w:after="0" w:line="26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b w:val="1"/>
          <w:bCs w:val="1"/>
          <w:i w:val="1"/>
          <w:iCs w:val="1"/>
          <w:color w:val="auto"/>
        </w:rPr>
        <w:t xml:space="preserve">Falcon Global Holdings. </w:t>
      </w:r>
      <w:r>
        <w:rPr>
          <w:rFonts w:ascii="Arial" w:cs="Arial" w:eastAsia="Arial" w:hAnsi="Arial"/>
          <w:sz w:val="17"/>
          <w:szCs w:val="17"/>
          <w:color w:val="auto"/>
        </w:rPr>
        <w:t>Prior to March 20, 2020, the Company held 72% of the equity interest in Falcon Global Holdings. On March 20,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completed the acquisition of the remaining 28% minority interest in Falcon Global Holdings, resulting in the Company’s 100% ownership of Falcon Global Holdings. Consideration paid by the Company was 900,000 shares of Common Stock issued in a private placement to the seller of the minority interest, Montco Offshore LLC. Prior to the acquisition of the remaining noncontrolling interest in Falcon Global Holdings the net loss attributable to Falcon Global Holdings was $16.6 million, of which $4.6 million was attributable to noncontrolling interest</w:t>
      </w:r>
      <w:r>
        <w:rPr>
          <w:rFonts w:ascii="Arial" w:cs="Arial" w:eastAsia="Arial" w:hAnsi="Arial"/>
          <w:sz w:val="17"/>
          <w:szCs w:val="17"/>
          <w:b w:val="1"/>
          <w:bCs w:val="1"/>
          <w:i w:val="1"/>
          <w:iCs w:val="1"/>
          <w:color w:val="auto"/>
        </w:rPr>
        <w:t>.</w:t>
      </w:r>
    </w:p>
    <w:p>
      <w:pPr>
        <w:spacing w:after="0" w:line="132" w:lineRule="exact"/>
        <w:rPr>
          <w:sz w:val="20"/>
          <w:szCs w:val="20"/>
          <w:color w:val="auto"/>
        </w:rPr>
      </w:pPr>
    </w:p>
    <w:p>
      <w:pPr>
        <w:ind w:left="760" w:hanging="752"/>
        <w:spacing w:after="0"/>
        <w:tabs>
          <w:tab w:leader="none" w:pos="7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SAVINGS AND MULTI-EMPLOYER PENSION PLANS</w:t>
      </w:r>
    </w:p>
    <w:p>
      <w:pPr>
        <w:spacing w:after="0" w:line="189"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b w:val="1"/>
          <w:bCs w:val="1"/>
          <w:i w:val="1"/>
          <w:iCs w:val="1"/>
          <w:color w:val="auto"/>
        </w:rPr>
        <w:t xml:space="preserve">SEACOR Marine Savings Plan. </w:t>
      </w:r>
      <w:r>
        <w:rPr>
          <w:rFonts w:ascii="Arial" w:cs="Arial" w:eastAsia="Arial" w:hAnsi="Arial"/>
          <w:sz w:val="16"/>
          <w:szCs w:val="16"/>
          <w:color w:val="auto"/>
        </w:rPr>
        <w:t>On January 1, 2016, the Company’s eligible U.S. based employees were transferred from the SEACOR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Holdings sponsored defined contribution plan to the “SEACOR Marine 401(k) Plan,” a new Company sponsored defined contribution plan (the “Savings Plan”). Effective upon the June 1, 2017 Spin-off, the Company discontinued its contribution to the Savings Plan up until January 1, 2019, at which time the Company’s contribution were limited to 1% of an employee’s wages. In 2020, the Company increased its contributions to 2% of an employee’s wages. The Savings Plan costs for the year ended December 31, 2021, 2020 and 2019 were $0.2 million, $0.3 million and $0.2 million, respectively.</w:t>
      </w:r>
    </w:p>
    <w:p>
      <w:pPr>
        <w:spacing w:after="0" w:line="13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b w:val="1"/>
          <w:bCs w:val="1"/>
          <w:i w:val="1"/>
          <w:iCs w:val="1"/>
          <w:color w:val="auto"/>
        </w:rPr>
        <w:t xml:space="preserve">MNOPF and MNRPF. </w:t>
      </w:r>
      <w:r>
        <w:rPr>
          <w:rFonts w:ascii="Arial" w:cs="Arial" w:eastAsia="Arial" w:hAnsi="Arial"/>
          <w:sz w:val="17"/>
          <w:szCs w:val="17"/>
          <w:color w:val="auto"/>
        </w:rPr>
        <w:t>Certain of the Company’s subsidiaries are participating employers in two industry-wide, multi-employer, defined benefit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pension funds in the United Kingdom: the U.K Merchant Navy Officers Pension Fund (“MNOPF”) and the U.K. Merchant Navy Ratings Pension Fund (“MNRPF”). The Company’s participation in the MNOPF began with the acquisition of the Stirling group of companies (the “Stirling Group”) in 2001 and relates to certain officers employed between 1978 and 2002 by the Stirling Group and/or its predecessors. The Company’s participation in the MNRPF also began with the acquisition of the Stirling Group in 2001 and relates to ratings employed by the Stirling Group and/or its predecessors through today. Both of these plans are in deficit positions and, depending upon the results of future actuarial valuations, it is possible that the plans could experience funding deficits that will require the Company to recognize payroll related operating expenses in the periods invoices are received. As of December 31, 2021, all invoices related to MNOPF and MNRPF have been settled in full.</w:t>
      </w:r>
    </w:p>
    <w:p>
      <w:pPr>
        <w:spacing w:after="0" w:line="138" w:lineRule="exact"/>
        <w:rPr>
          <w:sz w:val="20"/>
          <w:szCs w:val="20"/>
          <w:color w:val="auto"/>
        </w:rPr>
      </w:pPr>
    </w:p>
    <w:p>
      <w:pPr>
        <w:jc w:val="both"/>
        <w:ind w:firstLine="849"/>
        <w:spacing w:after="0" w:line="257" w:lineRule="auto"/>
        <w:rPr>
          <w:sz w:val="20"/>
          <w:szCs w:val="20"/>
          <w:color w:val="auto"/>
        </w:rPr>
      </w:pPr>
      <w:r>
        <w:rPr>
          <w:rFonts w:ascii="Arial" w:cs="Arial" w:eastAsia="Arial" w:hAnsi="Arial"/>
          <w:sz w:val="18"/>
          <w:szCs w:val="18"/>
          <w:color w:val="auto"/>
        </w:rPr>
        <w:t>On October 19, 2021, the Company was informed by the MNRPF that two issues had been identified during a review of the MNRPF by the applicable trustee that would potentially give rise to material additional liabilities for the MNRPF. The MNRPF has indicated that the investigations into these issues remain ongoing, and that further updates will be provided as significant developments arise. Should such additional liabilities require the MNRPF to collect additional funds from participating employers, it is possible that the Company will be invoiced for a portion of such funds and recognize payroll related operating expenses in the periods invoices are received.</w:t>
      </w:r>
    </w:p>
    <w:p>
      <w:pPr>
        <w:spacing w:after="0" w:line="14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 xml:space="preserve">Other Plans. </w:t>
      </w:r>
      <w:r>
        <w:rPr>
          <w:rFonts w:ascii="Arial" w:cs="Arial" w:eastAsia="Arial" w:hAnsi="Arial"/>
          <w:sz w:val="18"/>
          <w:szCs w:val="18"/>
          <w:color w:val="auto"/>
        </w:rPr>
        <w:t>Certain employees participate in other defined contribution plans in various international regions. During the years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2020 and 2019, the Company incurred costs, primarily from employer matching contributions of $0.4 million, $0.4 million and $0.3 million, respectively.</w:t>
      </w:r>
    </w:p>
    <w:p>
      <w:pPr>
        <w:spacing w:after="0" w:line="153" w:lineRule="exact"/>
        <w:rPr>
          <w:sz w:val="20"/>
          <w:szCs w:val="20"/>
          <w:color w:val="auto"/>
        </w:rPr>
      </w:pPr>
    </w:p>
    <w:p>
      <w:pPr>
        <w:ind w:left="760" w:hanging="752"/>
        <w:spacing w:after="0"/>
        <w:tabs>
          <w:tab w:leader="none" w:pos="7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18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b w:val="1"/>
          <w:bCs w:val="1"/>
          <w:i w:val="1"/>
          <w:iCs w:val="1"/>
          <w:color w:val="auto"/>
        </w:rPr>
        <w:t xml:space="preserve">Equity Incentive Plan. </w:t>
      </w:r>
      <w:r>
        <w:rPr>
          <w:rFonts w:ascii="Arial" w:cs="Arial" w:eastAsia="Arial" w:hAnsi="Arial"/>
          <w:sz w:val="18"/>
          <w:szCs w:val="18"/>
          <w:color w:val="auto"/>
        </w:rPr>
        <w:t>During 2017, the Company adopted the SEACOR Marine Holdings Inc. 2017 Equity Incentive Plan (the “2017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shareholders approved the SEACOR Marine Holdings Inc. 2020 Equity Incentive Plan (the “2020 Plan”) at the annual meeting of shareholders held on June 9, 2020 (the “Approval Date”), which authorized the issuance of 2,080,000 shares of Common Stock under the 2020 Plan plus 24,821 shares of Common Stock remaining available for issuance under the 2017 Equity Incentive Plan as of the Approval Date that will be available for issuance under the 2020 Plan. The types of awards under the 2020 Plan may include stock options, stock appreciation rights, restricted stock and restricted stock units, performance awards and other stock-based awards. As of December 31, 2021, a total of 843,031 shares of Common Stock remained available for issuance under the 2020 Plan.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1" w:name="page112"/>
    <w:bookmarkEnd w:id="111"/>
    <w:p>
      <w:pPr>
        <w:jc w:val="both"/>
        <w:ind w:firstLine="749"/>
        <w:spacing w:after="0" w:line="284" w:lineRule="auto"/>
        <w:rPr>
          <w:sz w:val="20"/>
          <w:szCs w:val="20"/>
          <w:color w:val="auto"/>
        </w:rPr>
      </w:pPr>
      <w:r>
        <w:rPr>
          <w:rFonts w:ascii="Arial" w:cs="Arial" w:eastAsia="Arial" w:hAnsi="Arial"/>
          <w:sz w:val="16"/>
          <w:szCs w:val="16"/>
          <w:color w:val="auto"/>
        </w:rPr>
        <w:t>Restricted stock typically vests from one to four years after the date of grant, and stock options to purchase shares of Common Stock typically vest and become exercisable from one to four years after date of grant and expire no later than the tenth anniversary of the date of grant. Performance restricted stock units (“PRSUs”) typically vest on a cliff-basis after three years, subject to certain stock price performance goals. Pursuant to the applicable award agreements, restricted stock and stock options vest subject to the participant’s continued employment with the Company on the applicable vesting date, subject to accelerated vested upon the executive’s death or qualified retirement or, with respect to restricted stock, upon termination by the Company without “cause” (including for disability). Upon any such termination, PRSUs that have been earned with respect to the stock price performance goal(s) will be settled on the third anniversary of the grant date, without regard to the participants employment with the Company as of such date. For options granted, the fair value is estimated on the date of grant using the Black-Scholes option pricing model with the following assumptions: (a) no dividend yield;</w:t>
      </w:r>
    </w:p>
    <w:p>
      <w:pPr>
        <w:spacing w:after="0" w:line="1" w:lineRule="exact"/>
        <w:rPr>
          <w:sz w:val="20"/>
          <w:szCs w:val="20"/>
          <w:color w:val="auto"/>
        </w:rPr>
      </w:pPr>
    </w:p>
    <w:p>
      <w:pPr>
        <w:ind w:firstLine="8"/>
        <w:spacing w:after="0" w:line="260" w:lineRule="auto"/>
        <w:tabs>
          <w:tab w:leader="none" w:pos="282"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weighted average expected volatility; (c) weighted average discount rate; and (d) expected life. For all award types, forfeitures are recognized as incurred.</w:t>
      </w:r>
    </w:p>
    <w:p>
      <w:pPr>
        <w:spacing w:after="0" w:line="158"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b w:val="1"/>
          <w:bCs w:val="1"/>
          <w:i w:val="1"/>
          <w:iCs w:val="1"/>
          <w:color w:val="auto"/>
        </w:rPr>
        <w:t xml:space="preserve">Distribution of SEACOR Marine Restricted Stock by SEACOR Holdings. </w:t>
      </w:r>
      <w:r>
        <w:rPr>
          <w:rFonts w:ascii="Arial" w:cs="Arial" w:eastAsia="Arial" w:hAnsi="Arial"/>
          <w:sz w:val="18"/>
          <w:szCs w:val="18"/>
          <w:color w:val="auto"/>
        </w:rPr>
        <w:t>Certain officers and employees of the Company previously received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through participation in SEACOR Holdings share award plans. Pursuant to the Employee Matters Agreement with SEACOR Holdings, participating Company personnel vested in all outstanding SEACOR Holdings share awards upon the Spin-off in 2017 and received SEACOR Marine restricted stock from the Spin-off distribution in connection with outstanding SEACOR Holdings restricted stock held. The Company paid SEACOR Holdings $2.7 million upon completion of the Spin-off for the distribution of 120,693 shares of SEACOR Marine restricted stock, which is being amortized over the participants’ remaining original vesting periods.</w:t>
      </w:r>
    </w:p>
    <w:p>
      <w:pPr>
        <w:spacing w:after="0" w:line="15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b w:val="1"/>
          <w:bCs w:val="1"/>
          <w:i w:val="1"/>
          <w:iCs w:val="1"/>
          <w:color w:val="auto"/>
        </w:rPr>
        <w:t xml:space="preserve">Employee Stock Purchase Plan. </w:t>
      </w:r>
      <w:r>
        <w:rPr>
          <w:rFonts w:ascii="Arial" w:cs="Arial" w:eastAsia="Arial" w:hAnsi="Arial"/>
          <w:sz w:val="17"/>
          <w:szCs w:val="17"/>
          <w:color w:val="auto"/>
        </w:rPr>
        <w:t>During 2017, the Company adopted the SEACOR Marine Holdings Inc. 2017 Employee Stock Purchase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“Marine ESPP”). The Marine ESPP, if implemented by the Company’s Board of Directors, will permit the Company to offer shares of its Common Stock for purchase by eligible employees at a price equal to 85% of the lesser of (i) the fair market value of a share of its Common Stock on the first day of the offering period or (ii) the fair market value of a share of its Common Stock on the last day of the offering period. There are 300,000 shares of the Company’s Common Stock reserved for issuance under the Marine ESPP during the ten years following its adoption.</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 xml:space="preserve">Share Award Transactions. </w:t>
      </w:r>
      <w:r>
        <w:rPr>
          <w:rFonts w:ascii="Arial" w:cs="Arial" w:eastAsia="Arial" w:hAnsi="Arial"/>
          <w:sz w:val="16"/>
          <w:szCs w:val="16"/>
          <w:color w:val="auto"/>
        </w:rPr>
        <w:t>Transactions in connection with the Company’s Equity Incentive Plans during the years ended December 31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Borders>
              <w:bottom w:val="single" w:sz="8" w:color="CFF0FC"/>
            </w:tcBorders>
          </w:tcPr>
          <w:p>
            <w:pPr>
              <w:spacing w:after="0"/>
              <w:rPr>
                <w:sz w:val="20"/>
                <w:szCs w:val="20"/>
                <w:color w:val="auto"/>
              </w:rPr>
            </w:pPr>
          </w:p>
        </w:tc>
        <w:tc>
          <w:tcPr>
            <w:tcW w:w="6180" w:type="dxa"/>
            <w:vAlign w:val="bottom"/>
            <w:tcBorders>
              <w:bottom w:val="single" w:sz="8" w:color="CFF0FC"/>
            </w:tcBorders>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CFF0FC"/>
            </w:tcBorders>
          </w:tcPr>
          <w:p>
            <w:pPr>
              <w:spacing w:after="0"/>
              <w:rPr>
                <w:sz w:val="20"/>
                <w:szCs w:val="20"/>
                <w:color w:val="auto"/>
              </w:rPr>
            </w:pPr>
          </w:p>
        </w:tc>
        <w:tc>
          <w:tcPr>
            <w:tcW w:w="15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20"/>
                <w:szCs w:val="20"/>
                <w:color w:val="auto"/>
              </w:rPr>
            </w:pPr>
          </w:p>
        </w:tc>
      </w:tr>
      <w:tr>
        <w:trPr>
          <w:trHeight w:val="223"/>
        </w:trPr>
        <w:tc>
          <w:tcPr>
            <w:tcW w:w="7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Director Stock Awards Granted</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189,030</w:t>
            </w:r>
          </w:p>
        </w:tc>
        <w:tc>
          <w:tcPr>
            <w:tcW w:w="36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5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Restricted Stock Activity:</w:t>
            </w: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Outstanding as of the beginning of year</w:t>
            </w:r>
          </w:p>
        </w:tc>
        <w:tc>
          <w:tcPr>
            <w:tcW w:w="1540" w:type="dxa"/>
            <w:vAlign w:val="bottom"/>
          </w:tcPr>
          <w:p>
            <w:pPr>
              <w:jc w:val="right"/>
              <w:spacing w:after="0"/>
              <w:rPr>
                <w:sz w:val="20"/>
                <w:szCs w:val="20"/>
                <w:color w:val="auto"/>
              </w:rPr>
            </w:pPr>
            <w:r>
              <w:rPr>
                <w:rFonts w:ascii="Arial" w:cs="Arial" w:eastAsia="Arial" w:hAnsi="Arial"/>
                <w:sz w:val="18"/>
                <w:szCs w:val="18"/>
                <w:color w:val="auto"/>
              </w:rPr>
              <w:t>436,714</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303,609</w:t>
            </w:r>
          </w:p>
        </w:tc>
        <w:tc>
          <w:tcPr>
            <w:tcW w:w="100" w:type="dxa"/>
            <w:vAlign w:val="bottom"/>
          </w:tcPr>
          <w:p>
            <w:pPr>
              <w:spacing w:after="0"/>
              <w:rPr>
                <w:sz w:val="19"/>
                <w:szCs w:val="19"/>
                <w:color w:val="auto"/>
              </w:rPr>
            </w:pPr>
          </w:p>
        </w:tc>
      </w:tr>
      <w:tr>
        <w:trPr>
          <w:trHeight w:val="229"/>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Granted</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933,705</w:t>
            </w:r>
          </w:p>
        </w:tc>
        <w:tc>
          <w:tcPr>
            <w:tcW w:w="3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(1)</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289,452</w:t>
            </w:r>
          </w:p>
        </w:tc>
        <w:tc>
          <w:tcPr>
            <w:tcW w:w="100" w:type="dxa"/>
            <w:vAlign w:val="bottom"/>
            <w:shd w:val="clear" w:color="auto" w:fill="CFF0FC"/>
          </w:tcPr>
          <w:p>
            <w:pPr>
              <w:spacing w:after="0"/>
              <w:rPr>
                <w:sz w:val="19"/>
                <w:szCs w:val="19"/>
                <w:color w:val="auto"/>
              </w:rPr>
            </w:pPr>
          </w:p>
        </w:tc>
      </w:tr>
      <w:tr>
        <w:trPr>
          <w:trHeight w:val="230"/>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Vested</w:t>
            </w:r>
          </w:p>
        </w:tc>
        <w:tc>
          <w:tcPr>
            <w:tcW w:w="1540" w:type="dxa"/>
            <w:vAlign w:val="bottom"/>
          </w:tcPr>
          <w:p>
            <w:pPr>
              <w:jc w:val="right"/>
              <w:spacing w:after="0"/>
              <w:rPr>
                <w:sz w:val="20"/>
                <w:szCs w:val="20"/>
                <w:color w:val="auto"/>
              </w:rPr>
            </w:pPr>
            <w:r>
              <w:rPr>
                <w:rFonts w:ascii="Arial" w:cs="Arial" w:eastAsia="Arial" w:hAnsi="Arial"/>
                <w:sz w:val="18"/>
                <w:szCs w:val="18"/>
                <w:color w:val="auto"/>
              </w:rPr>
              <w:t>202,079</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143,697</w:t>
            </w:r>
          </w:p>
        </w:tc>
        <w:tc>
          <w:tcPr>
            <w:tcW w:w="100" w:type="dxa"/>
            <w:vAlign w:val="bottom"/>
          </w:tcPr>
          <w:p>
            <w:pPr>
              <w:spacing w:after="0"/>
              <w:rPr>
                <w:sz w:val="19"/>
                <w:szCs w:val="19"/>
                <w:color w:val="auto"/>
              </w:rPr>
            </w:pPr>
          </w:p>
        </w:tc>
      </w:tr>
      <w:tr>
        <w:trPr>
          <w:trHeight w:val="230"/>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5,250</w:t>
            </w:r>
          </w:p>
        </w:tc>
        <w:tc>
          <w:tcPr>
            <w:tcW w:w="36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12,650</w:t>
            </w:r>
          </w:p>
        </w:tc>
        <w:tc>
          <w:tcPr>
            <w:tcW w:w="100" w:type="dxa"/>
            <w:vAlign w:val="bottom"/>
            <w:shd w:val="clear" w:color="auto" w:fill="CFF0FC"/>
          </w:tcPr>
          <w:p>
            <w:pPr>
              <w:spacing w:after="0"/>
              <w:rPr>
                <w:sz w:val="19"/>
                <w:szCs w:val="19"/>
                <w:color w:val="auto"/>
              </w:rPr>
            </w:pPr>
          </w:p>
        </w:tc>
      </w:tr>
      <w:tr>
        <w:trPr>
          <w:trHeight w:val="263"/>
        </w:trPr>
        <w:tc>
          <w:tcPr>
            <w:tcW w:w="76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Outstanding as of the end of year</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1,163,090</w:t>
            </w:r>
          </w:p>
        </w:tc>
        <w:tc>
          <w:tcPr>
            <w:tcW w:w="360" w:type="dxa"/>
            <w:vAlign w:val="bottom"/>
            <w:tcBorders>
              <w:bottom w:val="single" w:sz="8" w:color="CFF0FC"/>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436,714</w:t>
            </w:r>
          </w:p>
        </w:tc>
        <w:tc>
          <w:tcPr>
            <w:tcW w:w="100" w:type="dxa"/>
            <w:vAlign w:val="bottom"/>
            <w:tcBorders>
              <w:bottom w:val="single" w:sz="8" w:color="CFF0FC"/>
            </w:tcBorders>
          </w:tcPr>
          <w:p>
            <w:pPr>
              <w:spacing w:after="0"/>
              <w:rPr>
                <w:sz w:val="22"/>
                <w:szCs w:val="22"/>
                <w:color w:val="auto"/>
              </w:rPr>
            </w:pPr>
          </w:p>
        </w:tc>
      </w:tr>
      <w:tr>
        <w:trPr>
          <w:trHeight w:val="210"/>
        </w:trPr>
        <w:tc>
          <w:tcPr>
            <w:tcW w:w="1500" w:type="dxa"/>
            <w:vAlign w:val="bottom"/>
            <w:shd w:val="clear" w:color="auto" w:fill="CFF0FC"/>
          </w:tcPr>
          <w:p>
            <w:pPr>
              <w:spacing w:after="0"/>
              <w:rPr>
                <w:sz w:val="18"/>
                <w:szCs w:val="18"/>
                <w:color w:val="auto"/>
              </w:rPr>
            </w:pPr>
          </w:p>
        </w:tc>
        <w:tc>
          <w:tcPr>
            <w:tcW w:w="6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Stock Option Activity:</w:t>
            </w: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Outstanding as of the beginning of year</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1,120,541</w:t>
            </w: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913,569</w:t>
            </w:r>
          </w:p>
        </w:tc>
        <w:tc>
          <w:tcPr>
            <w:tcW w:w="100" w:type="dxa"/>
            <w:vAlign w:val="bottom"/>
            <w:shd w:val="clear" w:color="auto" w:fill="CFF0FC"/>
          </w:tcPr>
          <w:p>
            <w:pPr>
              <w:spacing w:after="0"/>
              <w:rPr>
                <w:sz w:val="19"/>
                <w:szCs w:val="19"/>
                <w:color w:val="auto"/>
              </w:rPr>
            </w:pPr>
          </w:p>
        </w:tc>
      </w:tr>
      <w:tr>
        <w:trPr>
          <w:trHeight w:val="229"/>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261,972</w:t>
            </w:r>
          </w:p>
        </w:tc>
        <w:tc>
          <w:tcPr>
            <w:tcW w:w="100" w:type="dxa"/>
            <w:vAlign w:val="bottom"/>
          </w:tcPr>
          <w:p>
            <w:pPr>
              <w:spacing w:after="0"/>
              <w:rPr>
                <w:sz w:val="19"/>
                <w:szCs w:val="19"/>
                <w:color w:val="auto"/>
              </w:rPr>
            </w:pPr>
          </w:p>
        </w:tc>
      </w:tr>
      <w:tr>
        <w:trPr>
          <w:trHeight w:val="230"/>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6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59,184</w:t>
            </w:r>
          </w:p>
        </w:tc>
        <w:tc>
          <w:tcPr>
            <w:tcW w:w="360" w:type="dxa"/>
            <w:vAlign w:val="bottom"/>
            <w:tcBorders>
              <w:bottom w:val="single" w:sz="8" w:color="CFF0FC"/>
            </w:tcBorders>
          </w:tcPr>
          <w:p>
            <w:pPr>
              <w:jc w:val="right"/>
              <w:ind w:right="4"/>
              <w:spacing w:after="0"/>
              <w:rPr>
                <w:sz w:val="20"/>
                <w:szCs w:val="20"/>
                <w:color w:val="auto"/>
              </w:rPr>
            </w:pPr>
            <w:r>
              <w:rPr>
                <w:rFonts w:ascii="Arial" w:cs="Arial" w:eastAsia="Arial" w:hAnsi="Arial"/>
                <w:sz w:val="15"/>
                <w:szCs w:val="15"/>
                <w:color w:val="auto"/>
              </w:rPr>
              <w:t>(2)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tcBorders>
              <w:bottom w:val="single" w:sz="8" w:color="CFF0FC"/>
            </w:tcBorders>
          </w:tcPr>
          <w:p>
            <w:pPr>
              <w:spacing w:after="0"/>
              <w:rPr>
                <w:sz w:val="19"/>
                <w:szCs w:val="19"/>
                <w:color w:val="auto"/>
              </w:rPr>
            </w:pPr>
          </w:p>
        </w:tc>
      </w:tr>
      <w:tr>
        <w:trPr>
          <w:trHeight w:val="223"/>
        </w:trPr>
        <w:tc>
          <w:tcPr>
            <w:tcW w:w="76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Outstanding as of the end of year</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1,061,357</w:t>
            </w:r>
          </w:p>
        </w:tc>
        <w:tc>
          <w:tcPr>
            <w:tcW w:w="36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1,120,541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500" w:type="dxa"/>
            <w:vAlign w:val="bottom"/>
            <w:tcBorders>
              <w:bottom w:val="single" w:sz="8" w:color="auto"/>
            </w:tcBorders>
          </w:tcPr>
          <w:p>
            <w:pPr>
              <w:spacing w:after="0"/>
              <w:rPr>
                <w:sz w:val="11"/>
                <w:szCs w:val="11"/>
                <w:color w:val="auto"/>
              </w:rPr>
            </w:pPr>
          </w:p>
        </w:tc>
        <w:tc>
          <w:tcPr>
            <w:tcW w:w="61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18"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26"/>
          <w:szCs w:val="26"/>
          <w:color w:val="auto"/>
          <w:vertAlign w:val="superscript"/>
        </w:rPr>
      </w:pPr>
      <w:r>
        <w:rPr>
          <w:rFonts w:ascii="Arial" w:cs="Arial" w:eastAsia="Arial" w:hAnsi="Arial"/>
          <w:sz w:val="13"/>
          <w:szCs w:val="13"/>
          <w:color w:val="auto"/>
        </w:rPr>
        <w:t xml:space="preserve">Excludes 354,964 grants of performance-based stock units that are not </w:t>
      </w:r>
      <w:r>
        <w:rPr>
          <w:rFonts w:ascii="Arial" w:cs="Arial" w:eastAsia="Arial" w:hAnsi="Arial"/>
          <w:sz w:val="19"/>
          <w:szCs w:val="19"/>
          <w:color w:val="auto"/>
        </w:rPr>
        <w:t>considered outstanding until such time that they become probable to vest.</w:t>
      </w:r>
    </w:p>
    <w:p>
      <w:pPr>
        <w:ind w:left="460" w:hanging="452"/>
        <w:spacing w:after="0"/>
        <w:tabs>
          <w:tab w:leader="none" w:pos="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Forfeitures includes 71,684 options forfeited as of December 31, 2021, netted with an adjustment of 12,500 previously granted.</w:t>
      </w:r>
    </w:p>
    <w:p>
      <w:pPr>
        <w:spacing w:after="0" w:line="371"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During the year ended December 31, 2021, the Company recognized $5.5 million of compensation expense related to stock awards, restricted stock and stock options granted to employees and directors under the 2017 Plan and the 2020 Plan. As of December 31, 2021, the Company had approximately $4.8 million in total unrecognized compensation costs. The weighted average period over which the compensation cost of non-vested awards will be recognized is approximately 1.01 and 0.42 years for restricted stock and stock options,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2" w:name="page113"/>
    <w:bookmarkEnd w:id="112"/>
    <w:p>
      <w:pPr>
        <w:jc w:val="both"/>
        <w:ind w:firstLine="749"/>
        <w:spacing w:after="0" w:line="279" w:lineRule="auto"/>
        <w:rPr>
          <w:sz w:val="20"/>
          <w:szCs w:val="20"/>
          <w:color w:val="auto"/>
        </w:rPr>
      </w:pPr>
      <w:r>
        <w:rPr>
          <w:rFonts w:ascii="Arial" w:cs="Arial" w:eastAsia="Arial" w:hAnsi="Arial"/>
          <w:sz w:val="17"/>
          <w:szCs w:val="17"/>
          <w:color w:val="auto"/>
        </w:rPr>
        <w:t>During the year ended December 31, 2020, the Company recognized $4.8 million of compensation expense related to stock awards, restricted stock and stock options granted to employees and directors under the 2017 Plan and the 2020 Plan. As of December 31, 2020, the Company had approximately $4.7 million in total unrecognized compensation costs. The weighted average period over which the compensation cost of non-vested awards will be recognized is approximately 1.24 and 0.89 years for restricted stock and stock options, respectively.</w:t>
      </w:r>
    </w:p>
    <w:p>
      <w:pPr>
        <w:spacing w:after="0" w:line="14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During the year ended December 31, 2019, the Company recognized $5.3 million of compensation expense related to stock awards, restricted stock and stock options granted to employees and Directors under the 2017 Plan. As of December 31, 2019, the Company had approximately $6.5 million in total unrecognized compensation costs.</w:t>
      </w:r>
    </w:p>
    <w:p>
      <w:pPr>
        <w:spacing w:after="0" w:line="14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The weighted average fair value of restricted stock granted under the 2017 Plan and the 2020 Plan were $5.45 and $6.40 for the year ended December 31, 2021 and 2020, respectively. The fair value was based on the closing price of the Company’s stock on the day of the grant. The Company did not grant any options in the year ended December 31, 2021. The weighted average fair value of stock options granted under the 2017 Plan and the 2020 Plan was $3.60 for the year ended December 31, 2020. The fair value of each option granted during the year ended December 31, 2020, was estimated on the date of grant using the Black-Scholes option pricing model with the following assumptions: (a) no dividend yield; (b) weighted average expected volatility of 76.1; (c) weighted average discount rate of 0.52%; and (d) expected life of 9.92 years, respectively. There were no stock options exercised in 2021 or 2020.</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During the year ended December 31, 2021, the number of shares and the weighted average grant price of restricted stock transactions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0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88"/>
              </w:rPr>
              <w:t>Restricted Stock</w:t>
            </w:r>
          </w:p>
        </w:tc>
        <w:tc>
          <w:tcPr>
            <w:tcW w:w="0" w:type="dxa"/>
            <w:vAlign w:val="bottom"/>
          </w:tcPr>
          <w:p>
            <w:pPr>
              <w:spacing w:after="0"/>
              <w:rPr>
                <w:sz w:val="1"/>
                <w:szCs w:val="1"/>
                <w:color w:val="auto"/>
              </w:rPr>
            </w:pPr>
          </w:p>
        </w:tc>
      </w:tr>
      <w:tr>
        <w:trPr>
          <w:trHeight w:val="205"/>
        </w:trPr>
        <w:tc>
          <w:tcPr>
            <w:tcW w:w="150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center"/>
              <w:ind w:right="60"/>
              <w:spacing w:after="0" w:line="205" w:lineRule="exact"/>
              <w:rPr>
                <w:sz w:val="20"/>
                <w:szCs w:val="20"/>
                <w:color w:val="auto"/>
              </w:rPr>
            </w:pPr>
            <w:r>
              <w:rPr>
                <w:rFonts w:ascii="Arial" w:cs="Arial" w:eastAsia="Arial" w:hAnsi="Arial"/>
                <w:sz w:val="18"/>
                <w:szCs w:val="18"/>
                <w:b w:val="1"/>
                <w:bCs w:val="1"/>
                <w:color w:val="auto"/>
                <w:w w:val="93"/>
              </w:rPr>
              <w:t>Number of</w:t>
            </w:r>
          </w:p>
        </w:tc>
        <w:tc>
          <w:tcPr>
            <w:tcW w:w="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center"/>
              <w:ind w:right="50"/>
              <w:spacing w:after="0" w:line="205" w:lineRule="exact"/>
              <w:rPr>
                <w:sz w:val="20"/>
                <w:szCs w:val="20"/>
                <w:color w:val="auto"/>
              </w:rPr>
            </w:pPr>
            <w:r>
              <w:rPr>
                <w:rFonts w:ascii="Arial" w:cs="Arial" w:eastAsia="Arial" w:hAnsi="Arial"/>
                <w:sz w:val="18"/>
                <w:szCs w:val="18"/>
                <w:b w:val="1"/>
                <w:bCs w:val="1"/>
                <w:color w:val="auto"/>
                <w:w w:val="89"/>
              </w:rPr>
              <w:t>Weight Average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Grant Price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as of December 31, 2020</w:t>
            </w:r>
          </w:p>
        </w:tc>
        <w:tc>
          <w:tcPr>
            <w:tcW w:w="15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436,714</w:t>
            </w: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933,705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202,079</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5,250</w:t>
            </w: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as of December 31, 2021</w:t>
            </w:r>
          </w:p>
        </w:tc>
        <w:tc>
          <w:tcPr>
            <w:tcW w:w="15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1,163,090</w:t>
            </w: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1240" w:type="dxa"/>
            <w:vAlign w:val="bottom"/>
            <w:gridSpan w:val="10"/>
          </w:tcPr>
          <w:p>
            <w:pPr>
              <w:ind w:left="760"/>
              <w:spacing w:after="0"/>
              <w:rPr>
                <w:sz w:val="20"/>
                <w:szCs w:val="20"/>
                <w:color w:val="auto"/>
              </w:rPr>
            </w:pPr>
            <w:r>
              <w:rPr>
                <w:rFonts w:ascii="Arial" w:cs="Arial" w:eastAsia="Arial" w:hAnsi="Arial"/>
                <w:sz w:val="18"/>
                <w:szCs w:val="18"/>
                <w:color w:val="auto"/>
                <w:w w:val="91"/>
              </w:rPr>
              <w:t>During the year ended December 31, 2021, the number of shares and the weighted average exercise price on stock option transactions were as</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follows:</w:t>
            </w: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88"/>
              </w:rPr>
              <w:t>Stock Options</w:t>
            </w:r>
          </w:p>
        </w:tc>
        <w:tc>
          <w:tcPr>
            <w:tcW w:w="0" w:type="dxa"/>
            <w:vAlign w:val="bottom"/>
          </w:tcPr>
          <w:p>
            <w:pPr>
              <w:spacing w:after="0"/>
              <w:rPr>
                <w:sz w:val="1"/>
                <w:szCs w:val="1"/>
                <w:color w:val="auto"/>
              </w:rPr>
            </w:pPr>
          </w:p>
        </w:tc>
      </w:tr>
      <w:tr>
        <w:trPr>
          <w:trHeight w:val="205"/>
        </w:trPr>
        <w:tc>
          <w:tcPr>
            <w:tcW w:w="150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top w:val="single" w:sz="8" w:color="auto"/>
            </w:tcBorders>
            <w:gridSpan w:val="2"/>
          </w:tcPr>
          <w:p>
            <w:pPr>
              <w:jc w:val="center"/>
              <w:ind w:right="20"/>
              <w:spacing w:after="0" w:line="205" w:lineRule="exact"/>
              <w:rPr>
                <w:sz w:val="20"/>
                <w:szCs w:val="20"/>
                <w:color w:val="auto"/>
              </w:rPr>
            </w:pPr>
            <w:r>
              <w:rPr>
                <w:rFonts w:ascii="Arial" w:cs="Arial" w:eastAsia="Arial" w:hAnsi="Arial"/>
                <w:sz w:val="18"/>
                <w:szCs w:val="18"/>
                <w:b w:val="1"/>
                <w:bCs w:val="1"/>
                <w:color w:val="auto"/>
                <w:w w:val="93"/>
              </w:rPr>
              <w:t>Number of</w:t>
            </w:r>
          </w:p>
        </w:tc>
        <w:tc>
          <w:tcPr>
            <w:tcW w:w="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center"/>
              <w:ind w:right="50"/>
              <w:spacing w:after="0" w:line="205" w:lineRule="exact"/>
              <w:rPr>
                <w:sz w:val="20"/>
                <w:szCs w:val="20"/>
                <w:color w:val="auto"/>
              </w:rPr>
            </w:pPr>
            <w:r>
              <w:rPr>
                <w:rFonts w:ascii="Arial" w:cs="Arial" w:eastAsia="Arial" w:hAnsi="Arial"/>
                <w:sz w:val="18"/>
                <w:szCs w:val="18"/>
                <w:b w:val="1"/>
                <w:bCs w:val="1"/>
                <w:color w:val="auto"/>
                <w:w w:val="89"/>
              </w:rPr>
              <w:t>Weight Average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Grant Price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as of December 31, 2020</w:t>
            </w:r>
          </w:p>
        </w:tc>
        <w:tc>
          <w:tcPr>
            <w:tcW w:w="2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1,120,541</w:t>
            </w:r>
          </w:p>
        </w:tc>
        <w:tc>
          <w:tcPr>
            <w:tcW w:w="30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 xml:space="preserve">Forfeited </w:t>
            </w:r>
            <w:r>
              <w:rPr>
                <w:rFonts w:ascii="Arial" w:cs="Arial" w:eastAsia="Arial" w:hAnsi="Arial"/>
                <w:sz w:val="15"/>
                <w:szCs w:val="15"/>
                <w:color w:val="auto"/>
              </w:rPr>
              <w:t>(2)</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59,184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as of December 31, 2021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1,061,357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Exercisable as of December 31, 2021 </w:t>
            </w:r>
            <w:r>
              <w:rPr>
                <w:rFonts w:ascii="Arial" w:cs="Arial" w:eastAsia="Arial" w:hAnsi="Arial"/>
                <w:sz w:val="15"/>
                <w:szCs w:val="15"/>
                <w:color w:val="auto"/>
              </w:rPr>
              <w:t>(1)</w:t>
            </w:r>
          </w:p>
        </w:tc>
        <w:tc>
          <w:tcPr>
            <w:tcW w:w="15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896,566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6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760" w:hanging="752"/>
        <w:spacing w:after="0"/>
        <w:tabs>
          <w:tab w:leader="none" w:pos="7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weighted average remaining contractual term is 6.7 years.</w:t>
      </w:r>
    </w:p>
    <w:p>
      <w:pPr>
        <w:spacing w:after="0" w:line="28" w:lineRule="exact"/>
        <w:rPr>
          <w:rFonts w:ascii="Arial" w:cs="Arial" w:eastAsia="Arial" w:hAnsi="Arial"/>
          <w:sz w:val="14"/>
          <w:szCs w:val="14"/>
          <w:color w:val="auto"/>
        </w:rPr>
      </w:pPr>
    </w:p>
    <w:p>
      <w:pPr>
        <w:ind w:left="760" w:hanging="752"/>
        <w:spacing w:after="0"/>
        <w:tabs>
          <w:tab w:leader="none" w:pos="7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Forfeitures includes 71,684 options forfeited as of December 31, 2021, netted with an adjustment of 12,500 previously granted.</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31, 2021, there was no aggregate intrinsic value for options outstanding.</w:t>
      </w:r>
    </w:p>
    <w:p>
      <w:pPr>
        <w:spacing w:after="0" w:line="194" w:lineRule="exact"/>
        <w:rPr>
          <w:sz w:val="20"/>
          <w:szCs w:val="20"/>
          <w:color w:val="auto"/>
        </w:rPr>
      </w:pPr>
    </w:p>
    <w:p>
      <w:pPr>
        <w:ind w:left="760" w:hanging="752"/>
        <w:spacing w:after="0"/>
        <w:tabs>
          <w:tab w:leader="none" w:pos="7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8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b w:val="1"/>
          <w:bCs w:val="1"/>
          <w:i w:val="1"/>
          <w:iCs w:val="1"/>
          <w:u w:val="single" w:color="auto"/>
          <w:color w:val="auto"/>
        </w:rPr>
        <w:t>Related Party Transactions Policy.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established a written policy for the review and approval or ratification of transactions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parties (the “Related Party Transactions Policy”) to assist it in reviewing transactions in excess of $120,000 (“Transactions”) involving the Company and its subsidiaries and a Related Party (as defined in the Related Party Transaction Policy). The Related Party Transactions Policy supplements the Company’s other conflict of interest policies set forth in the Company’s Corporate Governance Guidelines, its Code of Business Conduct and Ethics and its other internal procedures.</w:t>
      </w:r>
    </w:p>
    <w:p>
      <w:pPr>
        <w:spacing w:after="0" w:line="14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u w:val="single" w:color="auto"/>
          <w:color w:val="auto"/>
        </w:rPr>
        <w:t>Transactions with SEACOR Holdings</w:t>
      </w:r>
      <w:r>
        <w:rPr>
          <w:rFonts w:ascii="Arial" w:cs="Arial" w:eastAsia="Arial" w:hAnsi="Arial"/>
          <w:sz w:val="18"/>
          <w:szCs w:val="18"/>
          <w:color w:val="auto"/>
        </w:rPr>
        <w:t>. In connection with the Spin-off, SEACOR Marine entered into certain agreements with SEACOR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Holdings that govern SEACOR Marine’s relationship with SEACOR Holdings following the Spin-off, including a Distribution Agreement, two Transition Services Agreements, an Employee Matters Agreement and a Tax Matters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3" w:name="page114"/>
    <w:bookmarkEnd w:id="113"/>
    <w:p>
      <w:pPr>
        <w:jc w:val="both"/>
        <w:ind w:firstLine="749"/>
        <w:spacing w:after="0" w:line="298" w:lineRule="auto"/>
        <w:rPr>
          <w:sz w:val="20"/>
          <w:szCs w:val="20"/>
          <w:color w:val="auto"/>
        </w:rPr>
      </w:pPr>
      <w:r>
        <w:rPr>
          <w:rFonts w:ascii="Arial" w:cs="Arial" w:eastAsia="Arial" w:hAnsi="Arial"/>
          <w:sz w:val="16"/>
          <w:szCs w:val="16"/>
          <w:color w:val="auto"/>
        </w:rPr>
        <w:t>As of December 31, 2021, SEACOR Holdings had no outstanding guarantees for obligations of the Company. As of December 31, 2020, SEACOR Holdings had guaranteed $8.1 million for various obligations of the Company, including performance obligations under sale-leaseback arrangements (see “Note 7. Leases”). As of December 31, 2019, SEACOR Holdings had guaranteed $22.8 million for various obligations of the Company, including performance obligations under sale-leaseback arrangements and invoiced amounts for funding deficits under the MNOPF (see “Note 15. Savings and Multi-Employer Pension Plans”). Pursuant to the Transition Services Agreement with SEACOR Holdings, SEACOR Holdings charged the Company a fee of 0.5% on outstanding guaranteed amounts, which declined as the guaranteed obligations were settled by the Company. The Company recognized a de minimis amount of guarantee fees in connection with sale-leaseback arrangements in 2021, and recognized $0.1 million and $0.2 million during 2020 and 2019, respectively, in the accompanying consolidated statements of income (loss). Guarantee fees paid to SEACOR Holdings for all other obligations are recognized as SEACOR Holdings guarantee fees in the accompanying consolidated statements of income (loss).</w:t>
      </w:r>
    </w:p>
    <w:p>
      <w:pPr>
        <w:spacing w:after="0" w:line="131"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On June 26, 2020, the Company entered into a Tax Refund and Indemnification Agreement (the “Tax Refund Agreement”) with SEACOR Holdings Inc. (“SEACOR Holdings”), the Company’s former parent company. The Tax Refund Agreement enabled the Company to utilize net operating losses (“NOLs”) generated in 2018 and 2019 to claim refunds for tax years prior to the Company’s spin-off from SEACOR Holdings in 2017 (at which time the Company was included in SEACOR Holdings consolidated tax returns) that were permitted to be carried back pursuant to the provisions of the CARES Act and for which SEACOR Holdings needed to claim the refund on behalf of the Company. As a result, the Company received an aggregate amount of cash tax refunds of $32.3 million (including $1.1 million of interest paid by the IRS in respect of refund payment delays due in part to the COVID-19 pandemic), of which $12.5 million was received prior to March 31, 2021 and the remaining $19.8 million was received in April 2021. SEACOR Holdings will retain certain of the funds to facilitate tax savings realized by SEACOR Holdings of no less than 35% of the amount of its own 2019 NOLs. Additionally, a $3.0 million transaction fee was paid to SEACOR Holdings concurrently with the signing of the Tax Refund Agreement as consideration for its cooperation in connection with the filing of the applicable tax refund returns. The Tax Refund Agreement did not restrict the use of approximately $23.1 million of the refund and required the remaining approximately $8.1 million to be deposited into an account to be used solely to satisfy certain of the Company’s obligations that remained guaranteed by SEACOR Holdings which primarily related to vessel operating leases. Two of these vessel operating leases expired in the fourth quarter of 2020, which reduced the remaining guarantee on the three remaining vessels to $7.0 million. The remaining three vessel operating leases that SEACOR Holdings guaranteed expired in 2021 and the Company applied the amount deposited to satisfy these obligations.</w:t>
      </w:r>
    </w:p>
    <w:p>
      <w:pPr>
        <w:spacing w:after="0" w:line="141" w:lineRule="exact"/>
        <w:rPr>
          <w:sz w:val="20"/>
          <w:szCs w:val="20"/>
          <w:color w:val="auto"/>
        </w:rPr>
      </w:pPr>
    </w:p>
    <w:p>
      <w:pPr>
        <w:jc w:val="both"/>
        <w:ind w:firstLine="749"/>
        <w:spacing w:after="0" w:line="305" w:lineRule="auto"/>
        <w:rPr>
          <w:sz w:val="20"/>
          <w:szCs w:val="20"/>
          <w:color w:val="auto"/>
        </w:rPr>
      </w:pPr>
      <w:r>
        <w:rPr>
          <w:rFonts w:ascii="Arial" w:cs="Arial" w:eastAsia="Arial" w:hAnsi="Arial"/>
          <w:sz w:val="16"/>
          <w:szCs w:val="16"/>
          <w:color w:val="auto"/>
        </w:rPr>
        <w:t>Following the completion of the Spin-off, the Company continued to be supported by SEACOR Holdings until 2020 for corporate services pursuant to the Transition Services Agreements with SEACOR Holdings under which it was initially charged $6.3 million annually for these services. The fees incurred have declined as the services and functions provided by SEACOR Holdings are terminated and replicated within the Company. For the year ended December 31, 2019 the Company incurred fees of and $0.6 million, respectively, for these services that were recognized as additional administrative and general expenses in the accompanying consolidated statements of loss. There were no services provided or fees incurred during 2021 and 2020.</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u w:val="single" w:color="auto"/>
          <w:color w:val="auto"/>
        </w:rPr>
        <w:t>Transactions regarding OSV Partners</w:t>
      </w:r>
      <w:r>
        <w:rPr>
          <w:rFonts w:ascii="Arial" w:cs="Arial" w:eastAsia="Arial" w:hAnsi="Arial"/>
          <w:sz w:val="18"/>
          <w:szCs w:val="18"/>
          <w:color w:val="auto"/>
        </w:rPr>
        <w:t>.</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OSV Partners</w:t>
      </w:r>
    </w:p>
    <w:p>
      <w:pPr>
        <w:spacing w:after="0" w:line="18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In 2013, SEACOR OSV Partners I LP (the “OSV Partners I”) was formed to own and operate offshore support vessels with the Company (then a subsidiary of SEACOR Holdings) holding 30.4% of the initial limited partner interests (“Initial LP Interests”) and a majority of the general partner interests, and the remaining Initial LP Interests held by unrelated third parties. The Company was also appointed the manager of the vessels owned by OSV Partners I entitled to a market management fee.</w:t>
      </w:r>
    </w:p>
    <w:p>
      <w:pPr>
        <w:spacing w:after="0" w:line="14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In December 2014, Charles Fabrikant (a former Non-Executive Chairman of SEACOR Marine), John Gellert (President, Chief Executive Officer and Director of SEACOR Marine), Jesús Llorca (Executive Vice President and Chief Financial Officer of SEACOR Marine) and other individuals (some of who were affiliated with the Company’s former parent, SEACOR Holdings), invested in Caroline International Holdings LLC (“Caroline”) and Caroline International Holdings II LLC (“Caroline II” and together with Caroline, the “Caroline Entities”), two entities managed by Mr. Fabrikant and formed solely for the purposes of investing in OSV Partners I. As of December 31, 2021, the aggregate investments of Messrs. Fabrikant, Gellert and Llorca in the Caroline Entities were $0.3 million, $0.4 million and $0.2 million, respectively. No other current executive officer or member of the Board invested in or has any interests in the Caroline Entities.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summarizes the investments made by the Caroline Entities in OSV Partners I:</w:t>
      </w:r>
    </w:p>
    <w:p>
      <w:pPr>
        <w:spacing w:after="0" w:line="23" w:lineRule="exact"/>
        <w:rPr>
          <w:sz w:val="20"/>
          <w:szCs w:val="20"/>
          <w:color w:val="auto"/>
        </w:rPr>
      </w:pPr>
    </w:p>
    <w:p>
      <w:pPr>
        <w:ind w:left="1120" w:right="20" w:hanging="370"/>
        <w:spacing w:after="0" w:line="260" w:lineRule="auto"/>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Initial Investment</w:t>
      </w:r>
      <w:r>
        <w:rPr>
          <w:rFonts w:ascii="Arial" w:cs="Arial" w:eastAsia="Arial" w:hAnsi="Arial"/>
          <w:sz w:val="18"/>
          <w:szCs w:val="18"/>
          <w:color w:val="auto"/>
        </w:rPr>
        <w:t>. In 2014, the Caroline Entities purchased Initial LP Interests from two limited partners of OSV Partners I resulting in Caroline owning $1.0 million, or 2.6%, of the Initial LP Interests, and Caroline II owning $0.5 million, or 1.3%.</w:t>
      </w:r>
    </w:p>
    <w:p>
      <w:pPr>
        <w:spacing w:after="0" w:line="212" w:lineRule="exact"/>
        <w:rPr>
          <w:rFonts w:ascii="Arial" w:cs="Arial" w:eastAsia="Arial" w:hAnsi="Arial"/>
          <w:sz w:val="18"/>
          <w:szCs w:val="18"/>
          <w:color w:val="auto"/>
        </w:rPr>
      </w:pPr>
    </w:p>
    <w:p>
      <w:pPr>
        <w:jc w:val="both"/>
        <w:ind w:left="1120" w:hanging="370"/>
        <w:spacing w:after="0" w:line="263" w:lineRule="auto"/>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2017 Preferred Interests</w:t>
      </w:r>
      <w:r>
        <w:rPr>
          <w:rFonts w:ascii="Arial" w:cs="Arial" w:eastAsia="Arial" w:hAnsi="Arial"/>
          <w:sz w:val="18"/>
          <w:szCs w:val="18"/>
          <w:color w:val="auto"/>
        </w:rPr>
        <w:t>. In 2017, OSV Partners I raised $6.0 million from its limited partners in the form of preferred limited partnership interests (the “2017 Preferred Interests”) resulting in Caroline owning $0.2 million, or 3.3%, of the 2017 Preferred Interests, and Caroline II owning $0.1 million, or 1.7%.</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4" w:name="page115"/>
    <w:bookmarkEnd w:id="114"/>
    <w:p>
      <w:pPr>
        <w:jc w:val="both"/>
        <w:ind w:left="1120" w:hanging="370"/>
        <w:spacing w:after="0" w:line="257" w:lineRule="auto"/>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Class A Preferred Interests and Second Lien Debt</w:t>
      </w:r>
      <w:r>
        <w:rPr>
          <w:rFonts w:ascii="Arial" w:cs="Arial" w:eastAsia="Arial" w:hAnsi="Arial"/>
          <w:sz w:val="18"/>
          <w:szCs w:val="18"/>
          <w:color w:val="auto"/>
        </w:rPr>
        <w:t>. In 2018, OSV Partners I raised $10.0 million from its limited partners, $5.0 million in the form of Class A preferred interests (“Class A Preferred Interests”) and $5.0 million in the form of second lien debt under the Subordinated PIK Loan Agreement, resulting in Caroline owning $0.1 million, or 2.6%, of the Class A Preferred Interests and $0.1 million, or 2.6%, of the PIK Loan Debt, and Caroline II owning $0.1 million, or 1.3%, of the Class A Preferred Interests and $0.1 million, or 1.3%, of the PIK Loan Debt.</w:t>
      </w:r>
    </w:p>
    <w:p>
      <w:pPr>
        <w:spacing w:after="0" w:line="1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Immediately prior to the closing of the Merger described in “OSV Partners Merger” below, the Company owned 30.4% of the Initial LP Interests, 38.6% of the 2017 Preferred Interests, 43.0% of the Class A Preferred Interests, and 43.0% of the PIK Loan Debt of OSV Partners. Beginning in January 2019, the Company agreed not to charge OSV Partners I the management fee it was contractually entitled to through December 31, 2021 due to continuing liquidity issues of OSV Partners I. For the years ended December 31, 2018 and 2017, the Company received $0.6 million of vessel management fees from OSV Partners I for each year.</w:t>
      </w:r>
    </w:p>
    <w:p>
      <w:pPr>
        <w:spacing w:after="0" w:line="14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On October 29, 2021, in exchange for $2.2 million, the Company acquired from a third-party lender approximately $4.1 million of the $22.1 million of principal owed under OSV Partner I’s amended and restated senior secured term loan credit facility agreement dated as of September 28, 2018 (the “OSV Credit Facility” and such acquisition, the “First Lien Debt Acquisition).</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OSV Partners Merger</w:t>
      </w:r>
    </w:p>
    <w:p>
      <w:pPr>
        <w:spacing w:after="0" w:line="22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On December 31, 2021, pursuant to the Merger Agreement OSV Partners I merged with and into SEACOR Offshore OSV with SEACOR Offshore OSV surviving the Merger. See “Note 3. Business Acquisitions”. In connection with the consummation of the Merger, the Company issued an aggregate of 1,567,935 shares of Common Stock to the limited partners of OSV Partners I as follows:</w:t>
      </w:r>
    </w:p>
    <w:p>
      <w:pPr>
        <w:spacing w:after="0" w:line="184" w:lineRule="exact"/>
        <w:rPr>
          <w:sz w:val="20"/>
          <w:szCs w:val="20"/>
          <w:color w:val="auto"/>
        </w:rPr>
      </w:pPr>
    </w:p>
    <w:p>
      <w:pPr>
        <w:ind w:left="1500" w:hanging="750"/>
        <w:spacing w:after="0" w:line="308" w:lineRule="auto"/>
        <w:tabs>
          <w:tab w:leader="none" w:pos="15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531,872 shares of Common Stock as Merger Consideration, 80% of which was paid in respect of Preferred Interests and Class A Preferred Interests, and 20% in respect of the Initial LP Interests partners (other than the Company and its subsidiaries); and</w:t>
      </w:r>
    </w:p>
    <w:p>
      <w:pPr>
        <w:spacing w:after="0" w:line="146" w:lineRule="exact"/>
        <w:rPr>
          <w:rFonts w:ascii="Arial" w:cs="Arial" w:eastAsia="Arial" w:hAnsi="Arial"/>
          <w:sz w:val="17"/>
          <w:szCs w:val="17"/>
          <w:color w:val="auto"/>
        </w:rPr>
      </w:pPr>
    </w:p>
    <w:p>
      <w:pPr>
        <w:ind w:left="1500" w:hanging="750"/>
        <w:spacing w:after="0"/>
        <w:tabs>
          <w:tab w:leader="none" w:pos="15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1,036,063 shares of Common Stock as PIK Loan Consideration to settle all amounts outstanding under the PIK Loan Agreement.</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connection with the consummation of the Merger, (i) Caroline received an aggregate number of 73,107 shares of Common Stock and (ii) Caroline</w:t>
      </w:r>
    </w:p>
    <w:p>
      <w:pPr>
        <w:spacing w:after="0" w:line="46" w:lineRule="exact"/>
        <w:rPr>
          <w:sz w:val="20"/>
          <w:szCs w:val="20"/>
          <w:color w:val="auto"/>
        </w:rPr>
      </w:pPr>
    </w:p>
    <w:p>
      <w:pPr>
        <w:jc w:val="both"/>
        <w:ind w:firstLine="8"/>
        <w:spacing w:after="0" w:line="252" w:lineRule="auto"/>
        <w:tabs>
          <w:tab w:leader="none" w:pos="188"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received an aggregate of 36,570 shares of Common Stock. Each of the Caroline Entities distributed to its members the Common Stock received in connection with the consummation of the Merger with Mr. Fabrikant receiving 20,172 shares, or 1.3% of the aggregate number of shares issued as Merger Consideration and PIK Loan Consideration, Mr. Gellert receiving 22,353 shares, or 1.4% of the aggregate number of shares issued as Merger Consideration and PIK Loan Consideration, and Mr. Llorca receiving aggregate distributions of 9,174, or 0.6% of the aggregate number of shares issued as Merger Consideration and PIK Loan Consideration. In addition, a trust of which Mr. Gellert is one of several beneficiaries received an aggregate number of 26,557 shares of Common Stock.</w:t>
      </w:r>
    </w:p>
    <w:p>
      <w:pPr>
        <w:spacing w:after="0" w:line="194"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In connection with the Merger, the Company and SEACOR Offshore OSV assumed and guaranteed approximately $18.1 million of indebtedness outstanding under the OSV Credit Facility. The OSV Credit Facility requires quarterly principal payments of $0.5 million. Interest accrues under the OSV Credit Facility at a rate of Term SOFR (as defined in the OSV Credit Facility) plus 4.68% plus Mandatory Costs (as defined in the OSV Credit Facility), if applicable. The OSV Credit Facility matures on December 31, 2023 and may be accelerated upon the occurrence of an event of default.</w:t>
      </w:r>
    </w:p>
    <w:p>
      <w:pPr>
        <w:spacing w:after="0" w:line="15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First Lien Debt Acquisition and the Merger were subject to the oversight and received advance approval of the Audit Committee as related party transactions under the Company’s Related Party Transaction Policy. Mr. Gellert recused himself from deliberations by the Audit Committee and ultimately the Board with respect to the Merger, and the Board received a third-party fairness opinion with respect thereto. Mr. Llorca was also not involved in the related discussions. Mr. Fabrikant no longer served on the Board as of June 8, 2021 and therefore had no participation in any of the approval processes for these transactions.</w:t>
      </w:r>
    </w:p>
    <w:p>
      <w:pPr>
        <w:spacing w:after="0" w:line="18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As a result of the Merger, the five 201’, 1,900 tons deadweight capacity, PSVs owned by OSV Partners are now 100% owned by the Company, bringing the Company’s owned PSV fleet to 20. Of the five PSVs previously owned by OSV Partners, three are U.S. flagged and currently located in the Gulf of Mexico, and two are Marshall Island flagged and currently located in the Middle East. As of December 31, 2021, these five PSVs have an average age of seven years.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5" w:name="page116"/>
    <w:bookmarkEnd w:id="115"/>
    <w:p>
      <w:pPr>
        <w:jc w:val="both"/>
        <w:ind w:firstLine="749"/>
        <w:spacing w:after="0" w:line="291" w:lineRule="auto"/>
        <w:rPr>
          <w:sz w:val="20"/>
          <w:szCs w:val="20"/>
          <w:color w:val="auto"/>
        </w:rPr>
      </w:pPr>
      <w:r>
        <w:rPr>
          <w:rFonts w:ascii="Arial" w:cs="Arial" w:eastAsia="Arial" w:hAnsi="Arial"/>
          <w:sz w:val="16"/>
          <w:szCs w:val="16"/>
          <w:b w:val="1"/>
          <w:bCs w:val="1"/>
          <w:i w:val="1"/>
          <w:iCs w:val="1"/>
          <w:u w:val="single" w:color="auto"/>
          <w:color w:val="auto"/>
        </w:rPr>
        <w:t>Transactions regarding Windcat Workboats</w:t>
      </w:r>
      <w:r>
        <w:rPr>
          <w:rFonts w:ascii="Arial" w:cs="Arial" w:eastAsia="Arial" w:hAnsi="Arial"/>
          <w:sz w:val="16"/>
          <w:szCs w:val="16"/>
          <w:color w:val="auto"/>
        </w:rPr>
        <w:t>. On January 25, 2019, Seabulk Overseas acquired a 6.25% minority interest in Windcat Workboats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it did not previously own upon the exercise of a put option by one of the two minority owners, each of whom was a member (or an affiliate of a member) of management of Windcat Workboats at the time of acquisition, pursuant to the terms of a certain Subscription and Shareholders Agreement, as amended, for consideration of £1.6 million ($2.0 million). On March 15, 2019, Seabulk Overseas acquired the other 6.25% minority interest in Windcat Workboats that it did not previously own for consideration of 50,000 shares of Common Stock and €1.2 million (approximately $1.4 million) in cash. The two acquisitions resulted in Seabulk Overseas owning 100% of Windcat Workboats, a consolidated subsidiary which owns and operates the Company’s CTV business that is primarily used to move personnel and supplies in Europe’s offshore wind markets</w:t>
      </w:r>
      <w:r>
        <w:rPr>
          <w:rFonts w:ascii="Arial" w:cs="Arial" w:eastAsia="Arial" w:hAnsi="Arial"/>
          <w:sz w:val="16"/>
          <w:szCs w:val="16"/>
          <w:b w:val="1"/>
          <w:bCs w:val="1"/>
          <w:i w:val="1"/>
          <w:iCs w:val="1"/>
          <w:color w:val="auto"/>
        </w:rPr>
        <w:t>.</w:t>
      </w:r>
    </w:p>
    <w:p>
      <w:pPr>
        <w:spacing w:after="0" w:line="13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2E2E2E"/>
        </w:rPr>
        <w:t>On January 12, 2021, a wholly owned subsidiary of SEACOR Marine, completed the sale of the Windcat Workboats CTV business through the sale of 100% of the equity of Windcat Workboats to CMB N.V. pursuant to a Sale and Purchase Agreement entered into on December 18, 2020 (see “Note 1. Nature of Operations and Accounting Policies” and “Note 4. Equipment Acquisitions and Dispositions”).</w:t>
      </w:r>
    </w:p>
    <w:p>
      <w:pPr>
        <w:spacing w:after="0" w:line="14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u w:val="single" w:color="auto"/>
          <w:color w:val="auto"/>
        </w:rPr>
        <w:t>Transactions with Carlyle</w:t>
      </w:r>
      <w:r>
        <w:rPr>
          <w:rFonts w:ascii="Arial" w:cs="Arial" w:eastAsia="Arial" w:hAnsi="Arial"/>
          <w:sz w:val="18"/>
          <w:szCs w:val="18"/>
          <w:color w:val="auto"/>
        </w:rPr>
        <w:t>. On December 1, 2015, the Company issued $175.0 million aggregate principal amount of its Convertible Notes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managed and controlled by Carlyle. Interest on the Convertible Notes is payable semi-annually on June 15 and December 15 of each year, commencing June 15, 2016 (see “Note 8. Long-Term Debt”).</w:t>
      </w:r>
    </w:p>
    <w:p>
      <w:pPr>
        <w:spacing w:after="0" w:line="143"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Pursuant to the note purchase agreement for the Convertible Notes and the Investment Agreement, the Company must use reasonable best efforts, subject to its directors’ fiduciary duties, to cause a person designated by Carlyle to be appointed as a director on the Board of Directors, if Carlyle, solely as a result of the conversion of the Convertible Notes, collectively owns, continues to own, or would (upon conversion) own 10.0% or more of the Company’s outstanding shares of Common Stock. During 2017, Ferris Hussein served on the Board of Directors as the director designated by Carlyle until his resignation on April 17, 2018. Carlyle has not exercised this right subsequent to Mr. Hussein’s resignation but retains the right to appoint a member to the Board of Directors. Mr. Hussein has been designated by Carlyle to observe meetings of the Board of Directors pursuant to Carlyle’s observer rights under the Convertible Notes. This observation right will terminate at the time Carlyle owns less than $50.0 million in aggregate principal amount of the Convertible Notes or a combination of the Convertible Notes and our Common Stock representing less than 5.0% of the Company’s Common Stock outstanding on a fully diluted basis, assuming the conversion of all of the Convertible Notes and Warrants to purchase Common Stock held by Carlyle.</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April 2018, the Company entered into the following Exchange and other transactions with Carlyle pursuant to which:</w:t>
      </w:r>
    </w:p>
    <w:p>
      <w:pPr>
        <w:spacing w:after="0" w:line="185" w:lineRule="exact"/>
        <w:rPr>
          <w:sz w:val="20"/>
          <w:szCs w:val="20"/>
          <w:color w:val="auto"/>
        </w:rPr>
      </w:pPr>
    </w:p>
    <w:p>
      <w:pPr>
        <w:jc w:val="both"/>
        <w:ind w:left="1120" w:hanging="370"/>
        <w:spacing w:after="0" w:line="259" w:lineRule="auto"/>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exchanged $50.0 million in principal amount of the Convertible Notes for Common Stock (or warrants to purchase an equivalent number of shares of Common Stock at an exercise price of $0.01 per share) at an exchange rate of 37.73 per $1,000 principal amount of the Notes (equivalent to an exchange price of $26.50) for a total of approximately 1.9 million shares of Common Stock including Common Stock issuable upon exercise of the Exchange Warrants (the “Exchange”);</w:t>
      </w:r>
    </w:p>
    <w:p>
      <w:pPr>
        <w:spacing w:after="0" w:line="146" w:lineRule="exact"/>
        <w:rPr>
          <w:rFonts w:ascii="Arial" w:cs="Arial" w:eastAsia="Arial" w:hAnsi="Arial"/>
          <w:sz w:val="18"/>
          <w:szCs w:val="18"/>
          <w:color w:val="auto"/>
        </w:rPr>
      </w:pPr>
    </w:p>
    <w:p>
      <w:pPr>
        <w:jc w:val="both"/>
        <w:ind w:left="1120" w:hanging="370"/>
        <w:spacing w:after="0" w:line="263" w:lineRule="auto"/>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and Carlyle amended the $125.0 million in principal amount of Convertible Notes that remains outstanding after the Exchange to (i) increase the interest rate from 3.75% per annum to 4.25% per annum and (ii) extend the maturity of the Convertible Notes by 12 months to December 1, 2023; and</w:t>
      </w:r>
    </w:p>
    <w:p>
      <w:pPr>
        <w:spacing w:after="0" w:line="143" w:lineRule="exact"/>
        <w:rPr>
          <w:rFonts w:ascii="Arial" w:cs="Arial" w:eastAsia="Arial" w:hAnsi="Arial"/>
          <w:sz w:val="18"/>
          <w:szCs w:val="18"/>
          <w:color w:val="auto"/>
        </w:rPr>
      </w:pPr>
    </w:p>
    <w:p>
      <w:pPr>
        <w:jc w:val="both"/>
        <w:ind w:left="1120" w:hanging="370"/>
        <w:spacing w:after="0" w:line="286" w:lineRule="auto"/>
        <w:tabs>
          <w:tab w:leader="none" w:pos="11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Carlyle purchased 750,000 shares of Common Stock in a private placement whereby the Company issued an aggregate of 2,168,586 shares of Common Stock and warrants to purchase 674,164 shares of Common Stock at an exercise price of $0.01 per share in a private placement exempt from registration under the Securities Act (the “PIPE Issuance”) for aggregate consideration of $15.0 million.</w:t>
      </w:r>
    </w:p>
    <w:p>
      <w:pPr>
        <w:spacing w:after="0" w:line="15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During 2021 and 2020, Carlyle exercised 48,809 and 83,367 warrants, respectively. As of December 31, 2021, Carlyle still has 1,439,483 outstanding warrants.</w:t>
      </w:r>
    </w:p>
    <w:p>
      <w:pPr>
        <w:spacing w:after="0" w:line="13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u w:val="single" w:color="auto"/>
          <w:color w:val="auto"/>
        </w:rPr>
        <w:t>Transactions with CME</w:t>
      </w:r>
      <w:r>
        <w:rPr>
          <w:rFonts w:ascii="Arial" w:cs="Arial" w:eastAsia="Arial" w:hAnsi="Arial"/>
          <w:sz w:val="18"/>
          <w:szCs w:val="18"/>
          <w:color w:val="auto"/>
        </w:rPr>
        <w:t>. Mr. Alfredo Miguel Bejos, a Director of SEACOR Marine, currently serves as President and Chief Executive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CME. In accordance with the Related Transaction Policy, the audit committee of the board of directors of SEACOR Marine (the “Audit Committee”) has adopted guidelines for addressing ongoing CME-related transactions.</w:t>
      </w:r>
    </w:p>
    <w:p>
      <w:pPr>
        <w:spacing w:after="0" w:line="157"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During 2020 and 2019, CME exercised 255,307 and 380,000 warrants, respectively. As of December 31, 2020, all of CME’s outstanding warrants have been exercised.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6" w:name="page117"/>
    <w:bookmarkEnd w:id="116"/>
    <w:p>
      <w:pPr>
        <w:jc w:val="both"/>
        <w:ind w:firstLine="749"/>
        <w:spacing w:after="0" w:line="269" w:lineRule="auto"/>
        <w:rPr>
          <w:sz w:val="20"/>
          <w:szCs w:val="20"/>
          <w:color w:val="auto"/>
        </w:rPr>
      </w:pPr>
      <w:r>
        <w:rPr>
          <w:rFonts w:ascii="Arial" w:cs="Arial" w:eastAsia="Arial" w:hAnsi="Arial"/>
          <w:sz w:val="17"/>
          <w:szCs w:val="17"/>
          <w:color w:val="auto"/>
        </w:rPr>
        <w:t>On December 20, 2018, MEXMAR Offshore, a joint venture that is 49.0% owned by a subsidiary of the Company and 51.0% owned by a subsidiary of CME, acquired UP Offshore. UP Offshore was acquired for nominal consideration. In connection with the acquisition, UP Offshore’s existing debt was refinanced with $95.0 million of new indebtedness composed of (i) a $70.0 million six-year debt facility provided by UP Offshore’s existing lenders that is non-recourse to the Company, CME or any of their respective subsidiaries, (ii) a $15.0 million loan from MexMar, a joint venture between CME and the Company, to fund capital expenditures on two vessels and (iii) a $10.0 million loan from MEXMAR Offshore to fund working capital requirements funded by an approximate $5.0 million capital contribution to MEXMAR Offshore by each of the Company and CME. Due to losses from equity earnings, the Company’s investment in MEXMAR Offshore was written down to $0 in 2019. In July 2020, MEXMAR Offshore purchased from a consortium of banks in Brazil, $70.0 million of UP Offshore’s debt for $5.5 million, of which the Company’s commitment was $2.7 million to fund this purchase. As of December 31, 2020, the Company had loaned its proportional share of this commitment to MEXMAR Offshore of $1.96 million. The Company funded its remaining commitment in February 2021.</w:t>
      </w:r>
    </w:p>
    <w:p>
      <w:pPr>
        <w:spacing w:after="0" w:line="158"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On June 1, 2021, MEXMAR Offshore completed the sale of eight vessels and certain Brazilian entities to Oceanpact Servicos Maritimos S.A. and its subsidiary, OceanPact Netherlands B.V., for a total purchase price of $30.2 million (the “UP Offshore Sale Transaction”), which resulted in an equity earnings gain from 50% or less owned companies of $2.6 million. On July 23, 2021, the Company received a distribution from MEXMAR Offshore in the amount of $12.0 million of which $9.4 million was in excess of the Company’s investment balance of $2.6 million. The excess was recorded by the Company as a gain from return of investments in 50% or less owned companies.</w:t>
      </w:r>
    </w:p>
    <w:p>
      <w:pPr>
        <w:spacing w:after="0" w:line="13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After giving effect to the UP Offshore Sale Transaction, MEXMAR Offshore, indirectly through certain subsidiaries of UP Offshore, retained ownership of three vessels. As part of the winddown of the MEXMAR Offshore joint venture, ownership of two of these vessels was transferred from subsidiaries of UP Offshore to OVH on October 26, 2021, and the remaining vessel was transferred from a subsidiary of UP Offshore to OVH on November 2, 2021. Upon completion of these transactions, MEXMAR Offshore no longer held income producing assets and as a result, on December 9, 2021, the Company transferred its 49% interest in MEXMAR Offshore to a subsidiary of CME for nominal consideration and a transaction fee of $0.2 million. As of December 31, 2021, the Company does not have any ownership interest in MEXMAR Offshore.</w:t>
      </w:r>
    </w:p>
    <w:p>
      <w:pPr>
        <w:spacing w:after="0" w:line="137" w:lineRule="exact"/>
        <w:rPr>
          <w:sz w:val="20"/>
          <w:szCs w:val="20"/>
          <w:color w:val="auto"/>
        </w:rPr>
      </w:pPr>
    </w:p>
    <w:p>
      <w:pPr>
        <w:jc w:val="both"/>
        <w:ind w:firstLine="842"/>
        <w:spacing w:after="0" w:line="271" w:lineRule="auto"/>
        <w:rPr>
          <w:sz w:val="20"/>
          <w:szCs w:val="20"/>
          <w:color w:val="auto"/>
        </w:rPr>
      </w:pPr>
      <w:r>
        <w:rPr>
          <w:rFonts w:ascii="Arial" w:cs="Arial" w:eastAsia="Arial" w:hAnsi="Arial"/>
          <w:sz w:val="17"/>
          <w:szCs w:val="17"/>
          <w:color w:val="auto"/>
        </w:rPr>
        <w:t>The Company also participates in a variety of other joint ventures with CME, including MexMar, SEACOR Marlin and OVH. The joint venture agreements for each of these joint ventures were negotiated at arms-length in the ordinary course of business. MexMar is a joint venture company that is 49% owned by a wholly owned subsidiary of the Company and 51% owned by subsidiaries of CME. SEACOR Marlin is a joint venture company that is 49% owned by a wholly owned subsidiary of the Company and 51% owned by a wholly owned subsidiary of MexMar. During the year ended December 31, 2021, there was a distribution to the Company from SEACOR Marlin of $2.5 million. OVH is a joint venture company that is 49% owned by a wholly owned subsidiary of the Company and 51% owned by a subsidiary of CME. On December 10, 2021, OVH and OPEM settled the $10.0 million loan in exchange for OPEM making an early repayment of $10.5 million, reflecting repayment of the principal amount in full and a prepayment discount and forgiveness of approximately $4.1 million of accrued interest.</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2019, the Company sold an FSV to OVH for $2.4 million through a seller’s finance agreement.</w:t>
      </w:r>
    </w:p>
    <w:p>
      <w:pPr>
        <w:spacing w:after="0" w:line="18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b w:val="1"/>
          <w:bCs w:val="1"/>
          <w:i w:val="1"/>
          <w:iCs w:val="1"/>
          <w:u w:val="single" w:color="auto"/>
          <w:color w:val="auto"/>
        </w:rPr>
        <w:t>Transaction with Talos Energy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Robert D. Abendschein, a former Director of SEACOR Marine as of June 8, 2021, served as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Vice President and Head of Operations of Talos Energy Inc. (together with its subsidiaries and affiliates, “Talos Energy”). Talos Energy is a customer of the Company and its subsidiaries, primarily with respect to the chartering of liftboats and other vessels. In accordance with the Related Transaction Policy of the Company, the Audit Committee has adopted guidelines for addressing ongoing Talos Energy-related transactions. The Company recognized $1.9 million, $1.5 million and $3.2 million in revenue with Talos Energy in 2021, 2020 and 2019,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7" w:name="page118"/>
    <w:bookmarkEnd w:id="117"/>
    <w:p>
      <w:pPr>
        <w:ind w:left="760" w:hanging="752"/>
        <w:spacing w:after="0"/>
        <w:tabs>
          <w:tab w:leader="none" w:pos="7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As of December 31, 2021, the Company had unfunded capital commitments of $0.9 million for miscellaneous vessel equipment payable during 2023. The Company has indefinitely deferred an additional $9.4 million of orders with respect to one FSV that the Company had previously reported as unfunded capital commitments.</w:t>
      </w:r>
    </w:p>
    <w:p>
      <w:pPr>
        <w:spacing w:after="0" w:line="157"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In December 2015, the Brazilian Federal Revenue Office issued a tax-deficiency notice to Seabulk Offshore do Brasil Ltda, an indirect wholly-owned subsidiary of SEACOR Marine (“Seabulk Offshore do Brasil”), with respect to certain profit participation contributions (also known as “PIS”) and social security financing contributions (also known as “COFINS”) requirements alleged to be due from Seabulk Offshore do Brasil (“Deficiency Notice”) in respect of the period of January 2011 until December 2012. In January 2016, the Company administratively appealed the Deficiency Notice on the basis that, among other arguments, (i) such contributions were not applicable in the circumstances of a 70%/30% cost allocation structure, and (ii) the tax inspector had incorrectly determined that values received from outside of Brazil could not be classified as expense refunds. The initial appeal was dismissed by the Brazilian Federal Revenue Office and the Company appealed such dismissal and is currently awaiting an administrative trial. Local Brazilian law was enacted that supports the Company’s position that such contribution requirements are not applicable, but it is uncertain whether such law will be taken into consideration with respect to administrative proceedings commenced prior to the enactment of the law. Accordingly, the success of Seabulk Offshore do Brasil in the administrative proceedings cannot be assured and the matter may need to be addressed through judicial court proceedings. The potential levy arising from the Deficiency Notice is R$18.4 million based on a historical potential levy of R$12.87 million (USD $3.3 million and USD $2.3 million, respectively, based on the exchange rate as of December 31, 2021).</w:t>
      </w:r>
    </w:p>
    <w:p>
      <w:pPr>
        <w:spacing w:after="0" w:line="12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As of December 31, 2021, SEACOR Holdings had no outstanding guarantees on behalf of the Company for performance obligations under sale-leaseback arrangements and pursuant to the terms of the Tax Refund Agreement with SEACOR Holdings, the Company no longer had to maintain a portion of the refund in an account to solely satisfy such obligations guaranteed by SEACOR Holdings.</w:t>
      </w:r>
    </w:p>
    <w:p>
      <w:pPr>
        <w:spacing w:after="0" w:line="143"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18"/>
          <w:szCs w:val="18"/>
          <w:color w:val="auto"/>
        </w:rPr>
        <w:t>On April 13, 2021, the SEACOR Power, a liftboat owned by a subsidiary of the Company with nineteen individuals on board, capsized off the coast of Port Fourchon, Louisiana. The incident resulted in the death of several crew members, including the captain of the vessel and five other employees of the Company. The incident also resulted in the constructive total loss of the SEACOR Power. The Company is responsible for the salvage operations related to the vessel and is coordinating these efforts with the U.S. Coast Guard. The salvage operations are currently ongoing and the Company expects salvage costs to be covered by insurance proceeds.</w:t>
      </w:r>
    </w:p>
    <w:p>
      <w:pPr>
        <w:spacing w:after="0" w:line="15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The capsizing of the SEACOR Power garnered significant attention from the media as well as local, state and federal politicians. The National Transportation Safety Board (“NTSB”) and the U.S. Coast Guard are currently investigating the incident to determine the cause of the incident and the Company is fully cooperating with the investigations in all respects and continues to gather information about the incident. It is expected that the NTSB and U.S. Coast Guard investigations will take a significant period of time to complete, possibly as much as two years or longer. Numerous civil lawsuits have been filed against the Company and other third parties by the family members of deceased crew members and the surviving crew members employed by the Company or by the third parties. On June 2, 2021, the Company filed a Limitation of Liability Act complaint in federal court in the Eastern District of Louisiana (“Limitation Action”), which has the effect of enjoining all existing civil lawsuits and requiring the plaintiffs to file their claims relating to the capsizing of the SEACOR Power in the Limitation Action. There is significant uncertainty in the amount and timing of costs and potential liabilities relating to the incident involving the SEACOR Power, the impact the incident will have on the Company’s reputation and the resulting possible impact on the Company’s business.</w:t>
      </w:r>
    </w:p>
    <w:p>
      <w:pPr>
        <w:spacing w:after="0" w:line="14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In the normal course of its business, the Company becomes involved in various other litigation matters including, among others,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147" w:lineRule="exact"/>
        <w:rPr>
          <w:sz w:val="20"/>
          <w:szCs w:val="20"/>
          <w:color w:val="auto"/>
        </w:rPr>
      </w:pPr>
    </w:p>
    <w:p>
      <w:pPr>
        <w:jc w:val="both"/>
        <w:ind w:firstLine="849"/>
        <w:spacing w:after="0" w:line="271" w:lineRule="auto"/>
        <w:rPr>
          <w:sz w:val="20"/>
          <w:szCs w:val="20"/>
          <w:color w:val="auto"/>
        </w:rPr>
      </w:pPr>
      <w:r>
        <w:rPr>
          <w:rFonts w:ascii="Arial" w:cs="Arial" w:eastAsia="Arial" w:hAnsi="Arial"/>
          <w:sz w:val="17"/>
          <w:szCs w:val="17"/>
          <w:color w:val="auto"/>
        </w:rPr>
        <w:t>Certain of the Company’s subsidiaries are participating employers in two industry-wide, multi-employer, defined benefit pension funds in the United Kingdom: the U.K Merchant Navy Officers Pension Fund (“MNOPF”) and the U.K. Merchant Navy Ratings Pension Fund (“MNRPF”). The Company’s participation in the MNOPF began with the acquisition of the Stirling group of companies (the “Stirling Group”) in 2001 and relates to certain officers employed between 1978 and 2002 by the Stirling Group and/or its predecessors. The Company’s participation in the MNRPF also began with the acquisition of the Stirling Group in 2001 and relates to ratings employed by the Stirling Group and/or its predecessors through today. Both of these plans are in deficit positions and, depending upon the results of future actuarial valuations, it is possible that the plans could experience funding deficits that will require the Company to recognize payroll related operating expenses in the periods invoices are received. As of December 31, 2021, all invoices related to MNOPF and MNRPF have been settled in full.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both"/>
        <w:ind w:firstLine="749"/>
        <w:spacing w:after="0" w:line="257" w:lineRule="auto"/>
        <w:rPr>
          <w:sz w:val="20"/>
          <w:szCs w:val="20"/>
          <w:color w:val="auto"/>
        </w:rPr>
      </w:pPr>
      <w:r>
        <w:rPr>
          <w:rFonts w:ascii="Arial" w:cs="Arial" w:eastAsia="Arial" w:hAnsi="Arial"/>
          <w:sz w:val="18"/>
          <w:szCs w:val="18"/>
          <w:color w:val="auto"/>
        </w:rPr>
        <w:t>On October 19, 2021, the Company was informed by the MNRPF that two issues had been identified during a review of the MNRPF by the applicable trustee that would potentially give rise to material additional liabilities for the MNRPF. The MNRPF has indicated that the investigations into these issues remain ongoing, and that further updates will be provided as significant developments arise. Should such additional liabilities require the MNRPF to collect additional funds from participating employers, it is possible that the Company will be invoiced for a portion of such funds and recognize payroll related operating expenses in the periods invoices are received.</w:t>
      </w:r>
    </w:p>
    <w:p>
      <w:pPr>
        <w:spacing w:after="0" w:line="157" w:lineRule="exact"/>
        <w:rPr>
          <w:sz w:val="20"/>
          <w:szCs w:val="20"/>
          <w:color w:val="auto"/>
        </w:rPr>
      </w:pPr>
    </w:p>
    <w:p>
      <w:pPr>
        <w:ind w:left="760" w:hanging="752"/>
        <w:spacing w:after="0"/>
        <w:tabs>
          <w:tab w:leader="none" w:pos="7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 AND SEGMENT INFORMATION</w:t>
      </w:r>
    </w:p>
    <w:p>
      <w:pPr>
        <w:spacing w:after="0" w:line="189"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7"/>
          <w:szCs w:val="17"/>
          <w:color w:val="auto"/>
        </w:rPr>
        <w:t>During the year ended December 31, 2021, Exxon Mobil and SEACOR Marine Arabia LLC, a joint venture through which vessels are in service to Saudi Aramco, were each responsible for $35.2 million or 21% and $29.7 million or 17%, respectively, of the Company’s total consolidated operating revenues from continuing operations. During the year ended December 31, 2020, SEACOR Marine Arabia LLC and Exxon Mobil were each responsible for $30.7 million or 21% and $24.8 million or 17%, respectively, of the Company’s total consolidated operating revenues from continuing operations. During the year ended December 31, 2019, SEACOR Marine Arabia LLC was responsible for $30.8 million or 17% ($20.3 million or 11% from Zamil Offshore and $10.5 million or 6% from Saudi Aramco) of the Company’s total consolidated operating revenues from continuing operations. Additionally, Exxon Mobil was responsible for revenues of $16.5 million or 9% in 2019.</w:t>
      </w:r>
    </w:p>
    <w:p>
      <w:pPr>
        <w:spacing w:after="0" w:line="12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For the years ended December 31, 2021, 2020 and 2019, the ten largest customers of the Company accounted for approximately 76%, 76% and 61%, respectively, of the Company’s operating revenues from continuing operations. The loss of one or more of these customers could have a material adverse effect on the Company’s results of operations and cash flows.</w:t>
      </w:r>
    </w:p>
    <w:p>
      <w:pPr>
        <w:spacing w:after="0" w:line="15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For the years ended December 31, 2021, 2020 and 2019, approximately 88%, 89% and 75%, respectively, of the Company’s operating revenues and $15.4 million, ($7.5) million and ($13.5) million, respectively, of equity in earnings (losses) from 50% or less owned companies, net of tax, were derived from its continuing foreign operations.</w:t>
      </w:r>
    </w:p>
    <w:p>
      <w:pPr>
        <w:spacing w:after="0" w:line="14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The Company’s offshore support vessels are highly mobile and regularly and routinely move between countries within a geographic region of the world. In addition, these vessels may be redeployed among the geographic regions, subject to flag restrictions, as changes in market conditions dictate. Because of this asset mobility, operating revenues and long-lived assets in any one country and capital expenditures for long-lived assets and gains or losses on asset dispositions and impairments in any one geographic region are not considered meaningful.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9" w:name="page120"/>
    <w:bookmarkEnd w:id="119"/>
    <w:p>
      <w:pPr>
        <w:jc w:val="both"/>
        <w:ind w:firstLine="749"/>
        <w:spacing w:after="0" w:line="289" w:lineRule="auto"/>
        <w:rPr>
          <w:sz w:val="20"/>
          <w:szCs w:val="20"/>
          <w:color w:val="auto"/>
        </w:rPr>
      </w:pPr>
      <w:r>
        <w:rPr>
          <w:rFonts w:ascii="Arial" w:cs="Arial" w:eastAsia="Arial" w:hAnsi="Arial"/>
          <w:sz w:val="16"/>
          <w:szCs w:val="16"/>
          <w:color w:val="auto"/>
        </w:rPr>
        <w:t>Certain reclassifications of prior period information have been made to conform the current period’s reportable segment presentation as a result of the Company’s presentation of Discontinued Operations (see “Note 20. Discontinued Operations”). In prior periods Africa and Europe were reported as separate segments. Due to the sale of Windcat Workboats, the Company’s European operations are no longer analyzed by the chief operating decision maker on a standalone basis but rather as part of the Africa and Europe segment. As a result, for purposes of segment reporting European operations are now combined with the Africa segment and reported as a combined segment and prior period information has been conformed to the new consolidated reporting segment. Direct vessel profit is the Company’s measure of segment profitability when applied to reportable segments. Direct vessel profit is defined as operating revenues less direct operating expenses excluding leased-in equipment expense. The Company utilizes direct vessel profit as its primary financial measure to analyze and compare the operating performance of its regions. The following tables summarize the operating results, capital expenditures and assets of the Company’s reportable segments for the periods indicated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Africa and</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b w:val="1"/>
                <w:bCs w:val="1"/>
                <w:color w:val="auto"/>
              </w:rPr>
              <w:t>United States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Europe,</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(primarily Gulf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Continuing</w:t>
            </w: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Middle East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Latin</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of Mexico)</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Operations</w:t>
            </w:r>
          </w:p>
        </w:tc>
        <w:tc>
          <w:tcPr>
            <w:tcW w:w="10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and Asia</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America</w:t>
            </w:r>
          </w:p>
        </w:tc>
        <w:tc>
          <w:tcPr>
            <w:tcW w:w="16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For the year ended December 31, 2021</w:t>
            </w: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Operating Revenues: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charter</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15,487</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44,268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53,146</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46,934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Bareboat charter</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marine services</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20,643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42,930</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53,672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53,696</w:t>
            </w:r>
          </w:p>
        </w:tc>
        <w:tc>
          <w:tcPr>
            <w:tcW w:w="2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Direct Costs and Expenses:</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Operating:</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Personnel</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8,836</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22,191</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500"/>
              <w:spacing w:after="0"/>
              <w:rPr>
                <w:sz w:val="20"/>
                <w:szCs w:val="20"/>
                <w:color w:val="auto"/>
              </w:rPr>
            </w:pPr>
            <w:r>
              <w:rPr>
                <w:rFonts w:ascii="Arial" w:cs="Arial" w:eastAsia="Arial" w:hAnsi="Arial"/>
                <w:sz w:val="18"/>
                <w:szCs w:val="18"/>
                <w:color w:val="auto"/>
              </w:rPr>
              <w:t>Repairs and maintenance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6,772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7,250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Drydocking</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500"/>
              <w:spacing w:after="0"/>
              <w:rPr>
                <w:sz w:val="20"/>
                <w:szCs w:val="20"/>
                <w:color w:val="auto"/>
              </w:rPr>
            </w:pPr>
            <w:r>
              <w:rPr>
                <w:rFonts w:ascii="Arial" w:cs="Arial" w:eastAsia="Arial" w:hAnsi="Arial"/>
                <w:sz w:val="18"/>
                <w:szCs w:val="18"/>
                <w:color w:val="auto"/>
              </w:rPr>
              <w:t>Insurance and loss reserves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Fuel, lubes and supplies</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5,815</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3,701</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18,796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33,111</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31,870</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Direct Vessel (Loss) Profit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9,819</w:t>
            </w:r>
          </w:p>
        </w:tc>
        <w:tc>
          <w:tcPr>
            <w:tcW w:w="2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21,826</w:t>
            </w:r>
          </w:p>
        </w:tc>
        <w:tc>
          <w:tcPr>
            <w:tcW w:w="2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Other Costs and Expenses:</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Lease expense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2,621</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1,281</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1,711</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Administrative and general</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15,712</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12,856</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17,985</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10,842</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Gain on asset dispositions</w:t>
            </w:r>
          </w:p>
        </w:tc>
        <w:tc>
          <w:tcPr>
            <w:tcW w:w="14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(37,148)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2021</w:t>
            </w: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Historical cost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253,426</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223,039</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340,225</w:t>
            </w:r>
          </w:p>
        </w:tc>
        <w:tc>
          <w:tcPr>
            <w:tcW w:w="1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208,594</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1,025,284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depreciation</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(127,547)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(71,820)</w:t>
            </w: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(85,683)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(32,247)</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(317,297)</w:t>
            </w:r>
          </w:p>
        </w:tc>
        <w:tc>
          <w:tcPr>
            <w:tcW w:w="0" w:type="dxa"/>
            <w:vAlign w:val="bottom"/>
          </w:tcPr>
          <w:p>
            <w:pPr>
              <w:spacing w:after="0"/>
              <w:rPr>
                <w:sz w:val="1"/>
                <w:szCs w:val="1"/>
                <w:color w:val="auto"/>
              </w:rPr>
            </w:pPr>
          </w:p>
        </w:tc>
      </w:tr>
      <w:tr>
        <w:trPr>
          <w:trHeight w:val="263"/>
        </w:trPr>
        <w:tc>
          <w:tcPr>
            <w:tcW w:w="43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125,879</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151,219</w:t>
            </w:r>
          </w:p>
        </w:tc>
        <w:tc>
          <w:tcPr>
            <w:tcW w:w="2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254,543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176,347</w:t>
            </w:r>
          </w:p>
        </w:tc>
        <w:tc>
          <w:tcPr>
            <w:tcW w:w="2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707,987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b w:val="1"/>
                <w:bCs w:val="1"/>
                <w:color w:val="auto"/>
              </w:rPr>
              <w:t>(1)</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148,753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167,185</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256,533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250,594</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823,065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67" w:lineRule="exact"/>
        <w:rPr>
          <w:sz w:val="20"/>
          <w:szCs w:val="20"/>
          <w:color w:val="auto"/>
        </w:rPr>
      </w:pPr>
    </w:p>
    <w:p>
      <w:pPr>
        <w:ind w:left="760" w:hanging="752"/>
        <w:spacing w:after="0"/>
        <w:tabs>
          <w:tab w:leader="none" w:pos="760" w:val="left"/>
        </w:tabs>
        <w:numPr>
          <w:ilvl w:val="0"/>
          <w:numId w:val="79"/>
        </w:numPr>
        <w:rPr>
          <w:rFonts w:ascii="Arial" w:cs="Arial" w:eastAsia="Arial" w:hAnsi="Arial"/>
          <w:sz w:val="29"/>
          <w:szCs w:val="29"/>
          <w:color w:val="auto"/>
          <w:vertAlign w:val="superscript"/>
        </w:rPr>
      </w:pPr>
      <w:r>
        <w:rPr>
          <w:rFonts w:ascii="Arial" w:cs="Arial" w:eastAsia="Arial" w:hAnsi="Arial"/>
          <w:sz w:val="14"/>
          <w:szCs w:val="14"/>
          <w:color w:val="auto"/>
        </w:rPr>
        <w:t>Total assets exclude $89.4 million of corporate assets.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Africa and</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b w:val="1"/>
                <w:bCs w:val="1"/>
                <w:color w:val="auto"/>
              </w:rPr>
              <w:t>United States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Europe,</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(primarily Gulf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Continuing</w:t>
            </w: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Middle East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of Mexico)</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Operations</w:t>
            </w:r>
          </w:p>
        </w:tc>
        <w:tc>
          <w:tcPr>
            <w:tcW w:w="10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and Asia</w:t>
            </w:r>
          </w:p>
        </w:tc>
        <w:tc>
          <w:tcPr>
            <w:tcW w:w="10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Latin America</w:t>
            </w:r>
          </w:p>
        </w:tc>
        <w:tc>
          <w:tcPr>
            <w:tcW w:w="16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For the year ended December 31, 2020</w:t>
            </w: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Operating Revenues: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charter</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9,873</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47,723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52,052</w:t>
            </w: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23,806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60"/>
              <w:spacing w:after="0"/>
              <w:rPr>
                <w:sz w:val="20"/>
                <w:szCs w:val="20"/>
                <w:color w:val="auto"/>
              </w:rPr>
            </w:pPr>
            <w:r>
              <w:rPr>
                <w:rFonts w:ascii="Arial" w:cs="Arial" w:eastAsia="Arial" w:hAnsi="Arial"/>
                <w:sz w:val="18"/>
                <w:szCs w:val="18"/>
                <w:color w:val="auto"/>
              </w:rPr>
              <w:t>Bareboat charter</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47,533</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54,209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24,890</w:t>
            </w:r>
          </w:p>
        </w:tc>
        <w:tc>
          <w:tcPr>
            <w:tcW w:w="2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Direct Costs and Expenses:</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Operating:</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Personnel</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10,065</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18,188</w:t>
            </w: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Repairs and maintenance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5,643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Drydocking</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500"/>
              <w:spacing w:after="0"/>
              <w:rPr>
                <w:sz w:val="20"/>
                <w:szCs w:val="20"/>
                <w:color w:val="auto"/>
              </w:rPr>
            </w:pPr>
            <w:r>
              <w:rPr>
                <w:rFonts w:ascii="Arial" w:cs="Arial" w:eastAsia="Arial" w:hAnsi="Arial"/>
                <w:sz w:val="18"/>
                <w:szCs w:val="18"/>
                <w:color w:val="auto"/>
              </w:rPr>
              <w:t>Insurance and loss reserves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Fuel, lubes and supplies</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27,463</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35,497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11,979</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Direct Vessel (Loss) Profit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20,070</w:t>
            </w:r>
          </w:p>
        </w:tc>
        <w:tc>
          <w:tcPr>
            <w:tcW w:w="2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18,712</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12,911</w:t>
            </w:r>
          </w:p>
        </w:tc>
        <w:tc>
          <w:tcPr>
            <w:tcW w:w="2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Other Costs and Expenses:</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Lease expense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4,272</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3,038</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Administrative and general</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21,427</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13,664</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16,595</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5,481</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20" w:type="dxa"/>
            <w:vAlign w:val="bottom"/>
          </w:tcPr>
          <w:p>
            <w:pPr>
              <w:spacing w:after="0"/>
              <w:rPr>
                <w:sz w:val="20"/>
                <w:szCs w:val="20"/>
                <w:color w:val="auto"/>
              </w:rPr>
            </w:pPr>
            <w:r>
              <w:rPr>
                <w:rFonts w:ascii="Arial" w:cs="Arial" w:eastAsia="Arial" w:hAnsi="Arial"/>
                <w:sz w:val="18"/>
                <w:szCs w:val="18"/>
                <w:color w:val="auto"/>
              </w:rPr>
              <w:t>Loss on asset dispositions and</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impairments, net</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(17,588)</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2020</w:t>
            </w: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Historical cost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257,592</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262,998</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361,514</w:t>
            </w:r>
          </w:p>
        </w:tc>
        <w:tc>
          <w:tcPr>
            <w:tcW w:w="16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130,769</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1,012,873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depreciation</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(134,391)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(68,486)</w:t>
            </w: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(75,349)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(13,312)</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(291,538)</w:t>
            </w:r>
          </w:p>
        </w:tc>
        <w:tc>
          <w:tcPr>
            <w:tcW w:w="0" w:type="dxa"/>
            <w:vAlign w:val="bottom"/>
          </w:tcPr>
          <w:p>
            <w:pPr>
              <w:spacing w:after="0"/>
              <w:rPr>
                <w:sz w:val="1"/>
                <w:szCs w:val="1"/>
                <w:color w:val="auto"/>
              </w:rPr>
            </w:pPr>
          </w:p>
        </w:tc>
      </w:tr>
      <w:tr>
        <w:trPr>
          <w:trHeight w:val="263"/>
        </w:trPr>
        <w:tc>
          <w:tcPr>
            <w:tcW w:w="43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123,201</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194,512</w:t>
            </w:r>
          </w:p>
        </w:tc>
        <w:tc>
          <w:tcPr>
            <w:tcW w:w="2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286,165</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117,457</w:t>
            </w:r>
          </w:p>
        </w:tc>
        <w:tc>
          <w:tcPr>
            <w:tcW w:w="2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721,335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b w:val="1"/>
                <w:bCs w:val="1"/>
                <w:color w:val="auto"/>
              </w:rPr>
              <w:t>(1)</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164,656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227,894</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289,314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179,942</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861,806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ind w:left="760" w:hanging="752"/>
        <w:spacing w:after="0" w:line="184" w:lineRule="auto"/>
        <w:tabs>
          <w:tab w:leader="none" w:pos="760" w:val="left"/>
        </w:tabs>
        <w:numPr>
          <w:ilvl w:val="0"/>
          <w:numId w:val="80"/>
        </w:numPr>
        <w:rPr>
          <w:rFonts w:ascii="Arial" w:cs="Arial" w:eastAsia="Arial" w:hAnsi="Arial"/>
          <w:sz w:val="29"/>
          <w:szCs w:val="29"/>
          <w:color w:val="auto"/>
          <w:vertAlign w:val="superscript"/>
        </w:rPr>
      </w:pPr>
      <w:r>
        <w:rPr>
          <w:rFonts w:ascii="Arial" w:cs="Arial" w:eastAsia="Arial" w:hAnsi="Arial"/>
          <w:sz w:val="14"/>
          <w:szCs w:val="14"/>
          <w:color w:val="auto"/>
        </w:rPr>
        <w:t>Total assets exclude $105.6 million of corporate assets, and $50.2 million of discontinued operations</w:t>
      </w:r>
      <w:r>
        <w:rPr>
          <w:rFonts w:ascii="Arial" w:cs="Arial" w:eastAsia="Arial" w:hAnsi="Arial"/>
          <w:sz w:val="17"/>
          <w:szCs w:val="17"/>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Africa and</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rPr>
              <w:t>United States</w:t>
            </w:r>
          </w:p>
        </w:tc>
        <w:tc>
          <w:tcPr>
            <w:tcW w:w="12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Europe,</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2180" w:type="dxa"/>
            <w:vAlign w:val="bottom"/>
            <w:gridSpan w:val="4"/>
          </w:tcPr>
          <w:p>
            <w:pPr>
              <w:ind w:left="700"/>
              <w:spacing w:after="0"/>
              <w:rPr>
                <w:sz w:val="20"/>
                <w:szCs w:val="20"/>
                <w:color w:val="auto"/>
              </w:rPr>
            </w:pPr>
            <w:r>
              <w:rPr>
                <w:rFonts w:ascii="Arial" w:cs="Arial" w:eastAsia="Arial" w:hAnsi="Arial"/>
                <w:sz w:val="18"/>
                <w:szCs w:val="18"/>
                <w:b w:val="1"/>
                <w:bCs w:val="1"/>
                <w:color w:val="auto"/>
              </w:rPr>
              <w:t>(primarily Gulf</w:t>
            </w:r>
          </w:p>
        </w:tc>
        <w:tc>
          <w:tcPr>
            <w:tcW w:w="12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Continuing</w:t>
            </w:r>
          </w:p>
        </w:tc>
        <w:tc>
          <w:tcPr>
            <w:tcW w:w="10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Middle East</w:t>
            </w:r>
          </w:p>
        </w:tc>
        <w:tc>
          <w:tcPr>
            <w:tcW w:w="16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Latin</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of Mexico)</w:t>
            </w:r>
          </w:p>
        </w:tc>
        <w:tc>
          <w:tcPr>
            <w:tcW w:w="12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Operations</w:t>
            </w:r>
          </w:p>
        </w:tc>
        <w:tc>
          <w:tcPr>
            <w:tcW w:w="10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and Asia</w:t>
            </w:r>
          </w:p>
        </w:tc>
        <w:tc>
          <w:tcPr>
            <w:tcW w:w="16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America</w:t>
            </w:r>
          </w:p>
        </w:tc>
        <w:tc>
          <w:tcPr>
            <w:tcW w:w="18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For the year ended December 31, 2019</w:t>
            </w:r>
          </w:p>
        </w:tc>
        <w:tc>
          <w:tcPr>
            <w:tcW w:w="7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Operating Revenues: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charter</w:t>
            </w:r>
          </w:p>
        </w:tc>
        <w:tc>
          <w:tcPr>
            <w:tcW w:w="84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38,955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52,325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54,312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60"/>
              <w:spacing w:after="0"/>
              <w:rPr>
                <w:sz w:val="20"/>
                <w:szCs w:val="20"/>
                <w:color w:val="auto"/>
              </w:rPr>
            </w:pPr>
            <w:r>
              <w:rPr>
                <w:rFonts w:ascii="Arial" w:cs="Arial" w:eastAsia="Arial" w:hAnsi="Arial"/>
                <w:sz w:val="18"/>
                <w:szCs w:val="18"/>
                <w:color w:val="auto"/>
              </w:rPr>
              <w:t>Bareboat charter</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3,569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3,806</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5,405</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44,323</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57,730</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55,981</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16,419</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Direct Costs and Expenses: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60"/>
              <w:spacing w:after="0"/>
              <w:rPr>
                <w:sz w:val="20"/>
                <w:szCs w:val="20"/>
                <w:color w:val="auto"/>
              </w:rPr>
            </w:pPr>
            <w:r>
              <w:rPr>
                <w:rFonts w:ascii="Arial" w:cs="Arial" w:eastAsia="Arial" w:hAnsi="Arial"/>
                <w:sz w:val="18"/>
                <w:szCs w:val="18"/>
                <w:color w:val="auto"/>
              </w:rPr>
              <w:t>Operating:</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Personnel</w:t>
            </w:r>
          </w:p>
        </w:tc>
        <w:tc>
          <w:tcPr>
            <w:tcW w:w="84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17,491</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500"/>
              <w:spacing w:after="0"/>
              <w:rPr>
                <w:sz w:val="20"/>
                <w:szCs w:val="20"/>
                <w:color w:val="auto"/>
              </w:rPr>
            </w:pPr>
            <w:r>
              <w:rPr>
                <w:rFonts w:ascii="Arial" w:cs="Arial" w:eastAsia="Arial" w:hAnsi="Arial"/>
                <w:sz w:val="18"/>
                <w:szCs w:val="18"/>
                <w:color w:val="auto"/>
              </w:rPr>
              <w:t>Repairs and maintenance</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7,583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5,288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7,182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Drydocking</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500"/>
              <w:spacing w:after="0"/>
              <w:rPr>
                <w:sz w:val="20"/>
                <w:szCs w:val="20"/>
                <w:color w:val="auto"/>
              </w:rPr>
            </w:pPr>
            <w:r>
              <w:rPr>
                <w:rFonts w:ascii="Arial" w:cs="Arial" w:eastAsia="Arial" w:hAnsi="Arial"/>
                <w:sz w:val="18"/>
                <w:szCs w:val="18"/>
                <w:color w:val="auto"/>
              </w:rPr>
              <w:t>Insurance and loss reserves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Fuel, lubes and supplies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35,367</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33,711</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31,928</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8,517</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Direct Vessel Profit</w:t>
            </w:r>
          </w:p>
        </w:tc>
        <w:tc>
          <w:tcPr>
            <w:tcW w:w="7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8,956</w:t>
            </w:r>
          </w:p>
        </w:tc>
        <w:tc>
          <w:tcPr>
            <w:tcW w:w="2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24,019</w:t>
            </w:r>
          </w:p>
        </w:tc>
        <w:tc>
          <w:tcPr>
            <w:tcW w:w="28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24,053</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7,902</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64,930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Other Costs and Expenses:</w:t>
            </w: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60"/>
              <w:spacing w:after="0"/>
              <w:rPr>
                <w:sz w:val="20"/>
                <w:szCs w:val="20"/>
                <w:color w:val="auto"/>
              </w:rPr>
            </w:pPr>
            <w:r>
              <w:rPr>
                <w:rFonts w:ascii="Arial" w:cs="Arial" w:eastAsia="Arial" w:hAnsi="Arial"/>
                <w:sz w:val="18"/>
                <w:szCs w:val="18"/>
                <w:color w:val="auto"/>
              </w:rPr>
              <w:t>Lease expense</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10,894</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4,763</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Administrative and general</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840" w:type="dxa"/>
            <w:vAlign w:val="bottom"/>
            <w:tcBorders>
              <w:bottom w:val="single" w:sz="8" w:color="CFF0FC"/>
            </w:tcBorders>
            <w:gridSpan w:val="2"/>
          </w:tcPr>
          <w:p>
            <w:pPr>
              <w:ind w:left="7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21,947</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12,614</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16,400</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6,205</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40" w:type="dxa"/>
            <w:vAlign w:val="bottom"/>
          </w:tcPr>
          <w:p>
            <w:pPr>
              <w:spacing w:after="0"/>
              <w:rPr>
                <w:sz w:val="20"/>
                <w:szCs w:val="20"/>
                <w:color w:val="auto"/>
              </w:rPr>
            </w:pPr>
            <w:r>
              <w:rPr>
                <w:rFonts w:ascii="Arial" w:cs="Arial" w:eastAsia="Arial" w:hAnsi="Arial"/>
                <w:sz w:val="18"/>
                <w:szCs w:val="18"/>
                <w:color w:val="auto"/>
              </w:rPr>
              <w:t>Loss on asset dispositions and</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40"/>
              <w:spacing w:after="0"/>
              <w:rPr>
                <w:sz w:val="20"/>
                <w:szCs w:val="20"/>
                <w:color w:val="auto"/>
              </w:rPr>
            </w:pPr>
            <w:r>
              <w:rPr>
                <w:rFonts w:ascii="Arial" w:cs="Arial" w:eastAsia="Arial" w:hAnsi="Arial"/>
                <w:sz w:val="18"/>
                <w:szCs w:val="18"/>
                <w:color w:val="auto"/>
              </w:rPr>
              <w:t>impairments, net</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(6,461)</w:t>
            </w:r>
          </w:p>
        </w:tc>
        <w:tc>
          <w:tcPr>
            <w:tcW w:w="0" w:type="dxa"/>
            <w:vAlign w:val="bottom"/>
          </w:tcPr>
          <w:p>
            <w:pPr>
              <w:spacing w:after="0"/>
              <w:rPr>
                <w:sz w:val="1"/>
                <w:szCs w:val="1"/>
                <w:color w:val="auto"/>
              </w:rPr>
            </w:pPr>
          </w:p>
        </w:tc>
      </w:tr>
      <w:tr>
        <w:trPr>
          <w:trHeight w:val="223"/>
        </w:trPr>
        <w:tc>
          <w:tcPr>
            <w:tcW w:w="3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2019</w:t>
            </w: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60"/>
              <w:spacing w:after="0"/>
              <w:rPr>
                <w:sz w:val="20"/>
                <w:szCs w:val="20"/>
                <w:color w:val="auto"/>
              </w:rPr>
            </w:pPr>
            <w:r>
              <w:rPr>
                <w:rFonts w:ascii="Arial" w:cs="Arial" w:eastAsia="Arial" w:hAnsi="Arial"/>
                <w:sz w:val="18"/>
                <w:szCs w:val="18"/>
                <w:color w:val="auto"/>
              </w:rPr>
              <w:t>Historical cost</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297,392</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251,652</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292,446</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57,534</w:t>
            </w:r>
          </w:p>
        </w:tc>
        <w:tc>
          <w:tcPr>
            <w:tcW w:w="28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899,024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depreciation</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(157,514)</w:t>
            </w: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(62,125)</w:t>
            </w: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(73,039)</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(16,239)</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(308,917)</w:t>
            </w:r>
          </w:p>
        </w:tc>
        <w:tc>
          <w:tcPr>
            <w:tcW w:w="0" w:type="dxa"/>
            <w:vAlign w:val="bottom"/>
          </w:tcPr>
          <w:p>
            <w:pPr>
              <w:spacing w:after="0"/>
              <w:rPr>
                <w:sz w:val="1"/>
                <w:szCs w:val="1"/>
                <w:color w:val="auto"/>
              </w:rPr>
            </w:pPr>
          </w:p>
        </w:tc>
      </w:tr>
      <w:tr>
        <w:trPr>
          <w:trHeight w:val="263"/>
        </w:trPr>
        <w:tc>
          <w:tcPr>
            <w:tcW w:w="3640" w:type="dxa"/>
            <w:vAlign w:val="bottom"/>
            <w:tcBorders>
              <w:bottom w:val="single" w:sz="8" w:color="CFF0FC"/>
            </w:tcBorders>
          </w:tcPr>
          <w:p>
            <w:pPr>
              <w:spacing w:after="0"/>
              <w:rPr>
                <w:sz w:val="22"/>
                <w:szCs w:val="22"/>
                <w:color w:val="auto"/>
              </w:rPr>
            </w:pPr>
          </w:p>
        </w:tc>
        <w:tc>
          <w:tcPr>
            <w:tcW w:w="7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139,878</w:t>
            </w:r>
          </w:p>
        </w:tc>
        <w:tc>
          <w:tcPr>
            <w:tcW w:w="2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189,527</w:t>
            </w:r>
          </w:p>
        </w:tc>
        <w:tc>
          <w:tcPr>
            <w:tcW w:w="2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219,407</w:t>
            </w:r>
          </w:p>
        </w:tc>
        <w:tc>
          <w:tcPr>
            <w:tcW w:w="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41,295</w:t>
            </w:r>
          </w:p>
        </w:tc>
        <w:tc>
          <w:tcPr>
            <w:tcW w:w="2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590,107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color w:val="auto"/>
              </w:rPr>
              <w:t>(1)</w:t>
            </w:r>
          </w:p>
        </w:tc>
        <w:tc>
          <w:tcPr>
            <w:tcW w:w="7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224,229</w:t>
            </w:r>
          </w:p>
        </w:tc>
        <w:tc>
          <w:tcPr>
            <w:tcW w:w="2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226,071</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250,890</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116,736</w:t>
            </w:r>
          </w:p>
        </w:tc>
        <w:tc>
          <w:tcPr>
            <w:tcW w:w="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817,926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760" w:hanging="752"/>
        <w:spacing w:after="0"/>
        <w:tabs>
          <w:tab w:leader="none" w:pos="7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Total assets exclude $145.5 million of corporate assets, and $45.7 million of discontinued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22" w:name="page123"/>
    <w:bookmarkEnd w:id="122"/>
    <w:p>
      <w:pPr>
        <w:ind w:left="760" w:hanging="752"/>
        <w:spacing w:after="0"/>
        <w:tabs>
          <w:tab w:leader="none" w:pos="7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89"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6"/>
          <w:szCs w:val="16"/>
          <w:color w:val="auto"/>
        </w:rPr>
        <w:t>On January 12, 2021, the Company completed the sale of Windcat Workboats, which was previously classified as assets held for sale as of the end of the fourth quarter 2020. The Company’s discontinued operations as of December 31, 2019, consisted of both Windcat Workboats and Boston Putford Offshore Safety. The Company has no continuing involvement in either of these businesses, which is considered a strategic shift in the Company’s operations. During the first twelve days of 2021, the Company recognized $0.2 million in net income from operations of Windcat Workboats that was utilized to calculate the gain on the sale of Windcat Workboats (see “Note. 4 Equipment Acquisitions and Dispositions”). Summarized selected operating results of the Company’s assets held for sale and discontinued operations were as follows for the years ended December 31,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2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Assets from Discontinued Operations:</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60"/>
              <w:spacing w:after="0"/>
              <w:rPr>
                <w:sz w:val="20"/>
                <w:szCs w:val="20"/>
                <w:color w:val="auto"/>
              </w:rPr>
            </w:pPr>
            <w:r>
              <w:rPr>
                <w:rFonts w:ascii="Arial" w:cs="Arial" w:eastAsia="Arial" w:hAnsi="Arial"/>
                <w:sz w:val="18"/>
                <w:szCs w:val="18"/>
                <w:color w:val="auto"/>
              </w:rPr>
              <w:t>Current assets</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property and equipment</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Non-current assets</w:t>
            </w:r>
          </w:p>
        </w:tc>
        <w:tc>
          <w:tcPr>
            <w:tcW w:w="1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50,235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Liability from Discontinued Operations:</w:t>
            </w: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liabilities</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18"/>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Long-term liabilities</w:t>
            </w:r>
          </w:p>
        </w:tc>
        <w:tc>
          <w:tcPr>
            <w:tcW w:w="1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18"/>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30,927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Boston</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Putford</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Offshore</w:t>
            </w: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w w:val="92"/>
              </w:rPr>
              <w:t>Windcat Workboats</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Safety</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318"/>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60"/>
              <w:spacing w:after="0"/>
              <w:rPr>
                <w:sz w:val="20"/>
                <w:szCs w:val="20"/>
                <w:color w:val="auto"/>
              </w:rPr>
            </w:pPr>
            <w:r>
              <w:rPr>
                <w:rFonts w:ascii="Arial" w:cs="Arial" w:eastAsia="Arial" w:hAnsi="Arial"/>
                <w:sz w:val="18"/>
                <w:szCs w:val="18"/>
                <w:color w:val="auto"/>
              </w:rPr>
              <w:t>Time charter</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903</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29,383</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25,249</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revenue</w:t>
            </w:r>
          </w:p>
        </w:tc>
        <w:tc>
          <w:tcPr>
            <w:tcW w:w="1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2,305</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27,039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w:t>
            </w:r>
          </w:p>
        </w:tc>
        <w:tc>
          <w:tcPr>
            <w:tcW w:w="1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14,202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Direct Vessel Profit</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12,837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Lease Expense</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6,846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20"/>
                <w:szCs w:val="20"/>
                <w:color w:val="auto"/>
              </w:rPr>
            </w:pPr>
            <w:r>
              <w:rPr>
                <w:rFonts w:ascii="Arial" w:cs="Arial" w:eastAsia="Arial" w:hAnsi="Arial"/>
                <w:sz w:val="18"/>
                <w:szCs w:val="18"/>
                <w:color w:val="auto"/>
              </w:rPr>
              <w:t>Gain on Asset Dispositions and</w:t>
            </w:r>
          </w:p>
        </w:tc>
        <w:tc>
          <w:tcPr>
            <w:tcW w:w="1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Impairments, Net</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1,064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Other Income (Expense)</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(1,115)</w:t>
            </w:r>
          </w:p>
        </w:tc>
        <w:tc>
          <w:tcPr>
            <w:tcW w:w="24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(loss)</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Other, net</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20"/>
                <w:szCs w:val="20"/>
                <w:color w:val="auto"/>
              </w:rPr>
            </w:pPr>
            <w:r>
              <w:rPr>
                <w:rFonts w:ascii="Arial" w:cs="Arial" w:eastAsia="Arial" w:hAnsi="Arial"/>
                <w:sz w:val="18"/>
                <w:szCs w:val="18"/>
                <w:color w:val="auto"/>
              </w:rPr>
              <w:t>Operating Income Before Equity Earnings of 50% or</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Less Owned Companies, Net of Tax</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1,638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4720" w:type="dxa"/>
            <w:vAlign w:val="bottom"/>
          </w:tcPr>
          <w:p>
            <w:pPr>
              <w:spacing w:after="0"/>
              <w:rPr>
                <w:sz w:val="20"/>
                <w:szCs w:val="20"/>
                <w:color w:val="auto"/>
              </w:rPr>
            </w:pPr>
            <w:r>
              <w:rPr>
                <w:rFonts w:ascii="Arial" w:cs="Arial" w:eastAsia="Arial" w:hAnsi="Arial"/>
                <w:sz w:val="18"/>
                <w:szCs w:val="18"/>
                <w:color w:val="auto"/>
              </w:rPr>
              <w:t>Operating Income Before Equity Earnings of 50% or</w:t>
            </w:r>
          </w:p>
        </w:tc>
        <w:tc>
          <w:tcPr>
            <w:tcW w:w="1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Less Owned Companies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1,581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9"/>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in Earnings of 50% or Less Owned Companies,</w:t>
            </w:r>
          </w:p>
        </w:tc>
        <w:tc>
          <w:tcPr>
            <w:tcW w:w="1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Tax</w:t>
            </w: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Net Income from Discontinued Operations</w:t>
            </w:r>
          </w:p>
        </w:tc>
        <w:tc>
          <w:tcPr>
            <w:tcW w:w="1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1,736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72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4760" w:type="dxa"/>
            <w:vAlign w:val="bottom"/>
            <w:gridSpan w:val="7"/>
          </w:tcPr>
          <w:p>
            <w:pPr>
              <w:jc w:val="center"/>
              <w:ind w:left="1010"/>
              <w:spacing w:after="0"/>
              <w:rPr>
                <w:sz w:val="20"/>
                <w:szCs w:val="20"/>
                <w:color w:val="auto"/>
              </w:rPr>
            </w:pPr>
            <w:r>
              <w:rPr>
                <w:rFonts w:ascii="Arial" w:cs="Arial" w:eastAsia="Arial" w:hAnsi="Arial"/>
                <w:sz w:val="18"/>
                <w:szCs w:val="18"/>
                <w:b w:val="1"/>
                <w:bCs w:val="1"/>
                <w:color w:val="auto"/>
              </w:rPr>
              <w:t>SEACOR MARINE HOLDINGS INC.</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6060" w:type="dxa"/>
            <w:vAlign w:val="bottom"/>
            <w:gridSpan w:val="10"/>
          </w:tcPr>
          <w:p>
            <w:pPr>
              <w:jc w:val="center"/>
              <w:ind w:right="200"/>
              <w:spacing w:after="0"/>
              <w:rPr>
                <w:sz w:val="20"/>
                <w:szCs w:val="20"/>
                <w:color w:val="auto"/>
              </w:rPr>
            </w:pPr>
            <w:r>
              <w:rPr>
                <w:rFonts w:ascii="Arial" w:cs="Arial" w:eastAsia="Arial" w:hAnsi="Arial"/>
                <w:sz w:val="18"/>
                <w:szCs w:val="18"/>
                <w:b w:val="1"/>
                <w:bCs w:val="1"/>
                <w:color w:val="auto"/>
              </w:rPr>
              <w:t>SCHEDULE II - VALUATION AND QUALIFYING ACCOUNTS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6060" w:type="dxa"/>
            <w:vAlign w:val="bottom"/>
            <w:gridSpan w:val="10"/>
          </w:tcPr>
          <w:p>
            <w:pPr>
              <w:jc w:val="center"/>
              <w:ind w:right="220"/>
              <w:spacing w:after="0"/>
              <w:rPr>
                <w:sz w:val="20"/>
                <w:szCs w:val="20"/>
                <w:color w:val="auto"/>
              </w:rPr>
            </w:pPr>
            <w:r>
              <w:rPr>
                <w:rFonts w:ascii="Arial" w:cs="Arial" w:eastAsia="Arial" w:hAnsi="Arial"/>
                <w:sz w:val="18"/>
                <w:szCs w:val="18"/>
                <w:b w:val="1"/>
                <w:bCs w:val="1"/>
                <w:color w:val="auto"/>
                <w:w w:val="90"/>
              </w:rPr>
              <w:t>For the Years Ended December 31, 2021, 2020 and 2019</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88"/>
              </w:rPr>
              <w:t>Charges</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Balance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(Recoveries)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Balance</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Beginning</w:t>
            </w:r>
          </w:p>
        </w:tc>
        <w:tc>
          <w:tcPr>
            <w:tcW w:w="14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Reserves</w:t>
            </w: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to Cost and</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End</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of Year</w:t>
            </w:r>
          </w:p>
        </w:tc>
        <w:tc>
          <w:tcPr>
            <w:tcW w:w="14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Acquired</w:t>
            </w:r>
          </w:p>
        </w:tc>
        <w:tc>
          <w:tcPr>
            <w:tcW w:w="14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Expenses</w:t>
            </w:r>
          </w:p>
        </w:tc>
        <w:tc>
          <w:tcPr>
            <w:tcW w:w="8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Deductions</w:t>
            </w:r>
          </w:p>
        </w:tc>
        <w:tc>
          <w:tcPr>
            <w:tcW w:w="16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of Year</w:t>
            </w:r>
          </w:p>
        </w:tc>
        <w:tc>
          <w:tcPr>
            <w:tcW w:w="0" w:type="dxa"/>
            <w:vAlign w:val="bottom"/>
          </w:tcPr>
          <w:p>
            <w:pPr>
              <w:spacing w:after="0"/>
              <w:rPr>
                <w:sz w:val="1"/>
                <w:szCs w:val="1"/>
                <w:color w:val="auto"/>
              </w:rPr>
            </w:pPr>
          </w:p>
        </w:tc>
      </w:tr>
      <w:tr>
        <w:trPr>
          <w:trHeight w:val="223"/>
        </w:trPr>
        <w:tc>
          <w:tcPr>
            <w:tcW w:w="2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December 31, 2021</w:t>
            </w:r>
          </w:p>
        </w:tc>
        <w:tc>
          <w:tcPr>
            <w:tcW w:w="2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80" w:type="dxa"/>
            <w:vAlign w:val="bottom"/>
            <w:gridSpan w:val="3"/>
          </w:tcPr>
          <w:p>
            <w:pPr>
              <w:spacing w:after="0"/>
              <w:rPr>
                <w:sz w:val="20"/>
                <w:szCs w:val="20"/>
                <w:color w:val="auto"/>
              </w:rPr>
            </w:pPr>
            <w:r>
              <w:rPr>
                <w:rFonts w:ascii="Arial" w:cs="Arial" w:eastAsia="Arial" w:hAnsi="Arial"/>
                <w:sz w:val="18"/>
                <w:szCs w:val="18"/>
                <w:color w:val="auto"/>
              </w:rPr>
              <w:t>Allowance for credit loss reserves (deducted from trade and</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notes receivable)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735</w:t>
            </w:r>
          </w:p>
        </w:tc>
        <w:tc>
          <w:tcPr>
            <w:tcW w:w="2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2020</w:t>
            </w:r>
          </w:p>
        </w:tc>
        <w:tc>
          <w:tcPr>
            <w:tcW w:w="2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80" w:type="dxa"/>
            <w:vAlign w:val="bottom"/>
            <w:gridSpan w:val="3"/>
          </w:tcPr>
          <w:p>
            <w:pPr>
              <w:spacing w:after="0"/>
              <w:rPr>
                <w:sz w:val="20"/>
                <w:szCs w:val="20"/>
                <w:color w:val="auto"/>
              </w:rPr>
            </w:pPr>
            <w:r>
              <w:rPr>
                <w:rFonts w:ascii="Arial" w:cs="Arial" w:eastAsia="Arial" w:hAnsi="Arial"/>
                <w:sz w:val="18"/>
                <w:szCs w:val="18"/>
                <w:color w:val="auto"/>
              </w:rPr>
              <w:t>Allowance for credit loss reserves (deducted from trade and</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notes receivable)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455</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2019</w:t>
            </w:r>
          </w:p>
        </w:tc>
        <w:tc>
          <w:tcPr>
            <w:tcW w:w="2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80" w:type="dxa"/>
            <w:vAlign w:val="bottom"/>
            <w:gridSpan w:val="3"/>
          </w:tcPr>
          <w:p>
            <w:pPr>
              <w:spacing w:after="0"/>
              <w:rPr>
                <w:sz w:val="20"/>
                <w:szCs w:val="20"/>
                <w:color w:val="auto"/>
              </w:rPr>
            </w:pPr>
            <w:r>
              <w:rPr>
                <w:rFonts w:ascii="Arial" w:cs="Arial" w:eastAsia="Arial" w:hAnsi="Arial"/>
                <w:sz w:val="18"/>
                <w:szCs w:val="18"/>
                <w:color w:val="auto"/>
              </w:rPr>
              <w:t>Allowance for credit loss reserves (deducted from trade and</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notes receivable)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860</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left="230"/>
              <w:spacing w:after="0"/>
              <w:rPr>
                <w:sz w:val="20"/>
                <w:szCs w:val="20"/>
                <w:color w:val="auto"/>
              </w:rPr>
            </w:pPr>
            <w:r>
              <w:rPr>
                <w:rFonts w:ascii="Arial" w:cs="Arial" w:eastAsia="Arial" w:hAnsi="Arial"/>
                <w:sz w:val="18"/>
                <w:szCs w:val="18"/>
                <w:color w:val="auto"/>
                <w:w w:val="93"/>
              </w:rPr>
              <w:t>122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Non-Employee Directors</w:t>
      </w:r>
    </w:p>
    <w:p>
      <w:pPr>
        <w:spacing w:after="0" w:line="229"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Directors who are not employees of SEACOR Marine Holdings Inc. (the “Company”) receive an annual retainer of $50,000 and each of such directors is also granted equity awards pursuant to the SEACOR Marine Holding Inc.'s 2020 Equity Incentive Plan (Exhibit 10.29 in this Annual Report on Form 10-K).</w:t>
      </w:r>
    </w:p>
    <w:p>
      <w:pPr>
        <w:sectPr>
          <w:pgSz w:w="11900" w:h="16838" w:orient="portrait"/>
          <w:cols w:equalWidth="0" w:num="1">
            <w:col w:w="11240"/>
          </w:cols>
          <w:pgMar w:left="320" w:top="121"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2"/>
          <w:szCs w:val="22"/>
          <w:b w:val="1"/>
          <w:bCs w:val="1"/>
          <w:color w:val="auto"/>
        </w:rPr>
        <w:t>Exhibit 10.37</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AMENDMENT NO. 7 TO AMENDED AND RESTATED CREDIT FACILITY AGREEMENT</w:t>
      </w:r>
    </w:p>
    <w:p>
      <w:pPr>
        <w:spacing w:after="0" w:line="301" w:lineRule="exact"/>
        <w:rPr>
          <w:sz w:val="20"/>
          <w:szCs w:val="20"/>
          <w:color w:val="auto"/>
        </w:rPr>
      </w:pPr>
    </w:p>
    <w:p>
      <w:pPr>
        <w:ind w:left="1560"/>
        <w:spacing w:after="0"/>
        <w:rPr>
          <w:sz w:val="20"/>
          <w:szCs w:val="20"/>
          <w:color w:val="auto"/>
        </w:rPr>
      </w:pPr>
      <w:r>
        <w:rPr>
          <w:rFonts w:ascii="Arial" w:cs="Arial" w:eastAsia="Arial" w:hAnsi="Arial"/>
          <w:sz w:val="21"/>
          <w:szCs w:val="21"/>
          <w:color w:val="auto"/>
        </w:rPr>
        <w:t>THIS AMENDMENT NO. 7 TO AMENDED AND RESTATED CREDIT FACILITY AGREEMENT (this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Amendment</w:t>
      </w:r>
      <w:r>
        <w:rPr>
          <w:rFonts w:ascii="Arial" w:cs="Arial" w:eastAsia="Arial" w:hAnsi="Arial"/>
          <w:sz w:val="19"/>
          <w:szCs w:val="19"/>
          <w:color w:val="auto"/>
        </w:rPr>
        <w:t>”) is made as of the 31</w:t>
      </w:r>
      <w:r>
        <w:rPr>
          <w:rFonts w:ascii="Arial" w:cs="Arial" w:eastAsia="Arial" w:hAnsi="Arial"/>
          <w:sz w:val="16"/>
          <w:szCs w:val="16"/>
          <w:color w:val="auto"/>
        </w:rPr>
        <w:t>st</w:t>
      </w:r>
      <w:r>
        <w:rPr>
          <w:rFonts w:ascii="Arial" w:cs="Arial" w:eastAsia="Arial" w:hAnsi="Arial"/>
          <w:sz w:val="19"/>
          <w:szCs w:val="19"/>
          <w:color w:val="auto"/>
        </w:rPr>
        <w:t xml:space="preserve"> day of December, 2021, and amends and is supplemental to that certain amended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restated senior secured term loan credit facility agreement dated as of September 28, 2018 (as amended, and as may be further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amended, restated, supplemented or otherwise modified from time to time, including pursuant to this Amendment, the “</w:t>
      </w:r>
      <w:r>
        <w:rPr>
          <w:rFonts w:ascii="Arial" w:cs="Arial" w:eastAsia="Arial" w:hAnsi="Arial"/>
          <w:sz w:val="19"/>
          <w:szCs w:val="19"/>
          <w:b w:val="1"/>
          <w:bCs w:val="1"/>
          <w:color w:val="auto"/>
        </w:rPr>
        <w:t>Credit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Facility Agreement</w:t>
      </w:r>
      <w:r>
        <w:rPr>
          <w:rFonts w:ascii="Arial" w:cs="Arial" w:eastAsia="Arial" w:hAnsi="Arial"/>
          <w:sz w:val="19"/>
          <w:szCs w:val="19"/>
          <w:color w:val="auto"/>
        </w:rPr>
        <w:t>” and the Credit Facility Agreement as in effect immediately prior to giving effect to this Amendment, the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Existing Credit Facility Agreement</w:t>
      </w:r>
      <w:r>
        <w:rPr>
          <w:rFonts w:ascii="Arial" w:cs="Arial" w:eastAsia="Arial" w:hAnsi="Arial"/>
          <w:sz w:val="21"/>
          <w:szCs w:val="21"/>
          <w:color w:val="auto"/>
        </w:rPr>
        <w:t>”), and is by and among (1) SEACOR OSV PARTNERS I LP, a Delaware limited</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partnership (the “</w:t>
      </w:r>
      <w:r>
        <w:rPr>
          <w:rFonts w:ascii="Arial" w:cs="Arial" w:eastAsia="Arial" w:hAnsi="Arial"/>
          <w:sz w:val="21"/>
          <w:szCs w:val="21"/>
          <w:b w:val="1"/>
          <w:bCs w:val="1"/>
          <w:color w:val="auto"/>
        </w:rPr>
        <w:t>Partnership</w:t>
      </w:r>
      <w:r>
        <w:rPr>
          <w:rFonts w:ascii="Arial" w:cs="Arial" w:eastAsia="Arial" w:hAnsi="Arial"/>
          <w:sz w:val="21"/>
          <w:szCs w:val="21"/>
          <w:color w:val="auto"/>
        </w:rPr>
        <w:t>”), and SEACOR BRAVE LLC, SEACOR CHIEF LLC, SEACOR COURAGEOUS LLC,</w:t>
      </w:r>
    </w:p>
    <w:p>
      <w:pPr>
        <w:spacing w:after="0" w:line="231" w:lineRule="auto"/>
        <w:rPr>
          <w:sz w:val="20"/>
          <w:szCs w:val="20"/>
          <w:color w:val="auto"/>
        </w:rPr>
      </w:pPr>
      <w:r>
        <w:rPr>
          <w:rFonts w:ascii="Arial" w:cs="Arial" w:eastAsia="Arial" w:hAnsi="Arial"/>
          <w:sz w:val="22"/>
          <w:szCs w:val="22"/>
          <w:color w:val="auto"/>
        </w:rPr>
        <w:t>SEACOR FEARLESS LLC, and SEACOR RESOLUTE LLC, each a Delaware limited liability company (the “</w:t>
      </w:r>
      <w:r>
        <w:rPr>
          <w:rFonts w:ascii="Arial" w:cs="Arial" w:eastAsia="Arial" w:hAnsi="Arial"/>
          <w:sz w:val="22"/>
          <w:szCs w:val="22"/>
          <w:b w:val="1"/>
          <w:bCs w:val="1"/>
          <w:color w:val="auto"/>
        </w:rPr>
        <w:t>Vessel</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w:t>
      </w:r>
      <w:r>
        <w:rPr>
          <w:rFonts w:ascii="Arial" w:cs="Arial" w:eastAsia="Arial" w:hAnsi="Arial"/>
          <w:sz w:val="19"/>
          <w:szCs w:val="19"/>
          <w:color w:val="auto"/>
        </w:rPr>
        <w:t>”) as joint and several original borrowers (the “</w:t>
      </w:r>
      <w:r>
        <w:rPr>
          <w:rFonts w:ascii="Arial" w:cs="Arial" w:eastAsia="Arial" w:hAnsi="Arial"/>
          <w:sz w:val="19"/>
          <w:szCs w:val="19"/>
          <w:b w:val="1"/>
          <w:bCs w:val="1"/>
          <w:color w:val="auto"/>
        </w:rPr>
        <w:t>Existing Borrowers</w:t>
      </w:r>
      <w:r>
        <w:rPr>
          <w:rFonts w:ascii="Arial" w:cs="Arial" w:eastAsia="Arial" w:hAnsi="Arial"/>
          <w:sz w:val="19"/>
          <w:szCs w:val="19"/>
          <w:color w:val="auto"/>
        </w:rPr>
        <w:t>”), (2) SEACOR OFFSHORE OSV LLC, a Delaware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limited liability company, as incoming borrower (the “</w:t>
      </w:r>
      <w:r>
        <w:rPr>
          <w:rFonts w:ascii="Arial" w:cs="Arial" w:eastAsia="Arial" w:hAnsi="Arial"/>
          <w:sz w:val="21"/>
          <w:szCs w:val="21"/>
          <w:b w:val="1"/>
          <w:bCs w:val="1"/>
          <w:color w:val="auto"/>
        </w:rPr>
        <w:t>Incoming Borrower</w:t>
      </w:r>
      <w:r>
        <w:rPr>
          <w:rFonts w:ascii="Arial" w:cs="Arial" w:eastAsia="Arial" w:hAnsi="Arial"/>
          <w:sz w:val="21"/>
          <w:szCs w:val="21"/>
          <w:color w:val="auto"/>
        </w:rPr>
        <w:t>” and together with the Vessel Owners,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Borrowers</w:t>
      </w:r>
      <w:r>
        <w:rPr>
          <w:rFonts w:ascii="Arial" w:cs="Arial" w:eastAsia="Arial" w:hAnsi="Arial"/>
          <w:sz w:val="19"/>
          <w:szCs w:val="19"/>
          <w:color w:val="auto"/>
        </w:rPr>
        <w:t>”), the banks and financial institutions listed on Schedule I of the Credit Facility Agreement, as lenders (together with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any bank or financial institution which becomes a Lender pursuant to Section 10 of the Credit Facility Agreement, the “</w:t>
      </w:r>
      <w:r>
        <w:rPr>
          <w:rFonts w:ascii="Arial" w:cs="Arial" w:eastAsia="Arial" w:hAnsi="Arial"/>
          <w:sz w:val="19"/>
          <w:szCs w:val="19"/>
          <w:b w:val="1"/>
          <w:bCs w:val="1"/>
          <w:color w:val="auto"/>
        </w:rPr>
        <w:t>Lenders</w:t>
      </w:r>
      <w:r>
        <w:rPr>
          <w:rFonts w:ascii="Arial" w:cs="Arial" w:eastAsia="Arial" w:hAnsi="Arial"/>
          <w:sz w:val="19"/>
          <w:szCs w:val="19"/>
          <w:color w:val="auto"/>
        </w:rPr>
        <w:t>”),</w:t>
      </w:r>
    </w:p>
    <w:p>
      <w:pPr>
        <w:spacing w:after="0" w:line="25" w:lineRule="exact"/>
        <w:rPr>
          <w:sz w:val="20"/>
          <w:szCs w:val="20"/>
          <w:color w:val="auto"/>
        </w:rPr>
      </w:pPr>
    </w:p>
    <w:p>
      <w:pPr>
        <w:ind w:firstLine="8"/>
        <w:spacing w:after="0" w:line="287" w:lineRule="auto"/>
        <w:tabs>
          <w:tab w:leader="none" w:pos="306" w:val="left"/>
        </w:tabs>
        <w:numPr>
          <w:ilvl w:val="0"/>
          <w:numId w:val="83"/>
        </w:numPr>
        <w:rPr>
          <w:rFonts w:ascii="Arial" w:cs="Arial" w:eastAsia="Arial" w:hAnsi="Arial"/>
          <w:sz w:val="19"/>
          <w:szCs w:val="19"/>
          <w:color w:val="auto"/>
        </w:rPr>
      </w:pPr>
      <w:r>
        <w:rPr>
          <w:rFonts w:ascii="Arial" w:cs="Arial" w:eastAsia="Arial" w:hAnsi="Arial"/>
          <w:sz w:val="19"/>
          <w:szCs w:val="19"/>
          <w:color w:val="auto"/>
        </w:rPr>
        <w:t>DNB BANK ASA, NEW YORK BRANCH, as administrative agent (in such capacity, the “</w:t>
      </w:r>
      <w:r>
        <w:rPr>
          <w:rFonts w:ascii="Arial" w:cs="Arial" w:eastAsia="Arial" w:hAnsi="Arial"/>
          <w:sz w:val="19"/>
          <w:szCs w:val="19"/>
          <w:b w:val="1"/>
          <w:bCs w:val="1"/>
          <w:color w:val="auto"/>
        </w:rPr>
        <w:t>Administrative Agent</w:t>
      </w:r>
      <w:r>
        <w:rPr>
          <w:rFonts w:ascii="Arial" w:cs="Arial" w:eastAsia="Arial" w:hAnsi="Arial"/>
          <w:sz w:val="19"/>
          <w:szCs w:val="19"/>
          <w:color w:val="auto"/>
        </w:rPr>
        <w:t>”) and as security trustee (in such capacity, the “</w:t>
      </w:r>
      <w:r>
        <w:rPr>
          <w:rFonts w:ascii="Arial" w:cs="Arial" w:eastAsia="Arial" w:hAnsi="Arial"/>
          <w:sz w:val="19"/>
          <w:szCs w:val="19"/>
          <w:b w:val="1"/>
          <w:bCs w:val="1"/>
          <w:color w:val="auto"/>
        </w:rPr>
        <w:t>Security Trustee</w:t>
      </w:r>
      <w:r>
        <w:rPr>
          <w:rFonts w:ascii="Arial" w:cs="Arial" w:eastAsia="Arial" w:hAnsi="Arial"/>
          <w:sz w:val="19"/>
          <w:szCs w:val="19"/>
          <w:color w:val="auto"/>
        </w:rPr>
        <w:t>”), and (5) COMERICA BANK, as facility agent. Unless otherwise defined herein, the capitalized terms used herein shall have the meanings assigned to such terms in the Credit Facility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p>
    <w:p>
      <w:pPr>
        <w:spacing w:after="0" w:line="233" w:lineRule="exact"/>
        <w:rPr>
          <w:sz w:val="20"/>
          <w:szCs w:val="20"/>
          <w:color w:val="auto"/>
        </w:rPr>
      </w:pPr>
    </w:p>
    <w:p>
      <w:pPr>
        <w:ind w:right="140" w:firstLine="1561"/>
        <w:spacing w:after="0" w:line="282" w:lineRule="auto"/>
        <w:rPr>
          <w:sz w:val="20"/>
          <w:szCs w:val="20"/>
          <w:color w:val="auto"/>
        </w:rPr>
      </w:pPr>
      <w:r>
        <w:rPr>
          <w:rFonts w:ascii="Arial" w:cs="Arial" w:eastAsia="Arial" w:hAnsi="Arial"/>
          <w:sz w:val="19"/>
          <w:szCs w:val="19"/>
          <w:color w:val="auto"/>
        </w:rPr>
        <w:t>WHEREAS, the Existing Borrowers have notified the Lenders that the Partnership has entered into an Agreement of Plan and Merger dated as of December 22, 2021, pursuant to which the Partnership will merge with and into the Incoming Borrower with the Incoming Borrower as the surviving entity, all of the limited liability interests of which will be beneficially owned by SEACOR Marine Holdings Inc., a Delaware corporation (the “</w:t>
      </w:r>
      <w:r>
        <w:rPr>
          <w:rFonts w:ascii="Arial" w:cs="Arial" w:eastAsia="Arial" w:hAnsi="Arial"/>
          <w:sz w:val="19"/>
          <w:szCs w:val="19"/>
          <w:b w:val="1"/>
          <w:bCs w:val="1"/>
          <w:color w:val="auto"/>
        </w:rPr>
        <w:t>Guarantor</w:t>
      </w:r>
      <w:r>
        <w:rPr>
          <w:rFonts w:ascii="Arial" w:cs="Arial" w:eastAsia="Arial" w:hAnsi="Arial"/>
          <w:sz w:val="19"/>
          <w:szCs w:val="19"/>
          <w:color w:val="auto"/>
        </w:rPr>
        <w:t>”), and all of the limited liability interests in the Vessel Owners will be directly owned by the Incoming Borrower (the “</w:t>
      </w:r>
      <w:r>
        <w:rPr>
          <w:rFonts w:ascii="Arial" w:cs="Arial" w:eastAsia="Arial" w:hAnsi="Arial"/>
          <w:sz w:val="19"/>
          <w:szCs w:val="19"/>
          <w:b w:val="1"/>
          <w:bCs w:val="1"/>
          <w:color w:val="auto"/>
        </w:rPr>
        <w:t>Transaction</w:t>
      </w:r>
      <w:r>
        <w:rPr>
          <w:rFonts w:ascii="Arial" w:cs="Arial" w:eastAsia="Arial" w:hAnsi="Arial"/>
          <w:sz w:val="19"/>
          <w:szCs w:val="19"/>
          <w:color w:val="auto"/>
        </w:rPr>
        <w:t>”);</w:t>
      </w:r>
    </w:p>
    <w:p>
      <w:pPr>
        <w:spacing w:after="0" w:line="174" w:lineRule="exact"/>
        <w:rPr>
          <w:sz w:val="20"/>
          <w:szCs w:val="20"/>
          <w:color w:val="auto"/>
        </w:rPr>
      </w:pPr>
    </w:p>
    <w:p>
      <w:pPr>
        <w:ind w:right="20" w:firstLine="1561"/>
        <w:spacing w:after="0" w:line="287" w:lineRule="auto"/>
        <w:rPr>
          <w:sz w:val="20"/>
          <w:szCs w:val="20"/>
          <w:color w:val="auto"/>
        </w:rPr>
      </w:pPr>
      <w:r>
        <w:rPr>
          <w:rFonts w:ascii="Arial" w:cs="Arial" w:eastAsia="Arial" w:hAnsi="Arial"/>
          <w:sz w:val="19"/>
          <w:szCs w:val="19"/>
          <w:color w:val="auto"/>
        </w:rPr>
        <w:t>WHEREAS, in connection with the foregoing, the Lenders and the Existing Borrowers have agreed to, among other things, amend and restate the Existing Credit Facility Agreement to reflect (i) the merger of the Partnership with and into the Incoming Borrower, (ii) the ownership of the Pledged Interests by the Incoming Borrower, (iii) the addition of the Guarantor, as a guarantor, (iv) the extension of the Final Payment Date and (v) certain additional terms as set forth herein;</w:t>
      </w:r>
    </w:p>
    <w:p>
      <w:pPr>
        <w:spacing w:after="0" w:line="170" w:lineRule="exact"/>
        <w:rPr>
          <w:sz w:val="20"/>
          <w:szCs w:val="20"/>
          <w:color w:val="auto"/>
        </w:rPr>
      </w:pPr>
    </w:p>
    <w:p>
      <w:pPr>
        <w:ind w:right="60" w:firstLine="1561"/>
        <w:spacing w:after="0"/>
        <w:rPr>
          <w:sz w:val="20"/>
          <w:szCs w:val="20"/>
          <w:color w:val="auto"/>
        </w:rPr>
      </w:pPr>
      <w:r>
        <w:rPr>
          <w:rFonts w:ascii="Arial" w:cs="Arial" w:eastAsia="Arial" w:hAnsi="Arial"/>
          <w:sz w:val="22"/>
          <w:szCs w:val="22"/>
          <w:color w:val="auto"/>
        </w:rPr>
        <w:t>NOW, THEREFORE, in consideration of the premises set forth above, the covenants and agreements hereinafter set forth, and other good and valuable consideration, the receipt and adequacy of which are hereby acknowledged, the parties hereto agree as follows:</w:t>
      </w:r>
    </w:p>
    <w:p>
      <w:pPr>
        <w:spacing w:after="0" w:line="213" w:lineRule="exact"/>
        <w:rPr>
          <w:sz w:val="20"/>
          <w:szCs w:val="20"/>
          <w:color w:val="auto"/>
        </w:rPr>
      </w:pPr>
    </w:p>
    <w:p>
      <w:pPr>
        <w:ind w:right="200" w:firstLine="1569"/>
        <w:spacing w:after="0" w:line="250" w:lineRule="auto"/>
        <w:tabs>
          <w:tab w:leader="none" w:pos="2357" w:val="left"/>
        </w:tabs>
        <w:numPr>
          <w:ilvl w:val="0"/>
          <w:numId w:val="84"/>
        </w:numPr>
        <w:rPr>
          <w:rFonts w:ascii="Arial" w:cs="Arial" w:eastAsia="Arial" w:hAnsi="Arial"/>
          <w:sz w:val="20"/>
          <w:szCs w:val="20"/>
          <w:color w:val="auto"/>
        </w:rPr>
      </w:pPr>
      <w:r>
        <w:rPr>
          <w:rFonts w:ascii="Arial" w:cs="Arial" w:eastAsia="Arial" w:hAnsi="Arial"/>
          <w:sz w:val="22"/>
          <w:szCs w:val="22"/>
          <w:u w:val="single" w:color="auto"/>
          <w:color w:val="auto"/>
        </w:rPr>
        <w:t>Amendment of the Credit Facility Agreement and Transaction Documents</w:t>
      </w:r>
      <w:r>
        <w:rPr>
          <w:rFonts w:ascii="Arial" w:cs="Arial" w:eastAsia="Arial" w:hAnsi="Arial"/>
          <w:sz w:val="22"/>
          <w:szCs w:val="22"/>
          <w:color w:val="auto"/>
        </w:rPr>
        <w:t>. The parties hereto agree that on the Effective Date (as hereinafter defined):</w:t>
      </w:r>
    </w:p>
    <w:p>
      <w:pPr>
        <w:spacing w:after="0" w:line="201" w:lineRule="exact"/>
        <w:rPr>
          <w:rFonts w:ascii="Arial" w:cs="Arial" w:eastAsia="Arial" w:hAnsi="Arial"/>
          <w:sz w:val="20"/>
          <w:szCs w:val="20"/>
          <w:color w:val="auto"/>
        </w:rPr>
      </w:pPr>
    </w:p>
    <w:p>
      <w:pPr>
        <w:ind w:right="260" w:firstLine="2350"/>
        <w:spacing w:after="0" w:line="287" w:lineRule="auto"/>
        <w:tabs>
          <w:tab w:leader="none" w:pos="3209" w:val="left"/>
        </w:tabs>
        <w:numPr>
          <w:ilvl w:val="1"/>
          <w:numId w:val="84"/>
        </w:numPr>
        <w:rPr>
          <w:rFonts w:ascii="Arial" w:cs="Arial" w:eastAsia="Arial" w:hAnsi="Arial"/>
          <w:sz w:val="18"/>
          <w:szCs w:val="18"/>
          <w:color w:val="auto"/>
        </w:rPr>
      </w:pPr>
      <w:r>
        <w:rPr>
          <w:rFonts w:ascii="Arial" w:cs="Arial" w:eastAsia="Arial" w:hAnsi="Arial"/>
          <w:sz w:val="19"/>
          <w:szCs w:val="19"/>
          <w:color w:val="auto"/>
        </w:rPr>
        <w:t>All references to “this Agreement” shall be deemed to refer to the Credit Facility Agreement, as amended hereby, and each reference to the “Credit Facility Agreement”, including any prior iteration thereof, in any Transaction Document shall be deemed to be a reference to the Credit Facility Agreement as amended, supplemented or otherwise modified from time to time, including but not limited to as amended and restated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26" w:name="page127"/>
    <w:bookmarkEnd w:id="126"/>
    <w:p>
      <w:pPr>
        <w:ind w:firstLine="2350"/>
        <w:spacing w:after="0" w:line="250" w:lineRule="auto"/>
        <w:tabs>
          <w:tab w:leader="none" w:pos="3220" w:val="left"/>
        </w:tabs>
        <w:numPr>
          <w:ilvl w:val="1"/>
          <w:numId w:val="85"/>
        </w:numPr>
        <w:rPr>
          <w:rFonts w:ascii="Arial" w:cs="Arial" w:eastAsia="Arial" w:hAnsi="Arial"/>
          <w:sz w:val="20"/>
          <w:szCs w:val="20"/>
          <w:color w:val="auto"/>
        </w:rPr>
      </w:pPr>
      <w:r>
        <w:rPr>
          <w:rFonts w:ascii="Arial" w:cs="Arial" w:eastAsia="Arial" w:hAnsi="Arial"/>
          <w:sz w:val="22"/>
          <w:szCs w:val="22"/>
          <w:color w:val="auto"/>
        </w:rPr>
        <w:t xml:space="preserve">The Existing Credit Facility Agreement is hereby amended and restated in its entirety in the form attached as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w:t>
      </w:r>
    </w:p>
    <w:p>
      <w:pPr>
        <w:spacing w:after="0" w:line="201" w:lineRule="exact"/>
        <w:rPr>
          <w:rFonts w:ascii="Arial" w:cs="Arial" w:eastAsia="Arial" w:hAnsi="Arial"/>
          <w:sz w:val="20"/>
          <w:szCs w:val="20"/>
          <w:color w:val="auto"/>
        </w:rPr>
      </w:pPr>
    </w:p>
    <w:p>
      <w:pPr>
        <w:ind w:right="20" w:firstLine="2350"/>
        <w:spacing w:after="0" w:line="250" w:lineRule="auto"/>
        <w:tabs>
          <w:tab w:leader="none" w:pos="3209" w:val="left"/>
        </w:tabs>
        <w:numPr>
          <w:ilvl w:val="1"/>
          <w:numId w:val="85"/>
        </w:numPr>
        <w:rPr>
          <w:rFonts w:ascii="Arial" w:cs="Arial" w:eastAsia="Arial" w:hAnsi="Arial"/>
          <w:sz w:val="20"/>
          <w:szCs w:val="20"/>
          <w:color w:val="auto"/>
        </w:rPr>
      </w:pPr>
      <w:r>
        <w:rPr>
          <w:rFonts w:ascii="Arial" w:cs="Arial" w:eastAsia="Arial" w:hAnsi="Arial"/>
          <w:sz w:val="22"/>
          <w:szCs w:val="22"/>
          <w:color w:val="auto"/>
        </w:rPr>
        <w:t xml:space="preserve">Schedule I of the Existing Credit Facility Agreement is hereby amended and restated in its entirety in the form attached as </w:t>
      </w:r>
      <w:r>
        <w:rPr>
          <w:rFonts w:ascii="Arial" w:cs="Arial" w:eastAsia="Arial" w:hAnsi="Arial"/>
          <w:sz w:val="22"/>
          <w:szCs w:val="22"/>
          <w:u w:val="single" w:color="auto"/>
          <w:color w:val="auto"/>
        </w:rPr>
        <w:t>Annex B</w:t>
      </w:r>
      <w:r>
        <w:rPr>
          <w:rFonts w:ascii="Arial" w:cs="Arial" w:eastAsia="Arial" w:hAnsi="Arial"/>
          <w:sz w:val="22"/>
          <w:szCs w:val="22"/>
          <w:color w:val="auto"/>
        </w:rPr>
        <w:t xml:space="preserve"> hereto.</w:t>
      </w:r>
    </w:p>
    <w:p>
      <w:pPr>
        <w:spacing w:after="0" w:line="201" w:lineRule="exact"/>
        <w:rPr>
          <w:rFonts w:ascii="Arial" w:cs="Arial" w:eastAsia="Arial" w:hAnsi="Arial"/>
          <w:sz w:val="20"/>
          <w:szCs w:val="20"/>
          <w:color w:val="auto"/>
        </w:rPr>
      </w:pPr>
    </w:p>
    <w:p>
      <w:pPr>
        <w:ind w:left="3220" w:hanging="870"/>
        <w:spacing w:after="0"/>
        <w:tabs>
          <w:tab w:leader="none" w:pos="3220" w:val="left"/>
        </w:tabs>
        <w:numPr>
          <w:ilvl w:val="1"/>
          <w:numId w:val="85"/>
        </w:numPr>
        <w:rPr>
          <w:rFonts w:ascii="Arial" w:cs="Arial" w:eastAsia="Arial" w:hAnsi="Arial"/>
          <w:sz w:val="18"/>
          <w:szCs w:val="18"/>
          <w:color w:val="auto"/>
        </w:rPr>
      </w:pPr>
      <w:r>
        <w:rPr>
          <w:rFonts w:ascii="Arial" w:cs="Arial" w:eastAsia="Arial" w:hAnsi="Arial"/>
          <w:sz w:val="19"/>
          <w:szCs w:val="19"/>
          <w:color w:val="auto"/>
        </w:rPr>
        <w:t>Exhibit A (Form of Promissory Note) of the Existing Credit Facility Agreement is hereby</w:t>
      </w:r>
    </w:p>
    <w:p>
      <w:pPr>
        <w:spacing w:after="0" w:line="4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 xml:space="preserve">deleted and replaced with Exhibit A (Form of Note) in the form attached as </w:t>
      </w:r>
      <w:r>
        <w:rPr>
          <w:rFonts w:ascii="Arial" w:cs="Arial" w:eastAsia="Arial" w:hAnsi="Arial"/>
          <w:sz w:val="22"/>
          <w:szCs w:val="22"/>
          <w:u w:val="single" w:color="auto"/>
          <w:color w:val="auto"/>
        </w:rPr>
        <w:t>Annex C</w:t>
      </w:r>
      <w:r>
        <w:rPr>
          <w:rFonts w:ascii="Arial" w:cs="Arial" w:eastAsia="Arial" w:hAnsi="Arial"/>
          <w:sz w:val="22"/>
          <w:szCs w:val="22"/>
          <w:color w:val="auto"/>
        </w:rPr>
        <w:t xml:space="preserve"> hereto.</w:t>
      </w:r>
    </w:p>
    <w:p>
      <w:pPr>
        <w:spacing w:after="0" w:line="215" w:lineRule="exact"/>
        <w:rPr>
          <w:rFonts w:ascii="Arial" w:cs="Arial" w:eastAsia="Arial" w:hAnsi="Arial"/>
          <w:sz w:val="18"/>
          <w:szCs w:val="18"/>
          <w:color w:val="auto"/>
        </w:rPr>
      </w:pPr>
    </w:p>
    <w:p>
      <w:pPr>
        <w:ind w:right="280" w:firstLine="2350"/>
        <w:spacing w:after="0" w:line="328" w:lineRule="auto"/>
        <w:tabs>
          <w:tab w:leader="none" w:pos="3209" w:val="left"/>
        </w:tabs>
        <w:numPr>
          <w:ilvl w:val="1"/>
          <w:numId w:val="85"/>
        </w:numPr>
        <w:rPr>
          <w:rFonts w:ascii="Arial" w:cs="Arial" w:eastAsia="Arial" w:hAnsi="Arial"/>
          <w:sz w:val="18"/>
          <w:szCs w:val="18"/>
          <w:color w:val="auto"/>
        </w:rPr>
      </w:pPr>
      <w:r>
        <w:rPr>
          <w:rFonts w:ascii="Arial" w:cs="Arial" w:eastAsia="Arial" w:hAnsi="Arial"/>
          <w:sz w:val="19"/>
          <w:szCs w:val="19"/>
          <w:color w:val="auto"/>
        </w:rPr>
        <w:t xml:space="preserve">Exhibit C (Form of Compliance Certificate) of the Existing Credit Facility Agreement is hereby deleted and replaced with Exhibit C (Form of Compliance Certificate) in the form attached as </w:t>
      </w:r>
      <w:r>
        <w:rPr>
          <w:rFonts w:ascii="Arial" w:cs="Arial" w:eastAsia="Arial" w:hAnsi="Arial"/>
          <w:sz w:val="19"/>
          <w:szCs w:val="19"/>
          <w:u w:val="single" w:color="auto"/>
          <w:color w:val="auto"/>
        </w:rPr>
        <w:t>Annex D</w:t>
      </w:r>
      <w:r>
        <w:rPr>
          <w:rFonts w:ascii="Arial" w:cs="Arial" w:eastAsia="Arial" w:hAnsi="Arial"/>
          <w:sz w:val="19"/>
          <w:szCs w:val="19"/>
          <w:color w:val="auto"/>
        </w:rPr>
        <w:t xml:space="preserve"> hereto.</w:t>
      </w:r>
    </w:p>
    <w:p>
      <w:pPr>
        <w:spacing w:after="0" w:line="131" w:lineRule="exact"/>
        <w:rPr>
          <w:rFonts w:ascii="Arial" w:cs="Arial" w:eastAsia="Arial" w:hAnsi="Arial"/>
          <w:sz w:val="18"/>
          <w:szCs w:val="18"/>
          <w:color w:val="auto"/>
        </w:rPr>
      </w:pPr>
    </w:p>
    <w:p>
      <w:pPr>
        <w:ind w:right="160" w:firstLine="2350"/>
        <w:spacing w:after="0" w:line="250" w:lineRule="auto"/>
        <w:tabs>
          <w:tab w:leader="none" w:pos="3187" w:val="left"/>
        </w:tabs>
        <w:numPr>
          <w:ilvl w:val="1"/>
          <w:numId w:val="85"/>
        </w:numPr>
        <w:rPr>
          <w:rFonts w:ascii="Arial" w:cs="Arial" w:eastAsia="Arial" w:hAnsi="Arial"/>
          <w:sz w:val="20"/>
          <w:szCs w:val="20"/>
          <w:color w:val="auto"/>
        </w:rPr>
      </w:pPr>
      <w:r>
        <w:rPr>
          <w:rFonts w:ascii="Arial" w:cs="Arial" w:eastAsia="Arial" w:hAnsi="Arial"/>
          <w:sz w:val="22"/>
          <w:szCs w:val="22"/>
          <w:color w:val="auto"/>
        </w:rPr>
        <w:t xml:space="preserve">Exhibit G-2 (Form of Mortgage Amendment) of the Existing Credit Facility Agreement is hereby supplemented by the Form of Mortgage Amendment attached as </w:t>
      </w:r>
      <w:r>
        <w:rPr>
          <w:rFonts w:ascii="Arial" w:cs="Arial" w:eastAsia="Arial" w:hAnsi="Arial"/>
          <w:sz w:val="22"/>
          <w:szCs w:val="22"/>
          <w:u w:val="single" w:color="auto"/>
          <w:color w:val="auto"/>
        </w:rPr>
        <w:t>Annex E</w:t>
      </w:r>
      <w:r>
        <w:rPr>
          <w:rFonts w:ascii="Arial" w:cs="Arial" w:eastAsia="Arial" w:hAnsi="Arial"/>
          <w:sz w:val="22"/>
          <w:szCs w:val="22"/>
          <w:color w:val="auto"/>
        </w:rPr>
        <w:t xml:space="preserve"> hereto.</w:t>
      </w:r>
    </w:p>
    <w:p>
      <w:pPr>
        <w:spacing w:after="0" w:line="201" w:lineRule="exact"/>
        <w:rPr>
          <w:rFonts w:ascii="Arial" w:cs="Arial" w:eastAsia="Arial" w:hAnsi="Arial"/>
          <w:sz w:val="20"/>
          <w:szCs w:val="20"/>
          <w:color w:val="auto"/>
        </w:rPr>
      </w:pPr>
    </w:p>
    <w:p>
      <w:pPr>
        <w:ind w:left="3220" w:hanging="870"/>
        <w:spacing w:after="0"/>
        <w:tabs>
          <w:tab w:leader="none" w:pos="3220" w:val="left"/>
        </w:tabs>
        <w:numPr>
          <w:ilvl w:val="1"/>
          <w:numId w:val="85"/>
        </w:numPr>
        <w:rPr>
          <w:rFonts w:ascii="Arial" w:cs="Arial" w:eastAsia="Arial" w:hAnsi="Arial"/>
          <w:sz w:val="18"/>
          <w:szCs w:val="18"/>
          <w:color w:val="auto"/>
        </w:rPr>
      </w:pPr>
      <w:r>
        <w:rPr>
          <w:rFonts w:ascii="Arial" w:cs="Arial" w:eastAsia="Arial" w:hAnsi="Arial"/>
          <w:sz w:val="19"/>
          <w:szCs w:val="19"/>
          <w:color w:val="auto"/>
        </w:rPr>
        <w:t>Exhibit H (Form of Pledge Agreement) of the Existing Credit Facility Agreement is hereby</w:t>
      </w:r>
    </w:p>
    <w:p>
      <w:pPr>
        <w:spacing w:after="0" w:line="4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 xml:space="preserve">deleted and replaced with Exhibit H (Form of Pledge Agreement) in the form attached as </w:t>
      </w:r>
      <w:r>
        <w:rPr>
          <w:rFonts w:ascii="Arial" w:cs="Arial" w:eastAsia="Arial" w:hAnsi="Arial"/>
          <w:sz w:val="22"/>
          <w:szCs w:val="22"/>
          <w:u w:val="single" w:color="auto"/>
          <w:color w:val="auto"/>
        </w:rPr>
        <w:t>Annex F</w:t>
      </w:r>
      <w:r>
        <w:rPr>
          <w:rFonts w:ascii="Arial" w:cs="Arial" w:eastAsia="Arial" w:hAnsi="Arial"/>
          <w:sz w:val="22"/>
          <w:szCs w:val="22"/>
          <w:color w:val="auto"/>
        </w:rPr>
        <w:t xml:space="preserve"> hereto.</w:t>
      </w:r>
    </w:p>
    <w:p>
      <w:pPr>
        <w:spacing w:after="0" w:line="215" w:lineRule="exact"/>
        <w:rPr>
          <w:rFonts w:ascii="Arial" w:cs="Arial" w:eastAsia="Arial" w:hAnsi="Arial"/>
          <w:sz w:val="18"/>
          <w:szCs w:val="18"/>
          <w:color w:val="auto"/>
        </w:rPr>
      </w:pPr>
    </w:p>
    <w:p>
      <w:pPr>
        <w:ind w:right="860" w:firstLine="2350"/>
        <w:spacing w:after="0" w:line="250" w:lineRule="auto"/>
        <w:tabs>
          <w:tab w:leader="none" w:pos="3220" w:val="left"/>
        </w:tabs>
        <w:numPr>
          <w:ilvl w:val="1"/>
          <w:numId w:val="85"/>
        </w:numPr>
        <w:rPr>
          <w:rFonts w:ascii="Arial" w:cs="Arial" w:eastAsia="Arial" w:hAnsi="Arial"/>
          <w:sz w:val="20"/>
          <w:szCs w:val="20"/>
          <w:color w:val="auto"/>
        </w:rPr>
      </w:pPr>
      <w:r>
        <w:rPr>
          <w:rFonts w:ascii="Arial" w:cs="Arial" w:eastAsia="Arial" w:hAnsi="Arial"/>
          <w:sz w:val="22"/>
          <w:szCs w:val="22"/>
          <w:color w:val="auto"/>
        </w:rPr>
        <w:t>Exhibits I-1, Exhibit I-2, Exhibit I-3 and Exhibit I-4 of the Existing Credit Facility Agreement are hereby deleted in their entirety.</w:t>
      </w:r>
    </w:p>
    <w:p>
      <w:pPr>
        <w:spacing w:after="0" w:line="201" w:lineRule="exact"/>
        <w:rPr>
          <w:rFonts w:ascii="Arial" w:cs="Arial" w:eastAsia="Arial" w:hAnsi="Arial"/>
          <w:sz w:val="20"/>
          <w:szCs w:val="20"/>
          <w:color w:val="auto"/>
        </w:rPr>
      </w:pPr>
    </w:p>
    <w:p>
      <w:pPr>
        <w:ind w:right="160" w:firstLine="3130"/>
        <w:spacing w:after="0" w:line="250" w:lineRule="auto"/>
        <w:tabs>
          <w:tab w:leader="none" w:pos="3957" w:val="left"/>
        </w:tabs>
        <w:numPr>
          <w:ilvl w:val="2"/>
          <w:numId w:val="85"/>
        </w:numPr>
        <w:rPr>
          <w:rFonts w:ascii="Arial" w:cs="Arial" w:eastAsia="Arial" w:hAnsi="Arial"/>
          <w:sz w:val="20"/>
          <w:szCs w:val="20"/>
          <w:color w:val="auto"/>
        </w:rPr>
      </w:pPr>
      <w:r>
        <w:rPr>
          <w:rFonts w:ascii="Arial" w:cs="Arial" w:eastAsia="Arial" w:hAnsi="Arial"/>
          <w:sz w:val="22"/>
          <w:szCs w:val="22"/>
          <w:color w:val="auto"/>
        </w:rPr>
        <w:t xml:space="preserve">A new Exhibit L (Form of Guaranty) is added to the Existing Credit Facility Agreement in the form attached hereto as </w:t>
      </w:r>
      <w:r>
        <w:rPr>
          <w:rFonts w:ascii="Arial" w:cs="Arial" w:eastAsia="Arial" w:hAnsi="Arial"/>
          <w:sz w:val="22"/>
          <w:szCs w:val="22"/>
          <w:u w:val="single" w:color="auto"/>
          <w:color w:val="auto"/>
        </w:rPr>
        <w:t>Annex G</w:t>
      </w:r>
      <w:r>
        <w:rPr>
          <w:rFonts w:ascii="Arial" w:cs="Arial" w:eastAsia="Arial" w:hAnsi="Arial"/>
          <w:sz w:val="22"/>
          <w:szCs w:val="22"/>
          <w:color w:val="auto"/>
        </w:rPr>
        <w:t>.</w:t>
      </w:r>
    </w:p>
    <w:p>
      <w:pPr>
        <w:spacing w:after="0" w:line="201" w:lineRule="exact"/>
        <w:rPr>
          <w:rFonts w:ascii="Arial" w:cs="Arial" w:eastAsia="Arial" w:hAnsi="Arial"/>
          <w:sz w:val="20"/>
          <w:szCs w:val="20"/>
          <w:color w:val="auto"/>
        </w:rPr>
      </w:pPr>
    </w:p>
    <w:p>
      <w:pPr>
        <w:ind w:firstLine="1569"/>
        <w:spacing w:after="0"/>
        <w:tabs>
          <w:tab w:leader="none" w:pos="2357" w:val="left"/>
        </w:tabs>
        <w:numPr>
          <w:ilvl w:val="0"/>
          <w:numId w:val="86"/>
        </w:numPr>
        <w:rPr>
          <w:rFonts w:ascii="Arial" w:cs="Arial" w:eastAsia="Arial" w:hAnsi="Arial"/>
          <w:sz w:val="20"/>
          <w:szCs w:val="20"/>
          <w:color w:val="auto"/>
        </w:rPr>
      </w:pPr>
      <w:r>
        <w:rPr>
          <w:rFonts w:ascii="Arial" w:cs="Arial" w:eastAsia="Arial" w:hAnsi="Arial"/>
          <w:sz w:val="22"/>
          <w:szCs w:val="22"/>
          <w:u w:val="single" w:color="auto"/>
          <w:color w:val="auto"/>
        </w:rPr>
        <w:t>Conditions to the Effectiveness of this Amendment</w:t>
      </w:r>
      <w:r>
        <w:rPr>
          <w:rFonts w:ascii="Arial" w:cs="Arial" w:eastAsia="Arial" w:hAnsi="Arial"/>
          <w:sz w:val="22"/>
          <w:szCs w:val="22"/>
          <w:color w:val="auto"/>
        </w:rPr>
        <w:t>. This Amendment shall become effective simultaneously with the consummation of the Transaction provided that each of the following conditions have been satisfied (the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213" w:lineRule="exact"/>
        <w:rPr>
          <w:rFonts w:ascii="Arial" w:cs="Arial" w:eastAsia="Arial" w:hAnsi="Arial"/>
          <w:sz w:val="20"/>
          <w:szCs w:val="20"/>
          <w:color w:val="auto"/>
        </w:rPr>
      </w:pPr>
    </w:p>
    <w:p>
      <w:pPr>
        <w:ind w:left="3220" w:hanging="870"/>
        <w:spacing w:after="0"/>
        <w:tabs>
          <w:tab w:leader="none" w:pos="3220" w:val="left"/>
        </w:tabs>
        <w:numPr>
          <w:ilvl w:val="1"/>
          <w:numId w:val="86"/>
        </w:numPr>
        <w:rPr>
          <w:rFonts w:ascii="Arial" w:cs="Arial" w:eastAsia="Arial" w:hAnsi="Arial"/>
          <w:sz w:val="18"/>
          <w:szCs w:val="18"/>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The parties hereto shall have duly executed and delivered this Amendment.</w:t>
      </w:r>
    </w:p>
    <w:p>
      <w:pPr>
        <w:spacing w:after="0" w:line="267" w:lineRule="exact"/>
        <w:rPr>
          <w:rFonts w:ascii="Arial" w:cs="Arial" w:eastAsia="Arial" w:hAnsi="Arial"/>
          <w:sz w:val="18"/>
          <w:szCs w:val="18"/>
          <w:color w:val="auto"/>
        </w:rPr>
      </w:pPr>
    </w:p>
    <w:p>
      <w:pPr>
        <w:ind w:right="400" w:firstLine="2350"/>
        <w:spacing w:after="0" w:line="328" w:lineRule="auto"/>
        <w:tabs>
          <w:tab w:leader="none" w:pos="3220" w:val="left"/>
        </w:tabs>
        <w:numPr>
          <w:ilvl w:val="1"/>
          <w:numId w:val="86"/>
        </w:numPr>
        <w:rPr>
          <w:rFonts w:ascii="Arial" w:cs="Arial" w:eastAsia="Arial" w:hAnsi="Arial"/>
          <w:sz w:val="18"/>
          <w:szCs w:val="18"/>
          <w:color w:val="auto"/>
        </w:rPr>
      </w:pPr>
      <w:r>
        <w:rPr>
          <w:rFonts w:ascii="Arial" w:cs="Arial" w:eastAsia="Arial" w:hAnsi="Arial"/>
          <w:sz w:val="19"/>
          <w:szCs w:val="19"/>
          <w:u w:val="single" w:color="auto"/>
          <w:color w:val="auto"/>
        </w:rPr>
        <w:t>Borrowers and Guarantor Authority</w:t>
      </w:r>
      <w:r>
        <w:rPr>
          <w:rFonts w:ascii="Arial" w:cs="Arial" w:eastAsia="Arial" w:hAnsi="Arial"/>
          <w:sz w:val="19"/>
          <w:szCs w:val="19"/>
          <w:color w:val="auto"/>
        </w:rPr>
        <w:t>. The Administrative Agent shall have received the following documents in form and substance satisfactory to the Administrative Agent and its legal advisers:</w:t>
      </w:r>
    </w:p>
    <w:p>
      <w:pPr>
        <w:spacing w:after="0" w:line="131" w:lineRule="exact"/>
        <w:rPr>
          <w:rFonts w:ascii="Arial" w:cs="Arial" w:eastAsia="Arial" w:hAnsi="Arial"/>
          <w:sz w:val="18"/>
          <w:szCs w:val="18"/>
          <w:color w:val="auto"/>
        </w:rPr>
      </w:pPr>
    </w:p>
    <w:p>
      <w:pPr>
        <w:ind w:left="3960" w:hanging="830"/>
        <w:spacing w:after="0"/>
        <w:tabs>
          <w:tab w:leader="none" w:pos="3960" w:val="left"/>
        </w:tabs>
        <w:numPr>
          <w:ilvl w:val="2"/>
          <w:numId w:val="86"/>
        </w:numPr>
        <w:rPr>
          <w:rFonts w:ascii="Arial" w:cs="Arial" w:eastAsia="Arial" w:hAnsi="Arial"/>
          <w:sz w:val="18"/>
          <w:szCs w:val="18"/>
          <w:color w:val="auto"/>
        </w:rPr>
      </w:pPr>
      <w:r>
        <w:rPr>
          <w:rFonts w:ascii="Arial" w:cs="Arial" w:eastAsia="Arial" w:hAnsi="Arial"/>
          <w:sz w:val="19"/>
          <w:szCs w:val="19"/>
          <w:color w:val="auto"/>
        </w:rPr>
        <w:t>copies, certified as true and complete by an officer of each of the Borrowers and</w:t>
      </w:r>
    </w:p>
    <w:p>
      <w:pPr>
        <w:spacing w:after="0" w:line="42" w:lineRule="exact"/>
        <w:rPr>
          <w:rFonts w:ascii="Arial" w:cs="Arial" w:eastAsia="Arial" w:hAnsi="Arial"/>
          <w:sz w:val="18"/>
          <w:szCs w:val="18"/>
          <w:color w:val="auto"/>
        </w:rPr>
      </w:pPr>
    </w:p>
    <w:p>
      <w:pPr>
        <w:ind w:right="160"/>
        <w:spacing w:after="0" w:line="248" w:lineRule="auto"/>
        <w:rPr>
          <w:rFonts w:ascii="Arial" w:cs="Arial" w:eastAsia="Arial" w:hAnsi="Arial"/>
          <w:sz w:val="18"/>
          <w:szCs w:val="18"/>
          <w:color w:val="auto"/>
        </w:rPr>
      </w:pPr>
      <w:r>
        <w:rPr>
          <w:rFonts w:ascii="Arial" w:cs="Arial" w:eastAsia="Arial" w:hAnsi="Arial"/>
          <w:sz w:val="21"/>
          <w:szCs w:val="21"/>
          <w:color w:val="auto"/>
        </w:rPr>
        <w:t>Guarantor, of the resolutions of the directors, members or managers thereof and resolutions of the partners, members, or shareholders thereof evidencing approval of the Transaction Documents to which each is a party and authorizing an appropriate officer or officers or attorney-in-fact or attorneys-in-fact to execute the same on its behalf;</w:t>
      </w:r>
    </w:p>
    <w:p>
      <w:pPr>
        <w:spacing w:after="0" w:line="205" w:lineRule="exact"/>
        <w:rPr>
          <w:rFonts w:ascii="Arial" w:cs="Arial" w:eastAsia="Arial" w:hAnsi="Arial"/>
          <w:sz w:val="18"/>
          <w:szCs w:val="18"/>
          <w:color w:val="auto"/>
        </w:rPr>
      </w:pPr>
    </w:p>
    <w:p>
      <w:pPr>
        <w:ind w:left="4020" w:hanging="890"/>
        <w:spacing w:after="0"/>
        <w:tabs>
          <w:tab w:leader="none" w:pos="4020" w:val="left"/>
        </w:tabs>
        <w:numPr>
          <w:ilvl w:val="2"/>
          <w:numId w:val="86"/>
        </w:numPr>
        <w:rPr>
          <w:rFonts w:ascii="Arial" w:cs="Arial" w:eastAsia="Arial" w:hAnsi="Arial"/>
          <w:sz w:val="18"/>
          <w:szCs w:val="18"/>
          <w:color w:val="auto"/>
        </w:rPr>
      </w:pPr>
      <w:r>
        <w:rPr>
          <w:rFonts w:ascii="Arial" w:cs="Arial" w:eastAsia="Arial" w:hAnsi="Arial"/>
          <w:sz w:val="19"/>
          <w:szCs w:val="19"/>
          <w:color w:val="auto"/>
        </w:rPr>
        <w:t>copies, certified as true and complete by an officer of each of the Borrowers and</w:t>
      </w:r>
    </w:p>
    <w:p>
      <w:pPr>
        <w:spacing w:after="0" w:line="42" w:lineRule="exact"/>
        <w:rPr>
          <w:rFonts w:ascii="Arial" w:cs="Arial" w:eastAsia="Arial" w:hAnsi="Arial"/>
          <w:sz w:val="18"/>
          <w:szCs w:val="18"/>
          <w:color w:val="auto"/>
        </w:rPr>
      </w:pPr>
    </w:p>
    <w:p>
      <w:pPr>
        <w:ind w:right="680"/>
        <w:spacing w:after="0" w:line="308" w:lineRule="auto"/>
        <w:rPr>
          <w:rFonts w:ascii="Arial" w:cs="Arial" w:eastAsia="Arial" w:hAnsi="Arial"/>
          <w:sz w:val="18"/>
          <w:szCs w:val="18"/>
          <w:color w:val="auto"/>
        </w:rPr>
      </w:pPr>
      <w:r>
        <w:rPr>
          <w:rFonts w:ascii="Arial" w:cs="Arial" w:eastAsia="Arial" w:hAnsi="Arial"/>
          <w:sz w:val="19"/>
          <w:szCs w:val="19"/>
          <w:color w:val="auto"/>
        </w:rPr>
        <w:t>Guarantor, of the certificate of formation, certificate of incorporation, the operating agreement, limited liability company agreement, bylaws or management agreement, as the case may be, or equivalent constituent document thereof;</w:t>
      </w:r>
    </w:p>
    <w:p>
      <w:pPr>
        <w:spacing w:after="0" w:line="150" w:lineRule="exact"/>
        <w:rPr>
          <w:rFonts w:ascii="Arial" w:cs="Arial" w:eastAsia="Arial" w:hAnsi="Arial"/>
          <w:sz w:val="18"/>
          <w:szCs w:val="18"/>
          <w:color w:val="auto"/>
        </w:rPr>
      </w:pPr>
    </w:p>
    <w:p>
      <w:pPr>
        <w:ind w:right="80" w:firstLine="3130"/>
        <w:spacing w:after="0" w:line="250" w:lineRule="auto"/>
        <w:tabs>
          <w:tab w:leader="none" w:pos="4067" w:val="left"/>
        </w:tabs>
        <w:numPr>
          <w:ilvl w:val="2"/>
          <w:numId w:val="86"/>
        </w:numPr>
        <w:rPr>
          <w:rFonts w:ascii="Arial" w:cs="Arial" w:eastAsia="Arial" w:hAnsi="Arial"/>
          <w:sz w:val="20"/>
          <w:szCs w:val="20"/>
          <w:color w:val="auto"/>
        </w:rPr>
      </w:pPr>
      <w:r>
        <w:rPr>
          <w:rFonts w:ascii="Arial" w:cs="Arial" w:eastAsia="Arial" w:hAnsi="Arial"/>
          <w:sz w:val="22"/>
          <w:szCs w:val="22"/>
          <w:color w:val="auto"/>
        </w:rPr>
        <w:t>copies, certified as true and complete by an officer of each of the Borrowers and Guarantor, of the names and true signatures of the officers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577" w:right="439" w:bottom="1440" w:gutter="0" w:footer="0" w:header="0"/>
        </w:sectPr>
      </w:pPr>
    </w:p>
    <w:bookmarkStart w:id="127" w:name="page128"/>
    <w:bookmarkEnd w:id="127"/>
    <w:p>
      <w:pPr>
        <w:ind w:right="200" w:firstLine="3122"/>
        <w:spacing w:after="0" w:line="250" w:lineRule="auto"/>
        <w:rPr>
          <w:sz w:val="20"/>
          <w:szCs w:val="20"/>
          <w:color w:val="auto"/>
        </w:rPr>
      </w:pPr>
      <w:r>
        <w:rPr>
          <w:rFonts w:ascii="Arial" w:cs="Arial" w:eastAsia="Arial" w:hAnsi="Arial"/>
          <w:sz w:val="22"/>
          <w:szCs w:val="22"/>
          <w:color w:val="auto"/>
        </w:rPr>
        <w:t>Borrowers and Guarantor authorized to sign each Transaction Document to which it is or is to be a party and the other documents to be delivered hereunder and thereunder;</w:t>
      </w:r>
    </w:p>
    <w:p>
      <w:pPr>
        <w:spacing w:after="0" w:line="202" w:lineRule="exact"/>
        <w:rPr>
          <w:sz w:val="20"/>
          <w:szCs w:val="20"/>
          <w:color w:val="auto"/>
        </w:rPr>
      </w:pPr>
    </w:p>
    <w:p>
      <w:pPr>
        <w:ind w:left="4060" w:hanging="930"/>
        <w:spacing w:after="0"/>
        <w:tabs>
          <w:tab w:leader="none" w:pos="4060" w:val="left"/>
        </w:tabs>
        <w:numPr>
          <w:ilvl w:val="1"/>
          <w:numId w:val="87"/>
        </w:numPr>
        <w:rPr>
          <w:rFonts w:ascii="Arial" w:cs="Arial" w:eastAsia="Arial" w:hAnsi="Arial"/>
          <w:sz w:val="19"/>
          <w:szCs w:val="19"/>
          <w:color w:val="auto"/>
        </w:rPr>
      </w:pPr>
      <w:r>
        <w:rPr>
          <w:rFonts w:ascii="Arial" w:cs="Arial" w:eastAsia="Arial" w:hAnsi="Arial"/>
          <w:sz w:val="21"/>
          <w:szCs w:val="21"/>
          <w:color w:val="auto"/>
        </w:rPr>
        <w:t>certificate of an authorized officer of each of the Borrowers and Guarantor</w:t>
      </w:r>
    </w:p>
    <w:p>
      <w:pPr>
        <w:spacing w:after="0" w:line="1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certifying as to the record ownership of all of its issued and outstanding shares or membership interests, as the case may be;</w:t>
      </w:r>
    </w:p>
    <w:p>
      <w:pPr>
        <w:spacing w:after="0" w:line="249" w:lineRule="exact"/>
        <w:rPr>
          <w:rFonts w:ascii="Arial" w:cs="Arial" w:eastAsia="Arial" w:hAnsi="Arial"/>
          <w:sz w:val="19"/>
          <w:szCs w:val="19"/>
          <w:color w:val="auto"/>
        </w:rPr>
      </w:pPr>
    </w:p>
    <w:p>
      <w:pPr>
        <w:ind w:left="4000" w:hanging="870"/>
        <w:spacing w:after="0"/>
        <w:tabs>
          <w:tab w:leader="none" w:pos="4000" w:val="left"/>
        </w:tabs>
        <w:numPr>
          <w:ilvl w:val="1"/>
          <w:numId w:val="87"/>
        </w:numPr>
        <w:rPr>
          <w:rFonts w:ascii="Arial" w:cs="Arial" w:eastAsia="Arial" w:hAnsi="Arial"/>
          <w:sz w:val="19"/>
          <w:szCs w:val="19"/>
          <w:color w:val="auto"/>
        </w:rPr>
      </w:pPr>
      <w:r>
        <w:rPr>
          <w:rFonts w:ascii="Arial" w:cs="Arial" w:eastAsia="Arial" w:hAnsi="Arial"/>
          <w:sz w:val="21"/>
          <w:szCs w:val="21"/>
          <w:color w:val="auto"/>
        </w:rPr>
        <w:t>certificate of the jurisdiction of the Borrowers and Guarantor as to the good</w:t>
      </w:r>
    </w:p>
    <w:p>
      <w:pPr>
        <w:spacing w:after="0" w:line="1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standing thereof; and</w:t>
      </w:r>
    </w:p>
    <w:p>
      <w:pPr>
        <w:spacing w:after="0" w:line="215" w:lineRule="exact"/>
        <w:rPr>
          <w:rFonts w:ascii="Arial" w:cs="Arial" w:eastAsia="Arial" w:hAnsi="Arial"/>
          <w:sz w:val="19"/>
          <w:szCs w:val="19"/>
          <w:color w:val="auto"/>
        </w:rPr>
      </w:pPr>
    </w:p>
    <w:p>
      <w:pPr>
        <w:ind w:left="4060" w:hanging="930"/>
        <w:spacing w:after="0"/>
        <w:tabs>
          <w:tab w:leader="none" w:pos="4060" w:val="left"/>
        </w:tabs>
        <w:numPr>
          <w:ilvl w:val="1"/>
          <w:numId w:val="87"/>
        </w:numPr>
        <w:rPr>
          <w:rFonts w:ascii="Arial" w:cs="Arial" w:eastAsia="Arial" w:hAnsi="Arial"/>
          <w:sz w:val="19"/>
          <w:szCs w:val="19"/>
          <w:color w:val="auto"/>
        </w:rPr>
      </w:pPr>
      <w:r>
        <w:rPr>
          <w:rFonts w:ascii="Arial" w:cs="Arial" w:eastAsia="Arial" w:hAnsi="Arial"/>
          <w:sz w:val="21"/>
          <w:szCs w:val="21"/>
          <w:color w:val="auto"/>
        </w:rPr>
        <w:t>a certificate signed by the Chairman, President, Executive Vice President,</w:t>
      </w:r>
    </w:p>
    <w:p>
      <w:pPr>
        <w:spacing w:after="0" w:line="19" w:lineRule="exact"/>
        <w:rPr>
          <w:rFonts w:ascii="Arial" w:cs="Arial" w:eastAsia="Arial" w:hAnsi="Arial"/>
          <w:sz w:val="19"/>
          <w:szCs w:val="19"/>
          <w:color w:val="auto"/>
        </w:rPr>
      </w:pPr>
    </w:p>
    <w:p>
      <w:pPr>
        <w:ind w:right="320"/>
        <w:spacing w:after="0" w:line="287" w:lineRule="auto"/>
        <w:rPr>
          <w:rFonts w:ascii="Arial" w:cs="Arial" w:eastAsia="Arial" w:hAnsi="Arial"/>
          <w:sz w:val="19"/>
          <w:szCs w:val="19"/>
          <w:color w:val="auto"/>
        </w:rPr>
      </w:pPr>
      <w:r>
        <w:rPr>
          <w:rFonts w:ascii="Arial" w:cs="Arial" w:eastAsia="Arial" w:hAnsi="Arial"/>
          <w:sz w:val="19"/>
          <w:szCs w:val="19"/>
          <w:color w:val="auto"/>
        </w:rPr>
        <w:t>Treasurer, Comptroller, Controller or chief financial officer of each of the Borrowers and Guarantor to the effect that (A) no Default or Event of Default shall have occurred and be continuing and (B) the representations and warranties of the Borrowers and Guarantor contained in the Credit Facility Agreement are true and correct as of the date of such certificate.</w:t>
      </w:r>
    </w:p>
    <w:p>
      <w:pPr>
        <w:spacing w:after="0" w:line="170" w:lineRule="exact"/>
        <w:rPr>
          <w:rFonts w:ascii="Arial" w:cs="Arial" w:eastAsia="Arial" w:hAnsi="Arial"/>
          <w:sz w:val="19"/>
          <w:szCs w:val="19"/>
          <w:color w:val="auto"/>
        </w:rPr>
      </w:pPr>
    </w:p>
    <w:p>
      <w:pPr>
        <w:ind w:right="140" w:firstLine="2350"/>
        <w:spacing w:after="0" w:line="236" w:lineRule="auto"/>
        <w:tabs>
          <w:tab w:leader="none" w:pos="3209" w:val="left"/>
        </w:tabs>
        <w:numPr>
          <w:ilvl w:val="0"/>
          <w:numId w:val="88"/>
        </w:numPr>
        <w:rPr>
          <w:rFonts w:ascii="Arial" w:cs="Arial" w:eastAsia="Arial" w:hAnsi="Arial"/>
          <w:sz w:val="20"/>
          <w:szCs w:val="20"/>
          <w:color w:val="auto"/>
        </w:rPr>
      </w:pPr>
      <w:r>
        <w:rPr>
          <w:rFonts w:ascii="Arial" w:cs="Arial" w:eastAsia="Arial" w:hAnsi="Arial"/>
          <w:sz w:val="22"/>
          <w:szCs w:val="22"/>
          <w:u w:val="single" w:color="auto"/>
          <w:color w:val="auto"/>
        </w:rPr>
        <w:t>The Notes</w:t>
      </w:r>
      <w:r>
        <w:rPr>
          <w:rFonts w:ascii="Arial" w:cs="Arial" w:eastAsia="Arial" w:hAnsi="Arial"/>
          <w:sz w:val="22"/>
          <w:szCs w:val="22"/>
          <w:color w:val="auto"/>
        </w:rPr>
        <w:t>. Each of the Borrowers shall have duly executed and delivered each of the Notes to the Administrative Agent (for distribution to the Lenders) and the Lenders shall have marked each of the notes, if any, issued by the Existing Borrowers pursuant to the terms of the Existing Credit Facility Agreement as “Cancelled” immediately upon its receipt of a new Note under this paragraph (c), and use commercially reasonable efforts to return such previously issued notes to the Existing Borrower.</w:t>
      </w:r>
    </w:p>
    <w:p>
      <w:pPr>
        <w:spacing w:after="0" w:line="214" w:lineRule="exact"/>
        <w:rPr>
          <w:rFonts w:ascii="Arial" w:cs="Arial" w:eastAsia="Arial" w:hAnsi="Arial"/>
          <w:sz w:val="20"/>
          <w:szCs w:val="20"/>
          <w:color w:val="auto"/>
        </w:rPr>
      </w:pPr>
    </w:p>
    <w:p>
      <w:pPr>
        <w:ind w:right="40" w:firstLine="2350"/>
        <w:spacing w:after="0" w:line="248" w:lineRule="auto"/>
        <w:tabs>
          <w:tab w:leader="none" w:pos="3220" w:val="left"/>
        </w:tabs>
        <w:numPr>
          <w:ilvl w:val="0"/>
          <w:numId w:val="88"/>
        </w:numPr>
        <w:rPr>
          <w:rFonts w:ascii="Arial" w:cs="Arial" w:eastAsia="Arial" w:hAnsi="Arial"/>
          <w:sz w:val="19"/>
          <w:szCs w:val="19"/>
          <w:color w:val="auto"/>
        </w:rPr>
      </w:pPr>
      <w:r>
        <w:rPr>
          <w:rFonts w:ascii="Arial" w:cs="Arial" w:eastAsia="Arial" w:hAnsi="Arial"/>
          <w:sz w:val="21"/>
          <w:szCs w:val="21"/>
          <w:u w:val="single" w:color="auto"/>
          <w:color w:val="auto"/>
        </w:rPr>
        <w:t>Mortgage Amendments.</w:t>
      </w:r>
      <w:r>
        <w:rPr>
          <w:rFonts w:ascii="Arial" w:cs="Arial" w:eastAsia="Arial" w:hAnsi="Arial"/>
          <w:sz w:val="21"/>
          <w:szCs w:val="21"/>
          <w:color w:val="auto"/>
        </w:rPr>
        <w:t xml:space="preserve"> The Administrative Agent shall have received satisfactory evidence that (i) an amendment to each of the Mortgages covering the Vessels has been submitted for filing on the Effective Date with the appropriate authorities for the United States or Marshall Islands, as applicable, reflecting the terms of this Amendment, and (ii) that each such mortgage amendment has been recorded by such relevant authorities no later than thirty (30) days following the Effective Date hereof and continues to constitutes a first priority mortgage lien securing, among other things, the Credit Facility Agreement, as amended and restated hereby.</w:t>
      </w:r>
    </w:p>
    <w:p>
      <w:pPr>
        <w:spacing w:after="0" w:line="203" w:lineRule="exact"/>
        <w:rPr>
          <w:rFonts w:ascii="Arial" w:cs="Arial" w:eastAsia="Arial" w:hAnsi="Arial"/>
          <w:sz w:val="19"/>
          <w:szCs w:val="19"/>
          <w:color w:val="auto"/>
        </w:rPr>
      </w:pPr>
    </w:p>
    <w:p>
      <w:pPr>
        <w:ind w:right="140" w:firstLine="2350"/>
        <w:spacing w:after="0" w:line="238" w:lineRule="auto"/>
        <w:tabs>
          <w:tab w:leader="none" w:pos="3209" w:val="left"/>
        </w:tabs>
        <w:numPr>
          <w:ilvl w:val="0"/>
          <w:numId w:val="88"/>
        </w:numPr>
        <w:rPr>
          <w:rFonts w:ascii="Arial" w:cs="Arial" w:eastAsia="Arial" w:hAnsi="Arial"/>
          <w:sz w:val="20"/>
          <w:szCs w:val="20"/>
          <w:color w:val="auto"/>
        </w:rPr>
      </w:pPr>
      <w:r>
        <w:rPr>
          <w:rFonts w:ascii="Arial" w:cs="Arial" w:eastAsia="Arial" w:hAnsi="Arial"/>
          <w:sz w:val="22"/>
          <w:szCs w:val="22"/>
          <w:u w:val="single" w:color="auto"/>
          <w:color w:val="auto"/>
        </w:rPr>
        <w:t>Pledge Agreement</w:t>
      </w:r>
      <w:r>
        <w:rPr>
          <w:rFonts w:ascii="Arial" w:cs="Arial" w:eastAsia="Arial" w:hAnsi="Arial"/>
          <w:sz w:val="22"/>
          <w:szCs w:val="22"/>
          <w:color w:val="auto"/>
        </w:rPr>
        <w:t>. The Incoming Borrower shall have executed and delivered to the Administrative Agent the Pledge Agreement together with (i) the Pledged Interests of each Borrower (other than the Partnership and the Incoming Borrower) and (ii) instruments of transfer, proxies and any and all other documents or instruments required by the Pledge Agreement.</w:t>
      </w:r>
    </w:p>
    <w:p>
      <w:pPr>
        <w:spacing w:after="0" w:line="211" w:lineRule="exact"/>
        <w:rPr>
          <w:rFonts w:ascii="Arial" w:cs="Arial" w:eastAsia="Arial" w:hAnsi="Arial"/>
          <w:sz w:val="20"/>
          <w:szCs w:val="20"/>
          <w:color w:val="auto"/>
        </w:rPr>
      </w:pPr>
    </w:p>
    <w:p>
      <w:pPr>
        <w:ind w:left="3200" w:hanging="850"/>
        <w:spacing w:after="0"/>
        <w:tabs>
          <w:tab w:leader="none" w:pos="3200" w:val="left"/>
        </w:tabs>
        <w:numPr>
          <w:ilvl w:val="0"/>
          <w:numId w:val="88"/>
        </w:numPr>
        <w:rPr>
          <w:rFonts w:ascii="Arial" w:cs="Arial" w:eastAsia="Arial" w:hAnsi="Arial"/>
          <w:sz w:val="20"/>
          <w:szCs w:val="20"/>
          <w:color w:val="auto"/>
        </w:rPr>
      </w:pPr>
      <w:r>
        <w:rPr>
          <w:rFonts w:ascii="Arial" w:cs="Arial" w:eastAsia="Arial" w:hAnsi="Arial"/>
          <w:sz w:val="22"/>
          <w:szCs w:val="22"/>
          <w:u w:val="single" w:color="auto"/>
          <w:color w:val="auto"/>
        </w:rPr>
        <w:t>Guaranty</w:t>
      </w:r>
      <w:r>
        <w:rPr>
          <w:rFonts w:ascii="Arial" w:cs="Arial" w:eastAsia="Arial" w:hAnsi="Arial"/>
          <w:sz w:val="22"/>
          <w:szCs w:val="22"/>
          <w:color w:val="auto"/>
        </w:rPr>
        <w:t>. The Guarantor shall have executed and delivered the Guaranty to the</w:t>
      </w:r>
    </w:p>
    <w:p>
      <w:pPr>
        <w:spacing w:after="0" w:line="8"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2"/>
          <w:szCs w:val="22"/>
          <w:color w:val="auto"/>
        </w:rPr>
        <w:t>Administrative Agent.</w:t>
      </w:r>
    </w:p>
    <w:p>
      <w:pPr>
        <w:spacing w:after="0" w:line="215" w:lineRule="exact"/>
        <w:rPr>
          <w:rFonts w:ascii="Arial" w:cs="Arial" w:eastAsia="Arial" w:hAnsi="Arial"/>
          <w:sz w:val="20"/>
          <w:szCs w:val="20"/>
          <w:color w:val="auto"/>
        </w:rPr>
      </w:pPr>
    </w:p>
    <w:p>
      <w:pPr>
        <w:ind w:firstLine="2350"/>
        <w:spacing w:after="0" w:line="234" w:lineRule="auto"/>
        <w:tabs>
          <w:tab w:leader="none" w:pos="3220" w:val="left"/>
        </w:tabs>
        <w:numPr>
          <w:ilvl w:val="0"/>
          <w:numId w:val="88"/>
        </w:numPr>
        <w:rPr>
          <w:rFonts w:ascii="Arial" w:cs="Arial" w:eastAsia="Arial" w:hAnsi="Arial"/>
          <w:sz w:val="20"/>
          <w:szCs w:val="20"/>
          <w:color w:val="auto"/>
        </w:rPr>
      </w:pPr>
      <w:r>
        <w:rPr>
          <w:rFonts w:ascii="Arial" w:cs="Arial" w:eastAsia="Arial" w:hAnsi="Arial"/>
          <w:sz w:val="22"/>
          <w:szCs w:val="22"/>
          <w:u w:val="single" w:color="auto"/>
          <w:color w:val="auto"/>
        </w:rPr>
        <w:t>Legal Opinions</w:t>
      </w:r>
      <w:r>
        <w:rPr>
          <w:rFonts w:ascii="Arial" w:cs="Arial" w:eastAsia="Arial" w:hAnsi="Arial"/>
          <w:sz w:val="22"/>
          <w:szCs w:val="22"/>
          <w:color w:val="auto"/>
        </w:rPr>
        <w:t>. The Administrative Agent, on behalf of the Agents and the Lenders, shall have received opinions addressed to the Administrative Agent from Watson Farley &amp; Williams LLP, special counsel to the Security Parties for this transaction, in such form as the Administrative Agent may require, as well as such other legal opinions as the Lenders shall have required as to all or any matters under the laws of the State of Delaware, the State of New York, the Republic of the Marshall Islands, the United States of America and such other jurisdictions as the Administrative Agent may deem relevant, covering certain of the representations and warranties and conditions which are the subjects of Sections 2 and 4 of the Credit Facility Agreement,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28" w:name="page129"/>
    <w:bookmarkEnd w:id="128"/>
    <w:p>
      <w:pPr>
        <w:ind w:firstLine="2350"/>
        <w:spacing w:after="0" w:line="252" w:lineRule="auto"/>
        <w:tabs>
          <w:tab w:leader="none" w:pos="3220" w:val="left"/>
        </w:tabs>
        <w:numPr>
          <w:ilvl w:val="1"/>
          <w:numId w:val="89"/>
        </w:numPr>
        <w:rPr>
          <w:rFonts w:ascii="Arial" w:cs="Arial" w:eastAsia="Arial" w:hAnsi="Arial"/>
          <w:sz w:val="19"/>
          <w:szCs w:val="19"/>
          <w:color w:val="auto"/>
        </w:rPr>
      </w:pPr>
      <w:r>
        <w:rPr>
          <w:rFonts w:ascii="Arial" w:cs="Arial" w:eastAsia="Arial" w:hAnsi="Arial"/>
          <w:sz w:val="21"/>
          <w:szCs w:val="21"/>
          <w:u w:val="single" w:color="auto"/>
          <w:color w:val="auto"/>
        </w:rPr>
        <w:t>Fees</w:t>
      </w:r>
      <w:r>
        <w:rPr>
          <w:rFonts w:ascii="Arial" w:cs="Arial" w:eastAsia="Arial" w:hAnsi="Arial"/>
          <w:sz w:val="21"/>
          <w:szCs w:val="21"/>
          <w:color w:val="auto"/>
        </w:rPr>
        <w:t>. The Borrowers shall have paid on or before the Effective Date (i) an amendment fee to the Administrative Agent, for the ratable benefit of the Lenders, in an amount equal to 50 basis points on the total amount of the Facility as of the Effective Date, which fee shall be deemed earned in full on the Effective Date and shall be nonrefundable, and (ii) any outstanding fees due to the Creditors under the Credit Facility Agreement.</w:t>
      </w:r>
    </w:p>
    <w:p>
      <w:pPr>
        <w:spacing w:after="0" w:line="200" w:lineRule="exact"/>
        <w:rPr>
          <w:rFonts w:ascii="Arial" w:cs="Arial" w:eastAsia="Arial" w:hAnsi="Arial"/>
          <w:sz w:val="19"/>
          <w:szCs w:val="19"/>
          <w:color w:val="auto"/>
        </w:rPr>
      </w:pPr>
    </w:p>
    <w:p>
      <w:pPr>
        <w:ind w:left="3180" w:hanging="830"/>
        <w:spacing w:after="0"/>
        <w:tabs>
          <w:tab w:leader="none" w:pos="3180" w:val="left"/>
        </w:tabs>
        <w:numPr>
          <w:ilvl w:val="1"/>
          <w:numId w:val="89"/>
        </w:numPr>
        <w:rPr>
          <w:rFonts w:ascii="Arial" w:cs="Arial" w:eastAsia="Arial" w:hAnsi="Arial"/>
          <w:sz w:val="20"/>
          <w:szCs w:val="20"/>
          <w:color w:val="auto"/>
        </w:rPr>
      </w:pPr>
      <w:r>
        <w:rPr>
          <w:rFonts w:ascii="Arial" w:cs="Arial" w:eastAsia="Arial" w:hAnsi="Arial"/>
          <w:sz w:val="22"/>
          <w:szCs w:val="22"/>
          <w:u w:val="single" w:color="auto"/>
          <w:color w:val="auto"/>
        </w:rPr>
        <w:t>Searches; Filings</w:t>
      </w:r>
      <w:r>
        <w:rPr>
          <w:rFonts w:ascii="Arial" w:cs="Arial" w:eastAsia="Arial" w:hAnsi="Arial"/>
          <w:sz w:val="22"/>
          <w:szCs w:val="22"/>
          <w:color w:val="auto"/>
        </w:rPr>
        <w:t>.</w:t>
      </w:r>
    </w:p>
    <w:p>
      <w:pPr>
        <w:spacing w:after="0" w:line="233" w:lineRule="exact"/>
        <w:rPr>
          <w:rFonts w:ascii="Arial" w:cs="Arial" w:eastAsia="Arial" w:hAnsi="Arial"/>
          <w:sz w:val="20"/>
          <w:szCs w:val="20"/>
          <w:color w:val="auto"/>
        </w:rPr>
      </w:pPr>
    </w:p>
    <w:p>
      <w:pPr>
        <w:ind w:left="3960" w:hanging="830"/>
        <w:spacing w:after="0"/>
        <w:tabs>
          <w:tab w:leader="none" w:pos="3960" w:val="left"/>
        </w:tabs>
        <w:numPr>
          <w:ilvl w:val="2"/>
          <w:numId w:val="89"/>
        </w:numPr>
        <w:rPr>
          <w:rFonts w:ascii="Arial" w:cs="Arial" w:eastAsia="Arial" w:hAnsi="Arial"/>
          <w:sz w:val="18"/>
          <w:szCs w:val="18"/>
          <w:color w:val="auto"/>
        </w:rPr>
      </w:pPr>
      <w:r>
        <w:rPr>
          <w:rFonts w:ascii="Arial" w:cs="Arial" w:eastAsia="Arial" w:hAnsi="Arial"/>
          <w:sz w:val="19"/>
          <w:szCs w:val="19"/>
          <w:color w:val="auto"/>
        </w:rPr>
        <w:t>The Administrative Agent shall have received copies, dated as of a recent date, of</w:t>
      </w:r>
    </w:p>
    <w:p>
      <w:pPr>
        <w:spacing w:after="0" w:line="42" w:lineRule="exact"/>
        <w:rPr>
          <w:rFonts w:ascii="Arial" w:cs="Arial" w:eastAsia="Arial" w:hAnsi="Arial"/>
          <w:sz w:val="18"/>
          <w:szCs w:val="18"/>
          <w:color w:val="auto"/>
        </w:rPr>
      </w:pPr>
    </w:p>
    <w:p>
      <w:pPr>
        <w:ind w:right="340"/>
        <w:spacing w:after="0" w:line="234" w:lineRule="auto"/>
        <w:rPr>
          <w:rFonts w:ascii="Arial" w:cs="Arial" w:eastAsia="Arial" w:hAnsi="Arial"/>
          <w:sz w:val="18"/>
          <w:szCs w:val="18"/>
          <w:color w:val="auto"/>
        </w:rPr>
      </w:pPr>
      <w:r>
        <w:rPr>
          <w:rFonts w:ascii="Arial" w:cs="Arial" w:eastAsia="Arial" w:hAnsi="Arial"/>
          <w:sz w:val="22"/>
          <w:szCs w:val="22"/>
          <w:color w:val="auto"/>
        </w:rPr>
        <w:t>UCC searches in such jurisdictions as the Administrative Agent shall reasonably request relating to the Incoming Borrower, accompanied by evidence (including any UCC termination statements) that the Liens indicated in any such UCC search results constitute Permitted Liens; and</w:t>
      </w:r>
    </w:p>
    <w:p>
      <w:pPr>
        <w:spacing w:after="0" w:line="214" w:lineRule="exact"/>
        <w:rPr>
          <w:rFonts w:ascii="Arial" w:cs="Arial" w:eastAsia="Arial" w:hAnsi="Arial"/>
          <w:sz w:val="18"/>
          <w:szCs w:val="18"/>
          <w:color w:val="auto"/>
        </w:rPr>
      </w:pPr>
    </w:p>
    <w:p>
      <w:pPr>
        <w:ind w:left="4020" w:hanging="890"/>
        <w:spacing w:after="0"/>
        <w:tabs>
          <w:tab w:leader="none" w:pos="4020" w:val="left"/>
        </w:tabs>
        <w:numPr>
          <w:ilvl w:val="2"/>
          <w:numId w:val="89"/>
        </w:numPr>
        <w:rPr>
          <w:rFonts w:ascii="Arial" w:cs="Arial" w:eastAsia="Arial" w:hAnsi="Arial"/>
          <w:sz w:val="18"/>
          <w:szCs w:val="18"/>
          <w:color w:val="auto"/>
        </w:rPr>
      </w:pPr>
      <w:r>
        <w:rPr>
          <w:rFonts w:ascii="Arial" w:cs="Arial" w:eastAsia="Arial" w:hAnsi="Arial"/>
          <w:sz w:val="19"/>
          <w:szCs w:val="19"/>
          <w:color w:val="auto"/>
        </w:rPr>
        <w:t>The Administrative Agent shall have received evidence that Uniform Commercial</w:t>
      </w:r>
    </w:p>
    <w:p>
      <w:pPr>
        <w:spacing w:after="0" w:line="42" w:lineRule="exact"/>
        <w:rPr>
          <w:rFonts w:ascii="Arial" w:cs="Arial" w:eastAsia="Arial" w:hAnsi="Arial"/>
          <w:sz w:val="18"/>
          <w:szCs w:val="18"/>
          <w:color w:val="auto"/>
        </w:rPr>
      </w:pPr>
    </w:p>
    <w:p>
      <w:pPr>
        <w:jc w:val="both"/>
        <w:ind w:right="200"/>
        <w:spacing w:after="0" w:line="234" w:lineRule="auto"/>
        <w:rPr>
          <w:rFonts w:ascii="Arial" w:cs="Arial" w:eastAsia="Arial" w:hAnsi="Arial"/>
          <w:sz w:val="18"/>
          <w:szCs w:val="18"/>
          <w:color w:val="auto"/>
        </w:rPr>
      </w:pPr>
      <w:r>
        <w:rPr>
          <w:rFonts w:ascii="Arial" w:cs="Arial" w:eastAsia="Arial" w:hAnsi="Arial"/>
          <w:sz w:val="22"/>
          <w:szCs w:val="22"/>
          <w:color w:val="auto"/>
        </w:rPr>
        <w:t>Code Financing Statements and all other filings necessary to establish, protect and perfect the Collateral granted on the Effective Date, have been filed, or will be filed upon the Effective Date, in such jurisdictions as the Administrative Agent may reasonably require.</w:t>
      </w:r>
    </w:p>
    <w:p>
      <w:pPr>
        <w:spacing w:after="0" w:line="214" w:lineRule="exact"/>
        <w:rPr>
          <w:rFonts w:ascii="Arial" w:cs="Arial" w:eastAsia="Arial" w:hAnsi="Arial"/>
          <w:sz w:val="18"/>
          <w:szCs w:val="18"/>
          <w:color w:val="auto"/>
        </w:rPr>
      </w:pPr>
    </w:p>
    <w:p>
      <w:pPr>
        <w:ind w:right="120" w:firstLine="2350"/>
        <w:spacing w:after="0" w:line="252" w:lineRule="auto"/>
        <w:tabs>
          <w:tab w:leader="none" w:pos="3177" w:val="left"/>
        </w:tabs>
        <w:numPr>
          <w:ilvl w:val="1"/>
          <w:numId w:val="89"/>
        </w:numPr>
        <w:rPr>
          <w:rFonts w:ascii="Arial" w:cs="Arial" w:eastAsia="Arial" w:hAnsi="Arial"/>
          <w:sz w:val="19"/>
          <w:szCs w:val="19"/>
          <w:color w:val="auto"/>
        </w:rPr>
      </w:pPr>
      <w:r>
        <w:rPr>
          <w:rFonts w:ascii="Arial" w:cs="Arial" w:eastAsia="Arial" w:hAnsi="Arial"/>
          <w:sz w:val="21"/>
          <w:szCs w:val="21"/>
          <w:u w:val="single" w:color="auto"/>
          <w:color w:val="auto"/>
        </w:rPr>
        <w:t>Completion of Transaction; Repayment of PIK Loan</w:t>
      </w:r>
      <w:r>
        <w:rPr>
          <w:rFonts w:ascii="Arial" w:cs="Arial" w:eastAsia="Arial" w:hAnsi="Arial"/>
          <w:sz w:val="21"/>
          <w:szCs w:val="21"/>
          <w:color w:val="auto"/>
        </w:rPr>
        <w:t>. The Administrative Agent shall have received satisfactory evidence that the transactions contemplated by the Transaction have been completed, including the repayment or forgiveness in full of the PIK Loan (including all principal, interest, PIK interest and other amounts due thereunder) and the release of the preferred mortgages over each of the Vessels securing the PIK Loan.</w:t>
      </w:r>
    </w:p>
    <w:p>
      <w:pPr>
        <w:spacing w:after="0" w:line="200" w:lineRule="exact"/>
        <w:rPr>
          <w:rFonts w:ascii="Arial" w:cs="Arial" w:eastAsia="Arial" w:hAnsi="Arial"/>
          <w:sz w:val="19"/>
          <w:szCs w:val="19"/>
          <w:color w:val="auto"/>
        </w:rPr>
      </w:pPr>
    </w:p>
    <w:p>
      <w:pPr>
        <w:ind w:right="120" w:firstLine="2350"/>
        <w:spacing w:after="0"/>
        <w:tabs>
          <w:tab w:leader="none" w:pos="3220" w:val="left"/>
        </w:tabs>
        <w:numPr>
          <w:ilvl w:val="1"/>
          <w:numId w:val="89"/>
        </w:numPr>
        <w:rPr>
          <w:rFonts w:ascii="Arial" w:cs="Arial" w:eastAsia="Arial" w:hAnsi="Arial"/>
          <w:sz w:val="20"/>
          <w:szCs w:val="20"/>
          <w:color w:val="auto"/>
        </w:rPr>
      </w:pPr>
      <w:r>
        <w:rPr>
          <w:rFonts w:ascii="Arial" w:cs="Arial" w:eastAsia="Arial" w:hAnsi="Arial"/>
          <w:sz w:val="22"/>
          <w:szCs w:val="22"/>
          <w:u w:val="single" w:color="auto"/>
          <w:color w:val="auto"/>
        </w:rPr>
        <w:t>Licenses, Consents and Approvals</w:t>
      </w:r>
      <w:r>
        <w:rPr>
          <w:rFonts w:ascii="Arial" w:cs="Arial" w:eastAsia="Arial" w:hAnsi="Arial"/>
          <w:sz w:val="22"/>
          <w:szCs w:val="22"/>
          <w:color w:val="auto"/>
        </w:rPr>
        <w:t>. The Administrative Agent shall have received satisfactory evidence that all necessary licenses, consents and approvals in connection with the transactions contemplated by this Amendment have been obtained.</w:t>
      </w:r>
    </w:p>
    <w:p>
      <w:pPr>
        <w:spacing w:after="0" w:line="213" w:lineRule="exact"/>
        <w:rPr>
          <w:rFonts w:ascii="Arial" w:cs="Arial" w:eastAsia="Arial" w:hAnsi="Arial"/>
          <w:sz w:val="20"/>
          <w:szCs w:val="20"/>
          <w:color w:val="auto"/>
        </w:rPr>
      </w:pPr>
    </w:p>
    <w:p>
      <w:pPr>
        <w:ind w:right="80" w:firstLine="2350"/>
        <w:spacing w:after="0" w:line="282" w:lineRule="auto"/>
        <w:tabs>
          <w:tab w:leader="none" w:pos="3177" w:val="left"/>
        </w:tabs>
        <w:numPr>
          <w:ilvl w:val="1"/>
          <w:numId w:val="89"/>
        </w:numPr>
        <w:rPr>
          <w:rFonts w:ascii="Arial" w:cs="Arial" w:eastAsia="Arial" w:hAnsi="Arial"/>
          <w:sz w:val="18"/>
          <w:szCs w:val="18"/>
          <w:color w:val="auto"/>
        </w:rPr>
      </w:pPr>
      <w:r>
        <w:rPr>
          <w:rFonts w:ascii="Arial" w:cs="Arial" w:eastAsia="Arial" w:hAnsi="Arial"/>
          <w:sz w:val="19"/>
          <w:szCs w:val="19"/>
          <w:u w:val="single" w:color="auto"/>
          <w:color w:val="auto"/>
        </w:rPr>
        <w:t>Know-Your-Customer</w:t>
      </w:r>
      <w:r>
        <w:rPr>
          <w:rFonts w:ascii="Arial" w:cs="Arial" w:eastAsia="Arial" w:hAnsi="Arial"/>
          <w:sz w:val="19"/>
          <w:szCs w:val="19"/>
          <w:color w:val="auto"/>
        </w:rPr>
        <w:t>. The Administrative Agent and the Lenders shall have received such documentation and other evidence as is reasonably requested in order for each to carry out and be satisfied with the results of all necessary “know your customer” or other checks which it is required to carry out in relation to the transactions contemplated by this Amendment, including without limitation obtaining, verifying and recording certain information and documentation that will allow the Agent and each of the Lenders to identify the Incoming Borrower in accordance with the requirements of the Patriot Act.</w:t>
      </w:r>
    </w:p>
    <w:p>
      <w:pPr>
        <w:spacing w:after="0" w:line="174" w:lineRule="exact"/>
        <w:rPr>
          <w:rFonts w:ascii="Arial" w:cs="Arial" w:eastAsia="Arial" w:hAnsi="Arial"/>
          <w:sz w:val="18"/>
          <w:szCs w:val="18"/>
          <w:color w:val="auto"/>
        </w:rPr>
      </w:pPr>
    </w:p>
    <w:p>
      <w:pPr>
        <w:ind w:left="3280" w:hanging="930"/>
        <w:spacing w:after="0"/>
        <w:tabs>
          <w:tab w:leader="none" w:pos="3280" w:val="left"/>
        </w:tabs>
        <w:numPr>
          <w:ilvl w:val="1"/>
          <w:numId w:val="89"/>
        </w:numPr>
        <w:rPr>
          <w:rFonts w:ascii="Arial" w:cs="Arial" w:eastAsia="Arial" w:hAnsi="Arial"/>
          <w:sz w:val="18"/>
          <w:szCs w:val="18"/>
          <w:color w:val="auto"/>
        </w:rPr>
      </w:pPr>
      <w:r>
        <w:rPr>
          <w:rFonts w:ascii="Arial" w:cs="Arial" w:eastAsia="Arial" w:hAnsi="Arial"/>
          <w:sz w:val="19"/>
          <w:szCs w:val="19"/>
          <w:u w:val="single" w:color="auto"/>
          <w:color w:val="auto"/>
        </w:rPr>
        <w:t>No Event of Default</w:t>
      </w:r>
      <w:r>
        <w:rPr>
          <w:rFonts w:ascii="Arial" w:cs="Arial" w:eastAsia="Arial" w:hAnsi="Arial"/>
          <w:sz w:val="19"/>
          <w:szCs w:val="19"/>
          <w:color w:val="auto"/>
        </w:rPr>
        <w:t>. No Default or Event of Default having occurred and being continuing.</w:t>
      </w:r>
    </w:p>
    <w:p>
      <w:pPr>
        <w:spacing w:after="0" w:line="267" w:lineRule="exact"/>
        <w:rPr>
          <w:rFonts w:ascii="Arial" w:cs="Arial" w:eastAsia="Arial" w:hAnsi="Arial"/>
          <w:sz w:val="18"/>
          <w:szCs w:val="18"/>
          <w:color w:val="auto"/>
        </w:rPr>
      </w:pPr>
    </w:p>
    <w:p>
      <w:pPr>
        <w:ind w:right="380" w:firstLine="2350"/>
        <w:spacing w:after="0"/>
        <w:tabs>
          <w:tab w:leader="none" w:pos="3220" w:val="left"/>
        </w:tabs>
        <w:numPr>
          <w:ilvl w:val="1"/>
          <w:numId w:val="89"/>
        </w:numPr>
        <w:rPr>
          <w:rFonts w:ascii="Arial" w:cs="Arial" w:eastAsia="Arial" w:hAnsi="Arial"/>
          <w:sz w:val="20"/>
          <w:szCs w:val="20"/>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representations stated in Section 2 of the Credit Facility Agreement being true and correct (or will be true and correct after giving effect to the Transaction) as if made on that date.</w:t>
      </w:r>
    </w:p>
    <w:p>
      <w:pPr>
        <w:spacing w:after="0" w:line="213" w:lineRule="exact"/>
        <w:rPr>
          <w:rFonts w:ascii="Arial" w:cs="Arial" w:eastAsia="Arial" w:hAnsi="Arial"/>
          <w:sz w:val="20"/>
          <w:szCs w:val="20"/>
          <w:color w:val="auto"/>
        </w:rPr>
      </w:pPr>
    </w:p>
    <w:p>
      <w:pPr>
        <w:ind w:left="2360" w:hanging="791"/>
        <w:spacing w:after="0"/>
        <w:tabs>
          <w:tab w:leader="none" w:pos="2360" w:val="left"/>
        </w:tabs>
        <w:numPr>
          <w:ilvl w:val="0"/>
          <w:numId w:val="90"/>
        </w:numPr>
        <w:rPr>
          <w:rFonts w:ascii="Arial" w:cs="Arial" w:eastAsia="Arial" w:hAnsi="Arial"/>
          <w:sz w:val="20"/>
          <w:szCs w:val="20"/>
          <w:color w:val="auto"/>
        </w:rPr>
      </w:pPr>
      <w:r>
        <w:rPr>
          <w:rFonts w:ascii="Arial" w:cs="Arial" w:eastAsia="Arial" w:hAnsi="Arial"/>
          <w:sz w:val="22"/>
          <w:szCs w:val="22"/>
          <w:u w:val="single" w:color="auto"/>
          <w:color w:val="auto"/>
        </w:rPr>
        <w:t>Accession of Incoming Borrower; Confirmation of Obligations</w:t>
      </w:r>
      <w:r>
        <w:rPr>
          <w:rFonts w:ascii="Arial" w:cs="Arial" w:eastAsia="Arial" w:hAnsi="Arial"/>
          <w:sz w:val="22"/>
          <w:szCs w:val="22"/>
          <w:color w:val="auto"/>
        </w:rPr>
        <w:t>.</w:t>
      </w:r>
    </w:p>
    <w:p>
      <w:pPr>
        <w:spacing w:after="0" w:line="233" w:lineRule="exact"/>
        <w:rPr>
          <w:rFonts w:ascii="Arial" w:cs="Arial" w:eastAsia="Arial" w:hAnsi="Arial"/>
          <w:sz w:val="20"/>
          <w:szCs w:val="20"/>
          <w:color w:val="auto"/>
        </w:rPr>
      </w:pPr>
    </w:p>
    <w:p>
      <w:pPr>
        <w:jc w:val="both"/>
        <w:ind w:right="20" w:firstLine="2350"/>
        <w:spacing w:after="0" w:line="238" w:lineRule="auto"/>
        <w:tabs>
          <w:tab w:leader="none" w:pos="3209" w:val="left"/>
        </w:tabs>
        <w:numPr>
          <w:ilvl w:val="1"/>
          <w:numId w:val="90"/>
        </w:numPr>
        <w:rPr>
          <w:rFonts w:ascii="Arial" w:cs="Arial" w:eastAsia="Arial" w:hAnsi="Arial"/>
          <w:sz w:val="20"/>
          <w:szCs w:val="20"/>
          <w:color w:val="auto"/>
        </w:rPr>
      </w:pPr>
      <w:r>
        <w:rPr>
          <w:rFonts w:ascii="Arial" w:cs="Arial" w:eastAsia="Arial" w:hAnsi="Arial"/>
          <w:sz w:val="22"/>
          <w:szCs w:val="22"/>
          <w:color w:val="auto"/>
        </w:rPr>
        <w:t>Upon the Effective Date, the Incoming Borrower hereby agrees to become a Borrower and to be bound by the terms of the Credit Facility Agreement and the other Transaction Documents as a Borrower and undertakes to perform all the obligations expressed to be assumed by a Borrower under the Credit Facility Agreement and the other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29" w:name="page130"/>
    <w:bookmarkEnd w:id="129"/>
    <w:p>
      <w:pPr>
        <w:ind w:left="-1120" w:firstLine="2350"/>
        <w:spacing w:after="0" w:line="252" w:lineRule="auto"/>
        <w:tabs>
          <w:tab w:leader="none" w:pos="2100" w:val="left"/>
        </w:tabs>
        <w:numPr>
          <w:ilvl w:val="1"/>
          <w:numId w:val="91"/>
        </w:numPr>
        <w:rPr>
          <w:rFonts w:ascii="Arial" w:cs="Arial" w:eastAsia="Arial" w:hAnsi="Arial"/>
          <w:sz w:val="19"/>
          <w:szCs w:val="19"/>
          <w:color w:val="auto"/>
        </w:rPr>
      </w:pPr>
      <w:r>
        <w:rPr>
          <w:rFonts w:ascii="Arial" w:cs="Arial" w:eastAsia="Arial" w:hAnsi="Arial"/>
          <w:sz w:val="21"/>
          <w:szCs w:val="21"/>
          <w:color w:val="auto"/>
        </w:rPr>
        <w:t>Each of the Vessel Owners hereby agrees and confirms that the Collateral granted by it under the Security Documents to which it is a party, and any and all of its obligations thereunder, shall continue in full force and effect after the entry into and effectiveness of this Amendment and shall continue to secure the obligations under the Credit Facility Agreement as amended hereby and the other Transaction Documents.</w:t>
      </w:r>
    </w:p>
    <w:p>
      <w:pPr>
        <w:spacing w:after="0" w:line="200" w:lineRule="exact"/>
        <w:rPr>
          <w:rFonts w:ascii="Arial" w:cs="Arial" w:eastAsia="Arial" w:hAnsi="Arial"/>
          <w:sz w:val="19"/>
          <w:szCs w:val="19"/>
          <w:color w:val="auto"/>
        </w:rPr>
      </w:pPr>
    </w:p>
    <w:p>
      <w:pPr>
        <w:jc w:val="both"/>
        <w:ind w:left="-1120" w:right="80" w:firstLine="1569"/>
        <w:spacing w:after="0" w:line="238" w:lineRule="auto"/>
        <w:tabs>
          <w:tab w:leader="none" w:pos="1237" w:val="left"/>
        </w:tabs>
        <w:numPr>
          <w:ilvl w:val="0"/>
          <w:numId w:val="92"/>
        </w:numPr>
        <w:rPr>
          <w:rFonts w:ascii="Arial" w:cs="Arial" w:eastAsia="Arial" w:hAnsi="Arial"/>
          <w:sz w:val="20"/>
          <w:szCs w:val="20"/>
          <w:color w:val="auto"/>
        </w:rPr>
      </w:pPr>
      <w:r>
        <w:rPr>
          <w:rFonts w:ascii="Arial" w:cs="Arial" w:eastAsia="Arial" w:hAnsi="Arial"/>
          <w:sz w:val="22"/>
          <w:szCs w:val="22"/>
          <w:u w:val="single" w:color="auto"/>
          <w:color w:val="auto"/>
        </w:rPr>
        <w:t>Release of Borrower Affiliated Lender</w:t>
      </w:r>
      <w:r>
        <w:rPr>
          <w:rFonts w:ascii="Arial" w:cs="Arial" w:eastAsia="Arial" w:hAnsi="Arial"/>
          <w:sz w:val="22"/>
          <w:szCs w:val="22"/>
          <w:color w:val="auto"/>
        </w:rPr>
        <w:t>. Upon the Effective Date, the portion of the Facility (as defined in the Existing Credit Facility Agreement) made available by SEACOR Marine Capital Inc. is hereby deemed repaid in full and its Commitment is hereby cancelled, and SEACOR Marine Capital Inc. shall cease to be a Lender under the Credit Facility Agreement.</w:t>
      </w:r>
    </w:p>
    <w:p>
      <w:pPr>
        <w:spacing w:after="0" w:line="211" w:lineRule="exact"/>
        <w:rPr>
          <w:rFonts w:ascii="Arial" w:cs="Arial" w:eastAsia="Arial" w:hAnsi="Arial"/>
          <w:sz w:val="20"/>
          <w:szCs w:val="20"/>
          <w:color w:val="auto"/>
        </w:rPr>
      </w:pPr>
    </w:p>
    <w:p>
      <w:pPr>
        <w:ind w:left="1240" w:hanging="791"/>
        <w:spacing w:after="0"/>
        <w:tabs>
          <w:tab w:leader="none" w:pos="1240" w:val="left"/>
        </w:tabs>
        <w:numPr>
          <w:ilvl w:val="0"/>
          <w:numId w:val="92"/>
        </w:numPr>
        <w:rPr>
          <w:rFonts w:ascii="Arial" w:cs="Arial" w:eastAsia="Arial" w:hAnsi="Arial"/>
          <w:sz w:val="19"/>
          <w:szCs w:val="19"/>
          <w:color w:val="auto"/>
        </w:rPr>
      </w:pPr>
      <w:r>
        <w:rPr>
          <w:rFonts w:ascii="Arial" w:cs="Arial" w:eastAsia="Arial" w:hAnsi="Arial"/>
          <w:sz w:val="21"/>
          <w:szCs w:val="21"/>
          <w:u w:val="single" w:color="auto"/>
          <w:color w:val="auto"/>
        </w:rPr>
        <w:t>Release of Certain Collateral</w:t>
      </w:r>
      <w:r>
        <w:rPr>
          <w:rFonts w:ascii="Arial" w:cs="Arial" w:eastAsia="Arial" w:hAnsi="Arial"/>
          <w:sz w:val="21"/>
          <w:szCs w:val="21"/>
          <w:color w:val="auto"/>
        </w:rPr>
        <w:t>.  Upon the Effective Date, the Security Trustee hereby releases:</w:t>
      </w:r>
    </w:p>
    <w:p>
      <w:pPr>
        <w:spacing w:after="0" w:line="244" w:lineRule="exact"/>
        <w:rPr>
          <w:rFonts w:ascii="Arial" w:cs="Arial" w:eastAsia="Arial" w:hAnsi="Arial"/>
          <w:sz w:val="19"/>
          <w:szCs w:val="19"/>
          <w:color w:val="auto"/>
        </w:rPr>
      </w:pPr>
    </w:p>
    <w:p>
      <w:pPr>
        <w:ind w:left="-1120" w:right="60" w:firstLine="2350"/>
        <w:spacing w:after="0" w:line="250" w:lineRule="auto"/>
        <w:tabs>
          <w:tab w:leader="none" w:pos="2089" w:val="left"/>
        </w:tabs>
        <w:numPr>
          <w:ilvl w:val="1"/>
          <w:numId w:val="92"/>
        </w:numPr>
        <w:rPr>
          <w:rFonts w:ascii="Arial" w:cs="Arial" w:eastAsia="Arial" w:hAnsi="Arial"/>
          <w:sz w:val="20"/>
          <w:szCs w:val="20"/>
          <w:color w:val="auto"/>
        </w:rPr>
      </w:pPr>
      <w:r>
        <w:rPr>
          <w:rFonts w:ascii="Arial" w:cs="Arial" w:eastAsia="Arial" w:hAnsi="Arial"/>
          <w:sz w:val="22"/>
          <w:szCs w:val="22"/>
          <w:color w:val="auto"/>
        </w:rPr>
        <w:t>the Partnership and the General Partner from any and all of its obligations under the Capital Call Rights Agreement dated November 18, 2013;</w:t>
      </w:r>
    </w:p>
    <w:p>
      <w:pPr>
        <w:spacing w:after="0" w:line="201" w:lineRule="exact"/>
        <w:rPr>
          <w:rFonts w:ascii="Arial" w:cs="Arial" w:eastAsia="Arial" w:hAnsi="Arial"/>
          <w:sz w:val="20"/>
          <w:szCs w:val="20"/>
          <w:color w:val="auto"/>
        </w:rPr>
      </w:pPr>
    </w:p>
    <w:p>
      <w:pPr>
        <w:ind w:left="-1120" w:right="60" w:firstLine="2350"/>
        <w:spacing w:after="0"/>
        <w:tabs>
          <w:tab w:leader="none" w:pos="2100" w:val="left"/>
        </w:tabs>
        <w:numPr>
          <w:ilvl w:val="1"/>
          <w:numId w:val="92"/>
        </w:numPr>
        <w:rPr>
          <w:rFonts w:ascii="Arial" w:cs="Arial" w:eastAsia="Arial" w:hAnsi="Arial"/>
          <w:sz w:val="20"/>
          <w:szCs w:val="20"/>
          <w:color w:val="auto"/>
        </w:rPr>
      </w:pPr>
      <w:r>
        <w:rPr>
          <w:rFonts w:ascii="Arial" w:cs="Arial" w:eastAsia="Arial" w:hAnsi="Arial"/>
          <w:sz w:val="22"/>
          <w:szCs w:val="22"/>
          <w:color w:val="auto"/>
        </w:rPr>
        <w:t>the Partnership from any and all of its obligations under the Amended and Restated Debt Service Reserve Account Pledge dated September 28, 2018, made by the Partnership and the Security Trustee relating to the Debt Service Reserve Account;</w:t>
      </w:r>
    </w:p>
    <w:p>
      <w:pPr>
        <w:spacing w:after="0" w:line="213" w:lineRule="exact"/>
        <w:rPr>
          <w:rFonts w:ascii="Arial" w:cs="Arial" w:eastAsia="Arial" w:hAnsi="Arial"/>
          <w:sz w:val="20"/>
          <w:szCs w:val="20"/>
          <w:color w:val="auto"/>
        </w:rPr>
      </w:pPr>
    </w:p>
    <w:p>
      <w:pPr>
        <w:ind w:left="-1120" w:firstLine="2350"/>
        <w:spacing w:after="0"/>
        <w:tabs>
          <w:tab w:leader="none" w:pos="2089" w:val="left"/>
        </w:tabs>
        <w:numPr>
          <w:ilvl w:val="1"/>
          <w:numId w:val="92"/>
        </w:numPr>
        <w:rPr>
          <w:rFonts w:ascii="Arial" w:cs="Arial" w:eastAsia="Arial" w:hAnsi="Arial"/>
          <w:sz w:val="20"/>
          <w:szCs w:val="20"/>
          <w:color w:val="auto"/>
        </w:rPr>
      </w:pPr>
      <w:r>
        <w:rPr>
          <w:rFonts w:ascii="Arial" w:cs="Arial" w:eastAsia="Arial" w:hAnsi="Arial"/>
          <w:sz w:val="22"/>
          <w:szCs w:val="22"/>
          <w:color w:val="auto"/>
        </w:rPr>
        <w:t>the Partnership from any and all of its obligations under the Amended and Restated Dry-Docking Reserve Account Pledge dated September 28, 2018, made by the Partnership and the Security Trustee relating to the Dry-Docking Reserve Account;</w:t>
      </w:r>
    </w:p>
    <w:p>
      <w:pPr>
        <w:spacing w:after="0" w:line="213" w:lineRule="exact"/>
        <w:rPr>
          <w:rFonts w:ascii="Arial" w:cs="Arial" w:eastAsia="Arial" w:hAnsi="Arial"/>
          <w:sz w:val="20"/>
          <w:szCs w:val="20"/>
          <w:color w:val="auto"/>
        </w:rPr>
      </w:pPr>
    </w:p>
    <w:p>
      <w:pPr>
        <w:ind w:left="-1120" w:right="160" w:firstLine="2350"/>
        <w:spacing w:after="0"/>
        <w:tabs>
          <w:tab w:leader="none" w:pos="2100" w:val="left"/>
        </w:tabs>
        <w:numPr>
          <w:ilvl w:val="1"/>
          <w:numId w:val="92"/>
        </w:numPr>
        <w:rPr>
          <w:rFonts w:ascii="Arial" w:cs="Arial" w:eastAsia="Arial" w:hAnsi="Arial"/>
          <w:sz w:val="20"/>
          <w:szCs w:val="20"/>
          <w:color w:val="auto"/>
        </w:rPr>
      </w:pPr>
      <w:r>
        <w:rPr>
          <w:rFonts w:ascii="Arial" w:cs="Arial" w:eastAsia="Arial" w:hAnsi="Arial"/>
          <w:sz w:val="22"/>
          <w:szCs w:val="22"/>
          <w:color w:val="auto"/>
        </w:rPr>
        <w:t>each Existing Borrower from any and all of its obligations under the Amended and Restated Earnings Account Pledges each dated September 28, 2018, made by the relevant Existing Borrower and the Security Trustee relating to such Existing Borrower’s Earnings Account(s); and</w:t>
      </w:r>
    </w:p>
    <w:p>
      <w:pPr>
        <w:spacing w:after="0" w:line="213" w:lineRule="exact"/>
        <w:rPr>
          <w:rFonts w:ascii="Arial" w:cs="Arial" w:eastAsia="Arial" w:hAnsi="Arial"/>
          <w:sz w:val="20"/>
          <w:szCs w:val="20"/>
          <w:color w:val="auto"/>
        </w:rPr>
      </w:pPr>
    </w:p>
    <w:p>
      <w:pPr>
        <w:ind w:left="-1120" w:right="140" w:firstLine="2350"/>
        <w:spacing w:after="0" w:line="275" w:lineRule="auto"/>
        <w:tabs>
          <w:tab w:leader="none" w:pos="2089" w:val="left"/>
        </w:tabs>
        <w:numPr>
          <w:ilvl w:val="1"/>
          <w:numId w:val="92"/>
        </w:numPr>
        <w:rPr>
          <w:rFonts w:ascii="Arial" w:cs="Arial" w:eastAsia="Arial" w:hAnsi="Arial"/>
          <w:sz w:val="18"/>
          <w:szCs w:val="18"/>
          <w:color w:val="auto"/>
        </w:rPr>
      </w:pPr>
      <w:r>
        <w:rPr>
          <w:rFonts w:ascii="Arial" w:cs="Arial" w:eastAsia="Arial" w:hAnsi="Arial"/>
          <w:sz w:val="19"/>
          <w:szCs w:val="19"/>
          <w:color w:val="auto"/>
        </w:rPr>
        <w:t>the Existing Borrowers from any and all of their obligations under the Amended and Restated Accounts Control Agreement dated September 28, 2018, made by and among the Existing Borrowers, the Security Trustee and DNB Bank ASA, Grand Cayman Branch, as the account bank, relating to each of the Existing Borrowers’ accounts described therein; and reassigns to each Existing Borrower, as applicable, all of the Security Trustee’s rights, title and interest, in and to the Collateral pledged therein. The Security Trustee agrees to execute and deliver all such other documents as may be reasonably necessary to give effect to this Section 5 at the Borrowers’ cost in connection with terminating the Collateral created by any or all of the foregoing documents, including preparing and filing Uniform Commercial Code termination statements and delivering notices of termination of account control agreements.</w:t>
      </w:r>
    </w:p>
    <w:p>
      <w:pPr>
        <w:spacing w:after="0" w:line="184" w:lineRule="exact"/>
        <w:rPr>
          <w:rFonts w:ascii="Arial" w:cs="Arial" w:eastAsia="Arial" w:hAnsi="Arial"/>
          <w:sz w:val="18"/>
          <w:szCs w:val="18"/>
          <w:color w:val="auto"/>
        </w:rPr>
      </w:pPr>
    </w:p>
    <w:p>
      <w:pPr>
        <w:ind w:left="-1120" w:right="340" w:firstLine="1569"/>
        <w:spacing w:after="0" w:line="238" w:lineRule="auto"/>
        <w:tabs>
          <w:tab w:leader="none" w:pos="1237" w:val="left"/>
        </w:tabs>
        <w:numPr>
          <w:ilvl w:val="0"/>
          <w:numId w:val="92"/>
        </w:numPr>
        <w:rPr>
          <w:rFonts w:ascii="Arial" w:cs="Arial" w:eastAsia="Arial" w:hAnsi="Arial"/>
          <w:sz w:val="20"/>
          <w:szCs w:val="20"/>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Borrowers hereby agree to pay to the Agents all reasonable expenses related to this Amendment in accordance with Section 13.2 of the Credit Facility Agreement, including any expenses of preparation, negotiation, execution and administration of this Amendment and the reasonable fees and disbursements of the Agents’ and Lenders’ counsel in connection herewith.</w:t>
      </w:r>
    </w:p>
    <w:p>
      <w:pPr>
        <w:spacing w:after="0" w:line="211" w:lineRule="exact"/>
        <w:rPr>
          <w:rFonts w:ascii="Arial" w:cs="Arial" w:eastAsia="Arial" w:hAnsi="Arial"/>
          <w:sz w:val="20"/>
          <w:szCs w:val="20"/>
          <w:color w:val="auto"/>
        </w:rPr>
      </w:pPr>
    </w:p>
    <w:p>
      <w:pPr>
        <w:ind w:left="-1120" w:right="20" w:firstLine="1569"/>
        <w:spacing w:after="0" w:line="250" w:lineRule="auto"/>
        <w:tabs>
          <w:tab w:leader="none" w:pos="1237" w:val="left"/>
        </w:tabs>
        <w:numPr>
          <w:ilvl w:val="0"/>
          <w:numId w:val="92"/>
        </w:numPr>
        <w:rPr>
          <w:rFonts w:ascii="Arial" w:cs="Arial" w:eastAsia="Arial" w:hAnsi="Arial"/>
          <w:sz w:val="20"/>
          <w:szCs w:val="20"/>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Each of the Borrowers and the Partnership represents and warrants to the Administrative Agent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480695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080"/>
          </w:cols>
          <w:pgMar w:left="1440" w:top="577" w:right="379" w:bottom="1440" w:gutter="0" w:footer="0" w:header="0"/>
        </w:sectPr>
      </w:pPr>
    </w:p>
    <w:bookmarkStart w:id="130" w:name="page131"/>
    <w:bookmarkEnd w:id="130"/>
    <w:p>
      <w:pPr>
        <w:ind w:right="60" w:firstLine="2350"/>
        <w:spacing w:after="0" w:line="328" w:lineRule="auto"/>
        <w:tabs>
          <w:tab w:leader="none" w:pos="3209" w:val="left"/>
        </w:tabs>
        <w:numPr>
          <w:ilvl w:val="1"/>
          <w:numId w:val="93"/>
        </w:numPr>
        <w:rPr>
          <w:rFonts w:ascii="Arial" w:cs="Arial" w:eastAsia="Arial" w:hAnsi="Arial"/>
          <w:sz w:val="18"/>
          <w:szCs w:val="18"/>
          <w:color w:val="auto"/>
        </w:rPr>
      </w:pPr>
      <w:r>
        <w:rPr>
          <w:rFonts w:ascii="Arial" w:cs="Arial" w:eastAsia="Arial" w:hAnsi="Arial"/>
          <w:sz w:val="19"/>
          <w:szCs w:val="19"/>
          <w:color w:val="auto"/>
        </w:rPr>
        <w:t>all principal, interest, PIK interest, and other amounts owed under the PIK Loan Agreement (as defined in the Existing Credit Facility Agreement) shall have been paid in full on or prior to the Effective Date;</w:t>
      </w:r>
    </w:p>
    <w:p>
      <w:pPr>
        <w:spacing w:after="0" w:line="131" w:lineRule="exact"/>
        <w:rPr>
          <w:rFonts w:ascii="Arial" w:cs="Arial" w:eastAsia="Arial" w:hAnsi="Arial"/>
          <w:sz w:val="18"/>
          <w:szCs w:val="18"/>
          <w:color w:val="auto"/>
        </w:rPr>
      </w:pPr>
    </w:p>
    <w:p>
      <w:pPr>
        <w:ind w:right="180" w:firstLine="2350"/>
        <w:spacing w:after="0" w:line="282" w:lineRule="auto"/>
        <w:tabs>
          <w:tab w:leader="none" w:pos="3220" w:val="left"/>
        </w:tabs>
        <w:numPr>
          <w:ilvl w:val="1"/>
          <w:numId w:val="93"/>
        </w:numPr>
        <w:rPr>
          <w:rFonts w:ascii="Arial" w:cs="Arial" w:eastAsia="Arial" w:hAnsi="Arial"/>
          <w:sz w:val="18"/>
          <w:szCs w:val="18"/>
          <w:color w:val="auto"/>
        </w:rPr>
      </w:pPr>
      <w:r>
        <w:rPr>
          <w:rFonts w:ascii="Arial" w:cs="Arial" w:eastAsia="Arial" w:hAnsi="Arial"/>
          <w:sz w:val="19"/>
          <w:szCs w:val="19"/>
          <w:color w:val="auto"/>
        </w:rPr>
        <w:t>all acts, filings, conditions and things required to be done and performed and to have happened (including, without limitation, the obtaining of all necessary corporate or shareholder approvals and all governmental approvals, including those of any monetary or exchange control authority) precedent to the entering into of this Amendment to constitute this Amendment the duly authorized, legal, valid and binding obligation of such Borrower, enforceable in accordance with its terms, have been done, performed and have happened in due and strict compliance with all applicable laws; and</w:t>
      </w:r>
    </w:p>
    <w:p>
      <w:pPr>
        <w:spacing w:after="0" w:line="174" w:lineRule="exact"/>
        <w:rPr>
          <w:rFonts w:ascii="Arial" w:cs="Arial" w:eastAsia="Arial" w:hAnsi="Arial"/>
          <w:sz w:val="18"/>
          <w:szCs w:val="18"/>
          <w:color w:val="auto"/>
        </w:rPr>
      </w:pPr>
    </w:p>
    <w:p>
      <w:pPr>
        <w:ind w:right="60" w:firstLine="2350"/>
        <w:spacing w:after="0" w:line="297" w:lineRule="auto"/>
        <w:tabs>
          <w:tab w:leader="none" w:pos="3209" w:val="left"/>
        </w:tabs>
        <w:numPr>
          <w:ilvl w:val="1"/>
          <w:numId w:val="93"/>
        </w:numPr>
        <w:rPr>
          <w:rFonts w:ascii="Arial" w:cs="Arial" w:eastAsia="Arial" w:hAnsi="Arial"/>
          <w:sz w:val="18"/>
          <w:szCs w:val="18"/>
          <w:color w:val="auto"/>
        </w:rPr>
      </w:pPr>
      <w:r>
        <w:rPr>
          <w:rFonts w:ascii="Arial" w:cs="Arial" w:eastAsia="Arial" w:hAnsi="Arial"/>
          <w:sz w:val="19"/>
          <w:szCs w:val="19"/>
          <w:color w:val="auto"/>
        </w:rPr>
        <w:t>immediately after giving effect to this Amendment, the representations and warranties set forth in the Credit Facility Agreement, as amended hereby (with the exception of the representation set forth in Section 2.1(u)), are true and correct in all material respects and no Event of Default shall have occurred and be continuing.</w:t>
      </w:r>
    </w:p>
    <w:p>
      <w:pPr>
        <w:spacing w:after="0" w:line="160" w:lineRule="exact"/>
        <w:rPr>
          <w:rFonts w:ascii="Arial" w:cs="Arial" w:eastAsia="Arial" w:hAnsi="Arial"/>
          <w:sz w:val="18"/>
          <w:szCs w:val="18"/>
          <w:color w:val="auto"/>
        </w:rPr>
      </w:pPr>
    </w:p>
    <w:p>
      <w:pPr>
        <w:ind w:right="40" w:firstLine="1569"/>
        <w:spacing w:after="0"/>
        <w:tabs>
          <w:tab w:leader="none" w:pos="2357" w:val="left"/>
        </w:tabs>
        <w:numPr>
          <w:ilvl w:val="0"/>
          <w:numId w:val="94"/>
        </w:numPr>
        <w:rPr>
          <w:rFonts w:ascii="Arial" w:cs="Arial" w:eastAsia="Arial" w:hAnsi="Arial"/>
          <w:sz w:val="20"/>
          <w:szCs w:val="20"/>
          <w:color w:val="auto"/>
        </w:rPr>
      </w:pPr>
      <w:r>
        <w:rPr>
          <w:rFonts w:ascii="Arial" w:cs="Arial" w:eastAsia="Arial" w:hAnsi="Arial"/>
          <w:sz w:val="22"/>
          <w:szCs w:val="22"/>
          <w:u w:val="single" w:color="auto"/>
          <w:color w:val="auto"/>
        </w:rPr>
        <w:t>No Defaults</w:t>
      </w:r>
      <w:r>
        <w:rPr>
          <w:rFonts w:ascii="Arial" w:cs="Arial" w:eastAsia="Arial" w:hAnsi="Arial"/>
          <w:sz w:val="22"/>
          <w:szCs w:val="22"/>
          <w:color w:val="auto"/>
        </w:rPr>
        <w:t>. Each of the Borrowers hereby represents and warrants that as of the date hereof there exists no Event of Default or any condition which, with the giving of notice or passage of time, or both, would constitute an Event of Default.</w:t>
      </w:r>
    </w:p>
    <w:p>
      <w:pPr>
        <w:spacing w:after="0" w:line="213" w:lineRule="exact"/>
        <w:rPr>
          <w:rFonts w:ascii="Arial" w:cs="Arial" w:eastAsia="Arial" w:hAnsi="Arial"/>
          <w:sz w:val="20"/>
          <w:szCs w:val="20"/>
          <w:color w:val="auto"/>
        </w:rPr>
      </w:pPr>
    </w:p>
    <w:p>
      <w:pPr>
        <w:ind w:right="20" w:firstLine="1569"/>
        <w:spacing w:after="0" w:line="297" w:lineRule="auto"/>
        <w:tabs>
          <w:tab w:leader="none" w:pos="2357" w:val="left"/>
        </w:tabs>
        <w:numPr>
          <w:ilvl w:val="0"/>
          <w:numId w:val="94"/>
        </w:numPr>
        <w:rPr>
          <w:rFonts w:ascii="Arial" w:cs="Arial" w:eastAsia="Arial" w:hAnsi="Arial"/>
          <w:sz w:val="18"/>
          <w:szCs w:val="18"/>
          <w:color w:val="auto"/>
        </w:rPr>
      </w:pPr>
      <w:r>
        <w:rPr>
          <w:rFonts w:ascii="Arial" w:cs="Arial" w:eastAsia="Arial" w:hAnsi="Arial"/>
          <w:sz w:val="19"/>
          <w:szCs w:val="19"/>
          <w:u w:val="single" w:color="auto"/>
          <w:color w:val="auto"/>
        </w:rPr>
        <w:t>Covenants</w:t>
      </w:r>
      <w:r>
        <w:rPr>
          <w:rFonts w:ascii="Arial" w:cs="Arial" w:eastAsia="Arial" w:hAnsi="Arial"/>
          <w:sz w:val="19"/>
          <w:szCs w:val="19"/>
          <w:color w:val="auto"/>
        </w:rPr>
        <w:t>. Each of the Borrowers hereby reaffirms that it has duly performed and observed the covenants and undertakings set forth in the Credit Facility Agreement, and covenants and undertakes to continue to duly perform and observe such covenants and undertakings so long as the Credit Facility Agreement, as amended hereby, shall remain in effect.</w:t>
      </w:r>
    </w:p>
    <w:p>
      <w:pPr>
        <w:spacing w:after="0" w:line="160" w:lineRule="exact"/>
        <w:rPr>
          <w:rFonts w:ascii="Arial" w:cs="Arial" w:eastAsia="Arial" w:hAnsi="Arial"/>
          <w:sz w:val="18"/>
          <w:szCs w:val="18"/>
          <w:color w:val="auto"/>
        </w:rPr>
      </w:pPr>
    </w:p>
    <w:p>
      <w:pPr>
        <w:ind w:firstLine="1569"/>
        <w:spacing w:after="0" w:line="236" w:lineRule="auto"/>
        <w:tabs>
          <w:tab w:leader="none" w:pos="2456" w:val="left"/>
        </w:tabs>
        <w:numPr>
          <w:ilvl w:val="0"/>
          <w:numId w:val="94"/>
        </w:numPr>
        <w:rPr>
          <w:rFonts w:ascii="Arial" w:cs="Arial" w:eastAsia="Arial" w:hAnsi="Arial"/>
          <w:sz w:val="20"/>
          <w:szCs w:val="20"/>
          <w:color w:val="auto"/>
        </w:rPr>
      </w:pPr>
      <w:r>
        <w:rPr>
          <w:rFonts w:ascii="Arial" w:cs="Arial" w:eastAsia="Arial" w:hAnsi="Arial"/>
          <w:sz w:val="22"/>
          <w:szCs w:val="22"/>
          <w:u w:val="single" w:color="auto"/>
          <w:color w:val="auto"/>
        </w:rPr>
        <w:t>No Other Amendment</w:t>
      </w:r>
      <w:r>
        <w:rPr>
          <w:rFonts w:ascii="Arial" w:cs="Arial" w:eastAsia="Arial" w:hAnsi="Arial"/>
          <w:sz w:val="22"/>
          <w:szCs w:val="22"/>
          <w:color w:val="auto"/>
        </w:rPr>
        <w:t>. All other terms and conditions of the Credit Facility Agreement and each other Transaction Document shall remain in full force and effect and the Credit Facility Agreement and each other Transaction Document shall be read and construed as if the terms of this Amendment were included therein by way of addition or substitution, as the case may be. All amendments of the Credit Facility Agreement entered into prior to the date of this Amendment remain in full force and effect.</w:t>
      </w:r>
    </w:p>
    <w:p>
      <w:pPr>
        <w:spacing w:after="0" w:line="214" w:lineRule="exact"/>
        <w:rPr>
          <w:rFonts w:ascii="Arial" w:cs="Arial" w:eastAsia="Arial" w:hAnsi="Arial"/>
          <w:sz w:val="20"/>
          <w:szCs w:val="20"/>
          <w:color w:val="auto"/>
        </w:rPr>
      </w:pPr>
    </w:p>
    <w:p>
      <w:pPr>
        <w:ind w:right="200" w:firstLine="1569"/>
        <w:spacing w:after="0"/>
        <w:tabs>
          <w:tab w:leader="none" w:pos="2449" w:val="left"/>
        </w:tabs>
        <w:numPr>
          <w:ilvl w:val="0"/>
          <w:numId w:val="94"/>
        </w:numPr>
        <w:rPr>
          <w:rFonts w:ascii="Arial" w:cs="Arial" w:eastAsia="Arial" w:hAnsi="Arial"/>
          <w:sz w:val="20"/>
          <w:szCs w:val="20"/>
          <w:color w:val="auto"/>
        </w:rPr>
      </w:pPr>
      <w:r>
        <w:rPr>
          <w:rFonts w:ascii="Arial" w:cs="Arial" w:eastAsia="Arial" w:hAnsi="Arial"/>
          <w:sz w:val="22"/>
          <w:szCs w:val="22"/>
          <w:u w:val="single" w:color="auto"/>
          <w:color w:val="auto"/>
        </w:rPr>
        <w:t>Execution in Counterparts</w:t>
      </w:r>
      <w:r>
        <w:rPr>
          <w:rFonts w:ascii="Arial" w:cs="Arial" w:eastAsia="Arial" w:hAnsi="Arial"/>
          <w:sz w:val="22"/>
          <w:szCs w:val="22"/>
          <w:color w:val="auto"/>
        </w:rPr>
        <w:t>. This Amendment may be executed in any number of counterparts, each of which when so executed shall be deemed to be an original and all of which when taken together shall constitute one and the same agreement.</w:t>
      </w:r>
    </w:p>
    <w:p>
      <w:pPr>
        <w:spacing w:after="0" w:line="213" w:lineRule="exact"/>
        <w:rPr>
          <w:rFonts w:ascii="Arial" w:cs="Arial" w:eastAsia="Arial" w:hAnsi="Arial"/>
          <w:sz w:val="20"/>
          <w:szCs w:val="20"/>
          <w:color w:val="auto"/>
        </w:rPr>
      </w:pPr>
    </w:p>
    <w:p>
      <w:pPr>
        <w:ind w:right="120" w:firstLine="1569"/>
        <w:spacing w:after="0" w:line="250" w:lineRule="auto"/>
        <w:tabs>
          <w:tab w:leader="none" w:pos="2456" w:val="left"/>
        </w:tabs>
        <w:numPr>
          <w:ilvl w:val="0"/>
          <w:numId w:val="94"/>
        </w:numPr>
        <w:rPr>
          <w:rFonts w:ascii="Arial" w:cs="Arial" w:eastAsia="Arial" w:hAnsi="Arial"/>
          <w:sz w:val="20"/>
          <w:szCs w:val="20"/>
          <w:color w:val="auto"/>
        </w:rPr>
      </w:pPr>
      <w:r>
        <w:rPr>
          <w:rFonts w:ascii="Arial" w:cs="Arial" w:eastAsia="Arial" w:hAnsi="Arial"/>
          <w:sz w:val="22"/>
          <w:szCs w:val="22"/>
          <w:u w:val="single" w:color="auto"/>
          <w:color w:val="auto"/>
        </w:rPr>
        <w:t>Transaction Document</w:t>
      </w:r>
      <w:r>
        <w:rPr>
          <w:rFonts w:ascii="Arial" w:cs="Arial" w:eastAsia="Arial" w:hAnsi="Arial"/>
          <w:sz w:val="22"/>
          <w:szCs w:val="22"/>
          <w:color w:val="auto"/>
        </w:rPr>
        <w:t>. This Amendment is hereby designated by the Administrative Agent and the Borrowers as a Transaction Document.</w:t>
      </w:r>
    </w:p>
    <w:p>
      <w:pPr>
        <w:spacing w:after="0" w:line="201" w:lineRule="exact"/>
        <w:rPr>
          <w:rFonts w:ascii="Arial" w:cs="Arial" w:eastAsia="Arial" w:hAnsi="Arial"/>
          <w:sz w:val="20"/>
          <w:szCs w:val="20"/>
          <w:color w:val="auto"/>
        </w:rPr>
      </w:pPr>
    </w:p>
    <w:p>
      <w:pPr>
        <w:ind w:left="2460" w:hanging="891"/>
        <w:spacing w:after="0"/>
        <w:tabs>
          <w:tab w:leader="none" w:pos="2460" w:val="left"/>
        </w:tabs>
        <w:numPr>
          <w:ilvl w:val="0"/>
          <w:numId w:val="94"/>
        </w:numPr>
        <w:rPr>
          <w:rFonts w:ascii="Arial" w:cs="Arial" w:eastAsia="Arial" w:hAnsi="Arial"/>
          <w:sz w:val="18"/>
          <w:szCs w:val="18"/>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shall be governed by, and construed in accordance with, the laws</w:t>
      </w:r>
    </w:p>
    <w:p>
      <w:pPr>
        <w:spacing w:after="0" w:line="4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of the State of New York.</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131" w:name="page132"/>
    <w:bookmarkEnd w:id="131"/>
    <w:p>
      <w:pPr>
        <w:ind w:right="180" w:firstLine="1561"/>
        <w:spacing w:after="0" w:line="260" w:lineRule="auto"/>
        <w:rPr>
          <w:sz w:val="20"/>
          <w:szCs w:val="20"/>
          <w:color w:val="auto"/>
        </w:rPr>
      </w:pPr>
      <w:r>
        <w:rPr>
          <w:rFonts w:ascii="Arial" w:cs="Arial" w:eastAsia="Arial" w:hAnsi="Arial"/>
          <w:sz w:val="20"/>
          <w:szCs w:val="20"/>
          <w:color w:val="auto"/>
        </w:rPr>
        <w:t>IN WITNESS WHEREOF, the parties hereto have caused this Amendment to be executed and delivered by their duly authorized officers or representatives as of the date first above written.</w:t>
      </w:r>
    </w:p>
    <w:p>
      <w:pPr>
        <w:spacing w:after="0" w:line="172"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EXISTING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6985</wp:posOffset>
            </wp:positionV>
            <wp:extent cx="32061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7"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SEACOR OSV PARTNERS I LP</w:t>
      </w:r>
    </w:p>
    <w:p>
      <w:pPr>
        <w:jc w:val="right"/>
        <w:spacing w:after="0" w:line="238" w:lineRule="auto"/>
        <w:rPr>
          <w:sz w:val="20"/>
          <w:szCs w:val="20"/>
          <w:color w:val="auto"/>
        </w:rPr>
      </w:pPr>
      <w:r>
        <w:rPr>
          <w:rFonts w:ascii="Arial" w:cs="Arial" w:eastAsia="Arial" w:hAnsi="Arial"/>
          <w:sz w:val="22"/>
          <w:szCs w:val="22"/>
          <w:color w:val="auto"/>
        </w:rPr>
        <w:t>By:  SEACOR OSV PARTNERS GP LLC, its General</w:t>
      </w:r>
    </w:p>
    <w:p>
      <w:pPr>
        <w:ind w:left="6660"/>
        <w:spacing w:after="0"/>
        <w:rPr>
          <w:sz w:val="20"/>
          <w:szCs w:val="20"/>
          <w:color w:val="auto"/>
        </w:rPr>
      </w:pPr>
      <w:r>
        <w:rPr>
          <w:rFonts w:ascii="Arial" w:cs="Arial" w:eastAsia="Arial" w:hAnsi="Arial"/>
          <w:sz w:val="22"/>
          <w:szCs w:val="22"/>
          <w:color w:val="auto"/>
        </w:rPr>
        <w:t>Partner</w:t>
      </w:r>
    </w:p>
    <w:p>
      <w:pPr>
        <w:spacing w:after="0" w:line="215"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By:  /s/Jesús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6985</wp:posOffset>
            </wp:positionV>
            <wp:extent cx="29057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4">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6660"/>
        <w:spacing w:after="0"/>
        <w:rPr>
          <w:sz w:val="20"/>
          <w:szCs w:val="20"/>
          <w:color w:val="auto"/>
        </w:rPr>
      </w:pPr>
      <w:r>
        <w:rPr>
          <w:rFonts w:ascii="Arial" w:cs="Arial" w:eastAsia="Arial" w:hAnsi="Arial"/>
          <w:sz w:val="22"/>
          <w:szCs w:val="22"/>
          <w:color w:val="auto"/>
        </w:rPr>
        <w:t>Name: Jesús Llorca</w:t>
      </w:r>
    </w:p>
    <w:p>
      <w:pPr>
        <w:ind w:left="6660"/>
        <w:spacing w:after="0"/>
        <w:rPr>
          <w:sz w:val="20"/>
          <w:szCs w:val="20"/>
          <w:color w:val="auto"/>
        </w:rPr>
      </w:pPr>
      <w:r>
        <w:rPr>
          <w:rFonts w:ascii="Arial" w:cs="Arial" w:eastAsia="Arial" w:hAnsi="Arial"/>
          <w:sz w:val="22"/>
          <w:szCs w:val="22"/>
          <w:color w:val="auto"/>
        </w:rPr>
        <w:t>Title: Manager</w:t>
      </w:r>
    </w:p>
    <w:p>
      <w:pPr>
        <w:spacing w:after="0" w:line="215"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SEACOR BRAVE LLC</w:t>
      </w:r>
    </w:p>
    <w:p>
      <w:pPr>
        <w:spacing w:after="0" w:line="233"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By:  /s/Jesús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6985</wp:posOffset>
            </wp:positionV>
            <wp:extent cx="29057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5">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6660"/>
        <w:spacing w:after="0"/>
        <w:rPr>
          <w:sz w:val="20"/>
          <w:szCs w:val="20"/>
          <w:color w:val="auto"/>
        </w:rPr>
      </w:pPr>
      <w:r>
        <w:rPr>
          <w:rFonts w:ascii="Arial" w:cs="Arial" w:eastAsia="Arial" w:hAnsi="Arial"/>
          <w:sz w:val="22"/>
          <w:szCs w:val="22"/>
          <w:color w:val="auto"/>
        </w:rPr>
        <w:t>Name: Jesús Llorca</w:t>
      </w:r>
    </w:p>
    <w:p>
      <w:pPr>
        <w:ind w:left="6660"/>
        <w:spacing w:after="0"/>
        <w:rPr>
          <w:sz w:val="20"/>
          <w:szCs w:val="20"/>
          <w:color w:val="auto"/>
        </w:rPr>
      </w:pPr>
      <w:r>
        <w:rPr>
          <w:rFonts w:ascii="Arial" w:cs="Arial" w:eastAsia="Arial" w:hAnsi="Arial"/>
          <w:sz w:val="22"/>
          <w:szCs w:val="22"/>
          <w:color w:val="auto"/>
        </w:rPr>
        <w:t>Title: Vice President</w:t>
      </w:r>
    </w:p>
    <w:p>
      <w:pPr>
        <w:spacing w:after="0" w:line="215"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SEACOR CHIEF LLC</w:t>
      </w:r>
    </w:p>
    <w:p>
      <w:pPr>
        <w:spacing w:after="0" w:line="233"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By:  /s/Jesús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6985</wp:posOffset>
            </wp:positionV>
            <wp:extent cx="29057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6">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6660"/>
        <w:spacing w:after="0"/>
        <w:rPr>
          <w:sz w:val="20"/>
          <w:szCs w:val="20"/>
          <w:color w:val="auto"/>
        </w:rPr>
      </w:pPr>
      <w:r>
        <w:rPr>
          <w:rFonts w:ascii="Arial" w:cs="Arial" w:eastAsia="Arial" w:hAnsi="Arial"/>
          <w:sz w:val="22"/>
          <w:szCs w:val="22"/>
          <w:color w:val="auto"/>
        </w:rPr>
        <w:t>Name: Jesús Llorca</w:t>
      </w:r>
    </w:p>
    <w:p>
      <w:pPr>
        <w:ind w:left="6660"/>
        <w:spacing w:after="0"/>
        <w:rPr>
          <w:sz w:val="20"/>
          <w:szCs w:val="20"/>
          <w:color w:val="auto"/>
        </w:rPr>
      </w:pPr>
      <w:r>
        <w:rPr>
          <w:rFonts w:ascii="Arial" w:cs="Arial" w:eastAsia="Arial" w:hAnsi="Arial"/>
          <w:sz w:val="22"/>
          <w:szCs w:val="22"/>
          <w:color w:val="auto"/>
        </w:rPr>
        <w:t>Title: Vice President</w:t>
      </w:r>
    </w:p>
    <w:p>
      <w:pPr>
        <w:spacing w:after="0" w:line="215"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SEACOR COURAGEOUS LLC</w:t>
      </w:r>
    </w:p>
    <w:p>
      <w:pPr>
        <w:spacing w:after="0" w:line="233"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By:  /s/Jesús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6985</wp:posOffset>
            </wp:positionV>
            <wp:extent cx="29057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7">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ind w:left="6660"/>
        <w:spacing w:after="0"/>
        <w:rPr>
          <w:sz w:val="20"/>
          <w:szCs w:val="20"/>
          <w:color w:val="auto"/>
        </w:rPr>
      </w:pPr>
      <w:r>
        <w:rPr>
          <w:rFonts w:ascii="Arial" w:cs="Arial" w:eastAsia="Arial" w:hAnsi="Arial"/>
          <w:sz w:val="22"/>
          <w:szCs w:val="22"/>
          <w:color w:val="auto"/>
        </w:rPr>
        <w:t>Name: Jesús Llorca</w:t>
      </w:r>
    </w:p>
    <w:p>
      <w:pPr>
        <w:ind w:left="6660"/>
        <w:spacing w:after="0"/>
        <w:rPr>
          <w:sz w:val="20"/>
          <w:szCs w:val="20"/>
          <w:color w:val="auto"/>
        </w:rPr>
      </w:pPr>
      <w:r>
        <w:rPr>
          <w:rFonts w:ascii="Arial" w:cs="Arial" w:eastAsia="Arial" w:hAnsi="Arial"/>
          <w:sz w:val="22"/>
          <w:szCs w:val="22"/>
          <w:color w:val="auto"/>
        </w:rPr>
        <w:t>Title: Vice President</w:t>
      </w:r>
    </w:p>
    <w:p>
      <w:pPr>
        <w:spacing w:after="0" w:line="215"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SEACOR FEARLESS LLC</w:t>
      </w:r>
    </w:p>
    <w:p>
      <w:pPr>
        <w:spacing w:after="0" w:line="233"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By:  /s/Jesús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6985</wp:posOffset>
            </wp:positionV>
            <wp:extent cx="29057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8">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6660"/>
        <w:spacing w:after="0"/>
        <w:rPr>
          <w:sz w:val="20"/>
          <w:szCs w:val="20"/>
          <w:color w:val="auto"/>
        </w:rPr>
      </w:pPr>
      <w:r>
        <w:rPr>
          <w:rFonts w:ascii="Arial" w:cs="Arial" w:eastAsia="Arial" w:hAnsi="Arial"/>
          <w:sz w:val="22"/>
          <w:szCs w:val="22"/>
          <w:color w:val="auto"/>
        </w:rPr>
        <w:t>Name: Jesús Llorca</w:t>
      </w:r>
    </w:p>
    <w:p>
      <w:pPr>
        <w:ind w:left="6660"/>
        <w:spacing w:after="0"/>
        <w:rPr>
          <w:sz w:val="20"/>
          <w:szCs w:val="20"/>
          <w:color w:val="auto"/>
        </w:rPr>
      </w:pPr>
      <w:r>
        <w:rPr>
          <w:rFonts w:ascii="Arial" w:cs="Arial" w:eastAsia="Arial" w:hAnsi="Arial"/>
          <w:sz w:val="22"/>
          <w:szCs w:val="22"/>
          <w:color w:val="auto"/>
        </w:rPr>
        <w:t>Title: Vice President</w:t>
      </w:r>
    </w:p>
    <w:p>
      <w:pPr>
        <w:spacing w:after="0" w:line="215"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SEACOR RESOLUTE LLC</w:t>
      </w:r>
    </w:p>
    <w:p>
      <w:pPr>
        <w:spacing w:after="0" w:line="233"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By:  /s/Jesús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6985</wp:posOffset>
            </wp:positionV>
            <wp:extent cx="29057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9">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6660"/>
        <w:spacing w:after="0"/>
        <w:rPr>
          <w:sz w:val="20"/>
          <w:szCs w:val="20"/>
          <w:color w:val="auto"/>
        </w:rPr>
      </w:pPr>
      <w:r>
        <w:rPr>
          <w:rFonts w:ascii="Arial" w:cs="Arial" w:eastAsia="Arial" w:hAnsi="Arial"/>
          <w:sz w:val="22"/>
          <w:szCs w:val="22"/>
          <w:color w:val="auto"/>
        </w:rPr>
        <w:t>Name: Jesús Llorca</w:t>
      </w:r>
    </w:p>
    <w:p>
      <w:pPr>
        <w:ind w:left="666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[Signature Page to Amendment No. 7 to OSV A&amp;R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60"/>
          </w:cols>
          <w:pgMar w:left="320" w:top="582" w:right="619" w:bottom="1440" w:gutter="0" w:footer="0" w:header="0"/>
        </w:sectPr>
      </w:pPr>
    </w:p>
    <w:bookmarkStart w:id="132" w:name="page133"/>
    <w:bookmarkEnd w:id="132"/>
    <w:p>
      <w:pPr>
        <w:ind w:left="5080"/>
        <w:spacing w:after="0"/>
        <w:rPr>
          <w:sz w:val="20"/>
          <w:szCs w:val="20"/>
          <w:color w:val="auto"/>
        </w:rPr>
      </w:pPr>
      <w:r>
        <w:rPr>
          <w:rFonts w:ascii="Arial" w:cs="Arial" w:eastAsia="Arial" w:hAnsi="Arial"/>
          <w:sz w:val="20"/>
          <w:szCs w:val="20"/>
          <w:color w:val="auto"/>
        </w:rPr>
        <w:t>INCOMING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10160</wp:posOffset>
            </wp:positionV>
            <wp:extent cx="32061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36"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SEACOR OFFSHORE OSV LLC</w:t>
      </w:r>
    </w:p>
    <w:p>
      <w:pPr>
        <w:spacing w:after="0" w:line="238"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By:  /s/Jesús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6985</wp:posOffset>
            </wp:positionV>
            <wp:extent cx="29057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5540"/>
        <w:spacing w:after="0"/>
        <w:rPr>
          <w:sz w:val="20"/>
          <w:szCs w:val="20"/>
          <w:color w:val="auto"/>
        </w:rPr>
      </w:pPr>
      <w:r>
        <w:rPr>
          <w:rFonts w:ascii="Arial" w:cs="Arial" w:eastAsia="Arial" w:hAnsi="Arial"/>
          <w:sz w:val="22"/>
          <w:szCs w:val="22"/>
          <w:color w:val="auto"/>
        </w:rPr>
        <w:t>Name: Jesús Llorca</w:t>
      </w:r>
    </w:p>
    <w:p>
      <w:pPr>
        <w:ind w:left="5540"/>
        <w:spacing w:after="0"/>
        <w:rPr>
          <w:sz w:val="20"/>
          <w:szCs w:val="20"/>
          <w:color w:val="auto"/>
        </w:rPr>
      </w:pPr>
      <w:r>
        <w:rPr>
          <w:rFonts w:ascii="Arial" w:cs="Arial" w:eastAsia="Arial" w:hAnsi="Arial"/>
          <w:sz w:val="22"/>
          <w:szCs w:val="22"/>
          <w:color w:val="auto"/>
        </w:rPr>
        <w:t xml:space="preserve">Title: Vice President </w:t>
      </w:r>
      <w:r>
        <w:rPr>
          <w:rFonts w:ascii="Arial" w:cs="Arial" w:eastAsia="Arial" w:hAnsi="Arial"/>
          <w:sz w:val="19"/>
          <w:szCs w:val="19"/>
          <w:color w:val="auto"/>
        </w:rPr>
        <w:t>and Treasurer</w:t>
      </w:r>
    </w:p>
    <w:p>
      <w:pPr>
        <w:spacing w:after="0" w:line="188"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DNB BANK ASA, New York Branch</w:t>
      </w:r>
    </w:p>
    <w:p>
      <w:pPr>
        <w:spacing w:after="0" w:line="8"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as Administrative Agent and Security Trustee</w:t>
      </w:r>
    </w:p>
    <w:p>
      <w:pPr>
        <w:spacing w:after="0" w:line="250"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By:  /s/ L. Taylor Coley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6985</wp:posOffset>
            </wp:positionV>
            <wp:extent cx="29057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5540"/>
        <w:spacing w:after="0"/>
        <w:rPr>
          <w:sz w:val="20"/>
          <w:szCs w:val="20"/>
          <w:color w:val="auto"/>
        </w:rPr>
      </w:pPr>
      <w:r>
        <w:rPr>
          <w:rFonts w:ascii="Arial" w:cs="Arial" w:eastAsia="Arial" w:hAnsi="Arial"/>
          <w:sz w:val="22"/>
          <w:szCs w:val="22"/>
          <w:color w:val="auto"/>
        </w:rPr>
        <w:t>Name: L. Taylor Coley</w:t>
      </w:r>
    </w:p>
    <w:p>
      <w:pPr>
        <w:ind w:left="5540"/>
        <w:spacing w:after="0"/>
        <w:rPr>
          <w:sz w:val="20"/>
          <w:szCs w:val="20"/>
          <w:color w:val="auto"/>
        </w:rPr>
      </w:pPr>
      <w:r>
        <w:rPr>
          <w:rFonts w:ascii="Arial" w:cs="Arial" w:eastAsia="Arial" w:hAnsi="Arial"/>
          <w:sz w:val="22"/>
          <w:szCs w:val="22"/>
          <w:color w:val="auto"/>
        </w:rPr>
        <w:t>Title: Attorney in Fact</w:t>
      </w:r>
    </w:p>
    <w:p>
      <w:pPr>
        <w:spacing w:after="0" w:line="215"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DNB CAPITAL LLC,</w:t>
      </w:r>
    </w:p>
    <w:p>
      <w:pPr>
        <w:spacing w:after="0" w:line="8"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as Lender</w:t>
      </w:r>
    </w:p>
    <w:p>
      <w:pPr>
        <w:spacing w:after="0" w:line="215"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By:  /s/ L. Taylor Coley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6985</wp:posOffset>
            </wp:positionV>
            <wp:extent cx="29057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4">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5540"/>
        <w:spacing w:after="0"/>
        <w:rPr>
          <w:sz w:val="20"/>
          <w:szCs w:val="20"/>
          <w:color w:val="auto"/>
        </w:rPr>
      </w:pPr>
      <w:r>
        <w:rPr>
          <w:rFonts w:ascii="Arial" w:cs="Arial" w:eastAsia="Arial" w:hAnsi="Arial"/>
          <w:sz w:val="22"/>
          <w:szCs w:val="22"/>
          <w:color w:val="auto"/>
        </w:rPr>
        <w:t>Name: L. Taylor Coley</w:t>
      </w:r>
    </w:p>
    <w:p>
      <w:pPr>
        <w:ind w:left="5540"/>
        <w:spacing w:after="0"/>
        <w:rPr>
          <w:sz w:val="20"/>
          <w:szCs w:val="20"/>
          <w:color w:val="auto"/>
        </w:rPr>
      </w:pPr>
      <w:r>
        <w:rPr>
          <w:rFonts w:ascii="Arial" w:cs="Arial" w:eastAsia="Arial" w:hAnsi="Arial"/>
          <w:sz w:val="22"/>
          <w:szCs w:val="22"/>
          <w:color w:val="auto"/>
        </w:rPr>
        <w:t>Title: Attorney in Fact</w:t>
      </w:r>
    </w:p>
    <w:p>
      <w:pPr>
        <w:spacing w:after="0" w:line="215"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COMERICA BANK</w:t>
      </w:r>
    </w:p>
    <w:p>
      <w:pPr>
        <w:spacing w:after="0" w:line="8"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as Facility Agent and Lender</w:t>
      </w:r>
    </w:p>
    <w:p>
      <w:pPr>
        <w:spacing w:after="0" w:line="215"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By:  /s/Leslie B. Higginbotham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6985</wp:posOffset>
            </wp:positionV>
            <wp:extent cx="29057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5">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5540"/>
        <w:spacing w:after="0"/>
        <w:rPr>
          <w:sz w:val="20"/>
          <w:szCs w:val="20"/>
          <w:color w:val="auto"/>
        </w:rPr>
      </w:pPr>
      <w:r>
        <w:rPr>
          <w:rFonts w:ascii="Arial" w:cs="Arial" w:eastAsia="Arial" w:hAnsi="Arial"/>
          <w:sz w:val="22"/>
          <w:szCs w:val="22"/>
          <w:color w:val="auto"/>
        </w:rPr>
        <w:t>Name: Lesley B. Higginbotham</w:t>
      </w:r>
    </w:p>
    <w:p>
      <w:pPr>
        <w:ind w:left="5540"/>
        <w:spacing w:after="0"/>
        <w:rPr>
          <w:sz w:val="20"/>
          <w:szCs w:val="20"/>
          <w:color w:val="auto"/>
        </w:rPr>
      </w:pPr>
      <w:r>
        <w:rPr>
          <w:rFonts w:ascii="Arial" w:cs="Arial" w:eastAsia="Arial" w:hAnsi="Arial"/>
          <w:sz w:val="22"/>
          <w:szCs w:val="22"/>
          <w:color w:val="auto"/>
        </w:rPr>
        <w:t>Title: Vice President</w:t>
      </w:r>
    </w:p>
    <w:p>
      <w:pPr>
        <w:spacing w:after="0" w:line="215"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SEACOR MARINE CAPITAL INC.</w:t>
      </w:r>
    </w:p>
    <w:p>
      <w:pPr>
        <w:spacing w:after="0" w:line="8"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as Lender</w:t>
      </w:r>
    </w:p>
    <w:p>
      <w:pPr>
        <w:spacing w:after="0" w:line="215"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By:  /s/Jesús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6985</wp:posOffset>
            </wp:positionV>
            <wp:extent cx="29057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6">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5540"/>
        <w:spacing w:after="0"/>
        <w:rPr>
          <w:sz w:val="20"/>
          <w:szCs w:val="20"/>
          <w:color w:val="auto"/>
        </w:rPr>
      </w:pPr>
      <w:r>
        <w:rPr>
          <w:rFonts w:ascii="Arial" w:cs="Arial" w:eastAsia="Arial" w:hAnsi="Arial"/>
          <w:sz w:val="22"/>
          <w:szCs w:val="22"/>
          <w:color w:val="auto"/>
        </w:rPr>
        <w:t>Name: Jesús Llorca</w:t>
      </w:r>
    </w:p>
    <w:p>
      <w:pPr>
        <w:ind w:left="554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Amendment No. 7 to OSV A&amp;R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496570</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798" w:right="1440" w:bottom="1440" w:gutter="0" w:footer="0" w:header="0"/>
        </w:sectPr>
      </w:pPr>
    </w:p>
    <w:bookmarkStart w:id="133" w:name="page134"/>
    <w:bookmarkEnd w:id="133"/>
    <w:p>
      <w:pPr>
        <w:jc w:val="right"/>
        <w:spacing w:after="0"/>
        <w:rPr>
          <w:sz w:val="20"/>
          <w:szCs w:val="20"/>
          <w:color w:val="auto"/>
        </w:rPr>
      </w:pPr>
      <w:r>
        <w:rPr>
          <w:rFonts w:ascii="Arial" w:cs="Arial" w:eastAsia="Arial" w:hAnsi="Arial"/>
          <w:sz w:val="20"/>
          <w:szCs w:val="20"/>
          <w:b w:val="1"/>
          <w:bCs w:val="1"/>
          <w:color w:val="auto"/>
        </w:rPr>
        <w:t>Annex A</w:t>
      </w:r>
    </w:p>
    <w:p>
      <w:pPr>
        <w:spacing w:after="0" w:line="216"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auto"/>
        </w:rPr>
        <w:t>Amendments to Existing Credit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490220</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76"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422910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t>Annex A</w:t>
      </w:r>
    </w:p>
    <w:p>
      <w:pPr>
        <w:spacing w:after="0" w:line="173" w:lineRule="exact"/>
        <w:rPr>
          <w:sz w:val="20"/>
          <w:szCs w:val="20"/>
          <w:color w:val="auto"/>
        </w:rPr>
      </w:pPr>
    </w:p>
    <w:p>
      <w:pPr>
        <w:jc w:val="center"/>
        <w:ind w:right="1140"/>
        <w:spacing w:after="0"/>
        <w:rPr>
          <w:sz w:val="20"/>
          <w:szCs w:val="20"/>
          <w:color w:val="auto"/>
        </w:rPr>
      </w:pPr>
      <w:r>
        <w:rPr>
          <w:rFonts w:ascii="Arial" w:cs="Arial" w:eastAsia="Arial" w:hAnsi="Arial"/>
          <w:sz w:val="21"/>
          <w:szCs w:val="21"/>
          <w:b w:val="1"/>
          <w:bCs w:val="1"/>
          <w:color w:val="auto"/>
        </w:rPr>
        <w:t>SECOND AMENDED AND RESTATED CREDIT FACILITY AGREEMENTPROVIDING FOR A</w:t>
      </w:r>
    </w:p>
    <w:p>
      <w:pPr>
        <w:spacing w:after="0" w:line="16"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SENIOR SECURED TERM LOAN OF UP</w:t>
      </w:r>
    </w:p>
    <w:p>
      <w:pPr>
        <w:jc w:val="center"/>
        <w:ind w:right="1140"/>
        <w:spacing w:after="0"/>
        <w:rPr>
          <w:sz w:val="20"/>
          <w:szCs w:val="20"/>
          <w:color w:val="auto"/>
        </w:rPr>
      </w:pPr>
      <w:r>
        <w:rPr>
          <w:rFonts w:ascii="Arial" w:cs="Arial" w:eastAsia="Arial" w:hAnsi="Arial"/>
          <w:sz w:val="22"/>
          <w:szCs w:val="22"/>
          <w:b w:val="1"/>
          <w:bCs w:val="1"/>
          <w:color w:val="auto"/>
        </w:rPr>
        <w:t>TO US$18,052,311.80</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SEACOR OFFSHORE OSV LLC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SEACOR BRAVE LLC, SEACOR</w:t>
      </w:r>
    </w:p>
    <w:p>
      <w:pPr>
        <w:jc w:val="center"/>
        <w:ind w:right="1120"/>
        <w:spacing w:after="0" w:line="230" w:lineRule="auto"/>
        <w:rPr>
          <w:sz w:val="20"/>
          <w:szCs w:val="20"/>
          <w:color w:val="auto"/>
        </w:rPr>
      </w:pPr>
      <w:r>
        <w:rPr>
          <w:rFonts w:ascii="Arial" w:cs="Arial" w:eastAsia="Arial" w:hAnsi="Arial"/>
          <w:sz w:val="22"/>
          <w:szCs w:val="22"/>
          <w:b w:val="1"/>
          <w:bCs w:val="1"/>
          <w:color w:val="auto"/>
        </w:rPr>
        <w:t>CHIEF LLC, SEACOR</w:t>
      </w:r>
    </w:p>
    <w:p>
      <w:pPr>
        <w:jc w:val="center"/>
        <w:ind w:right="1120"/>
        <w:spacing w:after="0" w:line="231" w:lineRule="auto"/>
        <w:rPr>
          <w:sz w:val="20"/>
          <w:szCs w:val="20"/>
          <w:color w:val="auto"/>
        </w:rPr>
      </w:pPr>
      <w:r>
        <w:rPr>
          <w:rFonts w:ascii="Arial" w:cs="Arial" w:eastAsia="Arial" w:hAnsi="Arial"/>
          <w:sz w:val="22"/>
          <w:szCs w:val="22"/>
          <w:b w:val="1"/>
          <w:bCs w:val="1"/>
          <w:color w:val="auto"/>
        </w:rPr>
        <w:t>COURAGEOUS LLC, SEACOR</w:t>
      </w:r>
    </w:p>
    <w:p>
      <w:pPr>
        <w:jc w:val="center"/>
        <w:ind w:right="1120"/>
        <w:spacing w:after="0" w:line="230" w:lineRule="auto"/>
        <w:rPr>
          <w:sz w:val="20"/>
          <w:szCs w:val="20"/>
          <w:color w:val="auto"/>
        </w:rPr>
      </w:pPr>
      <w:r>
        <w:rPr>
          <w:rFonts w:ascii="Arial" w:cs="Arial" w:eastAsia="Arial" w:hAnsi="Arial"/>
          <w:sz w:val="22"/>
          <w:szCs w:val="22"/>
          <w:b w:val="1"/>
          <w:bCs w:val="1"/>
          <w:color w:val="auto"/>
        </w:rPr>
        <w:t>FEARLESS LLC</w:t>
      </w:r>
    </w:p>
    <w:p>
      <w:pPr>
        <w:jc w:val="center"/>
        <w:ind w:right="1120"/>
        <w:spacing w:after="0" w:line="231" w:lineRule="auto"/>
        <w:rPr>
          <w:sz w:val="20"/>
          <w:szCs w:val="20"/>
          <w:color w:val="auto"/>
        </w:rPr>
      </w:pPr>
      <w:r>
        <w:rPr>
          <w:rFonts w:ascii="Arial" w:cs="Arial" w:eastAsia="Arial" w:hAnsi="Arial"/>
          <w:sz w:val="22"/>
          <w:szCs w:val="22"/>
          <w:b w:val="1"/>
          <w:bCs w:val="1"/>
          <w:color w:val="auto"/>
        </w:rPr>
        <w:t>and</w:t>
      </w:r>
    </w:p>
    <w:p>
      <w:pPr>
        <w:jc w:val="center"/>
        <w:ind w:right="1120"/>
        <w:spacing w:after="0" w:line="230" w:lineRule="auto"/>
        <w:rPr>
          <w:sz w:val="20"/>
          <w:szCs w:val="20"/>
          <w:color w:val="auto"/>
        </w:rPr>
      </w:pPr>
      <w:r>
        <w:rPr>
          <w:rFonts w:ascii="Arial" w:cs="Arial" w:eastAsia="Arial" w:hAnsi="Arial"/>
          <w:sz w:val="22"/>
          <w:szCs w:val="22"/>
          <w:b w:val="1"/>
          <w:bCs w:val="1"/>
          <w:color w:val="auto"/>
        </w:rPr>
        <w:t>SEACOR RESOLUTE LLC,</w:t>
      </w:r>
    </w:p>
    <w:p>
      <w:pPr>
        <w:jc w:val="center"/>
        <w:ind w:right="1140"/>
        <w:spacing w:after="0" w:line="231" w:lineRule="auto"/>
        <w:rPr>
          <w:sz w:val="20"/>
          <w:szCs w:val="20"/>
          <w:color w:val="auto"/>
        </w:rPr>
      </w:pPr>
      <w:r>
        <w:rPr>
          <w:rFonts w:ascii="Arial" w:cs="Arial" w:eastAsia="Arial" w:hAnsi="Arial"/>
          <w:sz w:val="22"/>
          <w:szCs w:val="22"/>
          <w:b w:val="1"/>
          <w:bCs w:val="1"/>
          <w:color w:val="auto"/>
        </w:rPr>
        <w:t>as Joint and Several Borrowers, AND</w:t>
      </w:r>
    </w:p>
    <w:p>
      <w:pPr>
        <w:jc w:val="center"/>
        <w:ind w:right="1140"/>
        <w:spacing w:after="0"/>
        <w:rPr>
          <w:sz w:val="20"/>
          <w:szCs w:val="20"/>
          <w:color w:val="auto"/>
        </w:rPr>
      </w:pPr>
      <w:r>
        <w:rPr>
          <w:rFonts w:ascii="Arial" w:cs="Arial" w:eastAsia="Arial" w:hAnsi="Arial"/>
          <w:sz w:val="22"/>
          <w:szCs w:val="22"/>
          <w:b w:val="1"/>
          <w:bCs w:val="1"/>
          <w:color w:val="auto"/>
        </w:rPr>
        <w:t>The Banks and Financial Institutions listed on Schedule I hereto, as Lenders,</w:t>
      </w:r>
    </w:p>
    <w:p>
      <w:pPr>
        <w:spacing w:after="0" w:line="209"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DNB MARKETS, INC.,</w:t>
      </w:r>
    </w:p>
    <w:p>
      <w:pPr>
        <w:spacing w:after="0" w:line="4"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as Bookrunner and Mandated Lead Arranger, AND</w:t>
      </w:r>
    </w:p>
    <w:p>
      <w:pPr>
        <w:jc w:val="center"/>
        <w:ind w:right="1140"/>
        <w:spacing w:after="0" w:line="230" w:lineRule="auto"/>
        <w:rPr>
          <w:sz w:val="20"/>
          <w:szCs w:val="20"/>
          <w:color w:val="auto"/>
        </w:rPr>
      </w:pPr>
      <w:r>
        <w:rPr>
          <w:rFonts w:ascii="Arial" w:cs="Arial" w:eastAsia="Arial" w:hAnsi="Arial"/>
          <w:sz w:val="22"/>
          <w:szCs w:val="22"/>
          <w:b w:val="1"/>
          <w:bCs w:val="1"/>
          <w:color w:val="auto"/>
        </w:rPr>
        <w:t>DNB BANK ASA, NEW YORK BRANCH,</w:t>
      </w:r>
    </w:p>
    <w:p>
      <w:pPr>
        <w:jc w:val="center"/>
        <w:ind w:right="1140"/>
        <w:spacing w:after="0" w:line="231" w:lineRule="auto"/>
        <w:rPr>
          <w:sz w:val="20"/>
          <w:szCs w:val="20"/>
          <w:color w:val="auto"/>
        </w:rPr>
      </w:pPr>
      <w:r>
        <w:rPr>
          <w:rFonts w:ascii="Arial" w:cs="Arial" w:eastAsia="Arial" w:hAnsi="Arial"/>
          <w:sz w:val="22"/>
          <w:szCs w:val="22"/>
          <w:b w:val="1"/>
          <w:bCs w:val="1"/>
          <w:color w:val="auto"/>
        </w:rPr>
        <w:t>as Administrative Agent and Security Trustee, AND</w:t>
      </w:r>
    </w:p>
    <w:p>
      <w:pPr>
        <w:jc w:val="center"/>
        <w:ind w:right="1140"/>
        <w:spacing w:after="0" w:line="230" w:lineRule="auto"/>
        <w:rPr>
          <w:sz w:val="20"/>
          <w:szCs w:val="20"/>
          <w:color w:val="auto"/>
        </w:rPr>
      </w:pPr>
      <w:r>
        <w:rPr>
          <w:rFonts w:ascii="Arial" w:cs="Arial" w:eastAsia="Arial" w:hAnsi="Arial"/>
          <w:sz w:val="22"/>
          <w:szCs w:val="22"/>
          <w:b w:val="1"/>
          <w:bCs w:val="1"/>
          <w:color w:val="auto"/>
        </w:rPr>
        <w:t>COMERICA BANK,</w:t>
      </w:r>
    </w:p>
    <w:p>
      <w:pPr>
        <w:spacing w:after="0" w:line="1"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as Facility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313055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495300</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40"/>
          </w:cols>
          <w:pgMar w:left="1220" w:top="914" w:right="339" w:bottom="1440" w:gutter="0" w:footer="0" w:header="0"/>
        </w:sectPr>
      </w:pPr>
    </w:p>
    <w:bookmarkStart w:id="135" w:name="page136"/>
    <w:bookmarkEnd w:id="135"/>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278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229"/>
        </w:trPr>
        <w:tc>
          <w:tcPr>
            <w:tcW w:w="440" w:type="dxa"/>
            <w:vAlign w:val="bottom"/>
          </w:tcPr>
          <w:p>
            <w:pPr>
              <w:spacing w:after="0"/>
              <w:rPr>
                <w:sz w:val="20"/>
                <w:szCs w:val="20"/>
                <w:color w:val="auto"/>
              </w:rPr>
            </w:pPr>
            <w:r>
              <w:rPr>
                <w:rFonts w:ascii="Arial" w:cs="Arial" w:eastAsia="Arial" w:hAnsi="Arial"/>
                <w:sz w:val="20"/>
                <w:szCs w:val="20"/>
                <w:color w:val="auto"/>
              </w:rPr>
              <w:t>1</w:t>
            </w:r>
          </w:p>
        </w:tc>
        <w:tc>
          <w:tcPr>
            <w:tcW w:w="8040" w:type="dxa"/>
            <w:vAlign w:val="bottom"/>
            <w:gridSpan w:val="2"/>
          </w:tcPr>
          <w:p>
            <w:pPr>
              <w:ind w:left="220"/>
              <w:spacing w:after="0"/>
              <w:rPr>
                <w:sz w:val="20"/>
                <w:szCs w:val="20"/>
                <w:color w:val="auto"/>
              </w:rPr>
            </w:pPr>
            <w:r>
              <w:rPr>
                <w:rFonts w:ascii="Arial" w:cs="Arial" w:eastAsia="Arial" w:hAnsi="Arial"/>
                <w:sz w:val="20"/>
                <w:szCs w:val="20"/>
                <w:color w:val="auto"/>
              </w:rPr>
              <w:t>DEFINITIONS</w:t>
            </w:r>
          </w:p>
        </w:tc>
        <w:tc>
          <w:tcPr>
            <w:tcW w:w="27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30"/>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1.1</w:t>
            </w:r>
          </w:p>
        </w:tc>
        <w:tc>
          <w:tcPr>
            <w:tcW w:w="7320" w:type="dxa"/>
            <w:vAlign w:val="bottom"/>
          </w:tcPr>
          <w:p>
            <w:pPr>
              <w:ind w:left="160"/>
              <w:spacing w:after="0"/>
              <w:rPr>
                <w:sz w:val="20"/>
                <w:szCs w:val="20"/>
                <w:color w:val="auto"/>
              </w:rPr>
            </w:pPr>
            <w:r>
              <w:rPr>
                <w:rFonts w:ascii="Arial" w:cs="Arial" w:eastAsia="Arial" w:hAnsi="Arial"/>
                <w:sz w:val="20"/>
                <w:szCs w:val="20"/>
                <w:color w:val="auto"/>
              </w:rPr>
              <w:t>Specific Definitions</w:t>
            </w:r>
          </w:p>
        </w:tc>
        <w:tc>
          <w:tcPr>
            <w:tcW w:w="27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29"/>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1.2</w:t>
            </w:r>
          </w:p>
        </w:tc>
        <w:tc>
          <w:tcPr>
            <w:tcW w:w="7320" w:type="dxa"/>
            <w:vAlign w:val="bottom"/>
          </w:tcPr>
          <w:p>
            <w:pPr>
              <w:ind w:left="160"/>
              <w:spacing w:after="0"/>
              <w:rPr>
                <w:sz w:val="20"/>
                <w:szCs w:val="20"/>
                <w:color w:val="auto"/>
              </w:rPr>
            </w:pPr>
            <w:r>
              <w:rPr>
                <w:rFonts w:ascii="Arial" w:cs="Arial" w:eastAsia="Arial" w:hAnsi="Arial"/>
                <w:sz w:val="20"/>
                <w:szCs w:val="20"/>
                <w:color w:val="auto"/>
              </w:rPr>
              <w:t>Computation of Time Periods; Other Definitional Provisions</w:t>
            </w:r>
          </w:p>
        </w:tc>
        <w:tc>
          <w:tcPr>
            <w:tcW w:w="27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29"/>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1.3</w:t>
            </w:r>
          </w:p>
        </w:tc>
        <w:tc>
          <w:tcPr>
            <w:tcW w:w="7320" w:type="dxa"/>
            <w:vAlign w:val="bottom"/>
          </w:tcPr>
          <w:p>
            <w:pPr>
              <w:ind w:left="160"/>
              <w:spacing w:after="0"/>
              <w:rPr>
                <w:sz w:val="20"/>
                <w:szCs w:val="20"/>
                <w:color w:val="auto"/>
              </w:rPr>
            </w:pPr>
            <w:r>
              <w:rPr>
                <w:rFonts w:ascii="Arial" w:cs="Arial" w:eastAsia="Arial" w:hAnsi="Arial"/>
                <w:sz w:val="20"/>
                <w:szCs w:val="20"/>
                <w:color w:val="auto"/>
              </w:rPr>
              <w:t>Accounting Terms</w:t>
            </w:r>
          </w:p>
        </w:tc>
        <w:tc>
          <w:tcPr>
            <w:tcW w:w="27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30"/>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1.4</w:t>
            </w:r>
          </w:p>
        </w:tc>
        <w:tc>
          <w:tcPr>
            <w:tcW w:w="7320" w:type="dxa"/>
            <w:vAlign w:val="bottom"/>
          </w:tcPr>
          <w:p>
            <w:pPr>
              <w:ind w:left="160"/>
              <w:spacing w:after="0"/>
              <w:rPr>
                <w:sz w:val="20"/>
                <w:szCs w:val="20"/>
                <w:color w:val="auto"/>
              </w:rPr>
            </w:pPr>
            <w:r>
              <w:rPr>
                <w:rFonts w:ascii="Arial" w:cs="Arial" w:eastAsia="Arial" w:hAnsi="Arial"/>
                <w:sz w:val="20"/>
                <w:szCs w:val="20"/>
                <w:color w:val="auto"/>
              </w:rPr>
              <w:t>Certain Matters Regarding Materiality</w:t>
            </w:r>
          </w:p>
        </w:tc>
        <w:tc>
          <w:tcPr>
            <w:tcW w:w="27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29"/>
        </w:trPr>
        <w:tc>
          <w:tcPr>
            <w:tcW w:w="440" w:type="dxa"/>
            <w:vAlign w:val="bottom"/>
          </w:tcPr>
          <w:p>
            <w:pPr>
              <w:spacing w:after="0"/>
              <w:rPr>
                <w:sz w:val="20"/>
                <w:szCs w:val="20"/>
                <w:color w:val="auto"/>
              </w:rPr>
            </w:pPr>
            <w:r>
              <w:rPr>
                <w:rFonts w:ascii="Arial" w:cs="Arial" w:eastAsia="Arial" w:hAnsi="Arial"/>
                <w:sz w:val="20"/>
                <w:szCs w:val="20"/>
                <w:color w:val="auto"/>
              </w:rPr>
              <w:t>2</w:t>
            </w:r>
          </w:p>
        </w:tc>
        <w:tc>
          <w:tcPr>
            <w:tcW w:w="8040" w:type="dxa"/>
            <w:vAlign w:val="bottom"/>
            <w:gridSpan w:val="2"/>
          </w:tcPr>
          <w:p>
            <w:pPr>
              <w:ind w:left="220"/>
              <w:spacing w:after="0"/>
              <w:rPr>
                <w:sz w:val="20"/>
                <w:szCs w:val="20"/>
                <w:color w:val="auto"/>
              </w:rPr>
            </w:pPr>
            <w:r>
              <w:rPr>
                <w:rFonts w:ascii="Arial" w:cs="Arial" w:eastAsia="Arial" w:hAnsi="Arial"/>
                <w:sz w:val="20"/>
                <w:szCs w:val="20"/>
                <w:color w:val="auto"/>
              </w:rPr>
              <w:t>REPRESENTATIONS AND WARRANTIES</w:t>
            </w:r>
          </w:p>
        </w:tc>
        <w:tc>
          <w:tcPr>
            <w:tcW w:w="27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30"/>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2.1</w:t>
            </w:r>
          </w:p>
        </w:tc>
        <w:tc>
          <w:tcPr>
            <w:tcW w:w="7320" w:type="dxa"/>
            <w:vAlign w:val="bottom"/>
          </w:tcPr>
          <w:p>
            <w:pPr>
              <w:ind w:left="160"/>
              <w:spacing w:after="0"/>
              <w:rPr>
                <w:sz w:val="20"/>
                <w:szCs w:val="20"/>
                <w:color w:val="auto"/>
              </w:rPr>
            </w:pPr>
            <w:r>
              <w:rPr>
                <w:rFonts w:ascii="Arial" w:cs="Arial" w:eastAsia="Arial" w:hAnsi="Arial"/>
                <w:sz w:val="20"/>
                <w:szCs w:val="20"/>
                <w:color w:val="auto"/>
              </w:rPr>
              <w:t>Representations and Warranties</w:t>
            </w:r>
          </w:p>
        </w:tc>
        <w:tc>
          <w:tcPr>
            <w:tcW w:w="27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29"/>
        </w:trPr>
        <w:tc>
          <w:tcPr>
            <w:tcW w:w="440" w:type="dxa"/>
            <w:vAlign w:val="bottom"/>
          </w:tcPr>
          <w:p>
            <w:pPr>
              <w:spacing w:after="0"/>
              <w:rPr>
                <w:sz w:val="20"/>
                <w:szCs w:val="20"/>
                <w:color w:val="auto"/>
              </w:rPr>
            </w:pPr>
            <w:r>
              <w:rPr>
                <w:rFonts w:ascii="Arial" w:cs="Arial" w:eastAsia="Arial" w:hAnsi="Arial"/>
                <w:sz w:val="20"/>
                <w:szCs w:val="20"/>
                <w:color w:val="auto"/>
              </w:rPr>
              <w:t>3</w:t>
            </w:r>
          </w:p>
        </w:tc>
        <w:tc>
          <w:tcPr>
            <w:tcW w:w="8040" w:type="dxa"/>
            <w:vAlign w:val="bottom"/>
            <w:gridSpan w:val="2"/>
          </w:tcPr>
          <w:p>
            <w:pPr>
              <w:ind w:left="220"/>
              <w:spacing w:after="0"/>
              <w:rPr>
                <w:sz w:val="20"/>
                <w:szCs w:val="20"/>
                <w:color w:val="auto"/>
              </w:rPr>
            </w:pPr>
            <w:r>
              <w:rPr>
                <w:rFonts w:ascii="Arial" w:cs="Arial" w:eastAsia="Arial" w:hAnsi="Arial"/>
                <w:sz w:val="20"/>
                <w:szCs w:val="20"/>
                <w:color w:val="auto"/>
              </w:rPr>
              <w:t>THE FACILITY</w:t>
            </w:r>
          </w:p>
        </w:tc>
        <w:tc>
          <w:tcPr>
            <w:tcW w:w="27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29"/>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3.1</w:t>
            </w:r>
          </w:p>
        </w:tc>
        <w:tc>
          <w:tcPr>
            <w:tcW w:w="7320" w:type="dxa"/>
            <w:vAlign w:val="bottom"/>
          </w:tcPr>
          <w:p>
            <w:pPr>
              <w:ind w:left="160"/>
              <w:spacing w:after="0"/>
              <w:rPr>
                <w:sz w:val="20"/>
                <w:szCs w:val="20"/>
                <w:color w:val="auto"/>
              </w:rPr>
            </w:pPr>
            <w:r>
              <w:rPr>
                <w:rFonts w:ascii="Arial" w:cs="Arial" w:eastAsia="Arial" w:hAnsi="Arial"/>
                <w:sz w:val="20"/>
                <w:szCs w:val="20"/>
                <w:color w:val="auto"/>
              </w:rPr>
              <w:t>Purpose</w:t>
            </w:r>
          </w:p>
        </w:tc>
        <w:tc>
          <w:tcPr>
            <w:tcW w:w="27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30"/>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3.2</w:t>
            </w:r>
          </w:p>
        </w:tc>
        <w:tc>
          <w:tcPr>
            <w:tcW w:w="7320" w:type="dxa"/>
            <w:vAlign w:val="bottom"/>
          </w:tcPr>
          <w:p>
            <w:pPr>
              <w:ind w:left="160"/>
              <w:spacing w:after="0"/>
              <w:rPr>
                <w:sz w:val="20"/>
                <w:szCs w:val="20"/>
                <w:color w:val="auto"/>
              </w:rPr>
            </w:pPr>
            <w:r>
              <w:rPr>
                <w:rFonts w:ascii="Arial" w:cs="Arial" w:eastAsia="Arial" w:hAnsi="Arial"/>
                <w:sz w:val="20"/>
                <w:szCs w:val="20"/>
                <w:color w:val="auto"/>
              </w:rPr>
              <w:t>Additional Notes</w:t>
            </w:r>
          </w:p>
        </w:tc>
        <w:tc>
          <w:tcPr>
            <w:tcW w:w="27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29"/>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3.3</w:t>
            </w:r>
          </w:p>
        </w:tc>
        <w:tc>
          <w:tcPr>
            <w:tcW w:w="7320" w:type="dxa"/>
            <w:vAlign w:val="bottom"/>
          </w:tcPr>
          <w:p>
            <w:pPr>
              <w:ind w:left="160"/>
              <w:spacing w:after="0"/>
              <w:rPr>
                <w:sz w:val="20"/>
                <w:szCs w:val="20"/>
                <w:color w:val="auto"/>
              </w:rPr>
            </w:pPr>
            <w:r>
              <w:rPr>
                <w:rFonts w:ascii="Arial" w:cs="Arial" w:eastAsia="Arial" w:hAnsi="Arial"/>
                <w:sz w:val="20"/>
                <w:szCs w:val="20"/>
                <w:color w:val="auto"/>
              </w:rPr>
              <w:t>Notation on the Notes</w:t>
            </w:r>
          </w:p>
        </w:tc>
        <w:tc>
          <w:tcPr>
            <w:tcW w:w="27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30"/>
        </w:trPr>
        <w:tc>
          <w:tcPr>
            <w:tcW w:w="440" w:type="dxa"/>
            <w:vAlign w:val="bottom"/>
          </w:tcPr>
          <w:p>
            <w:pPr>
              <w:spacing w:after="0"/>
              <w:rPr>
                <w:sz w:val="20"/>
                <w:szCs w:val="20"/>
                <w:color w:val="auto"/>
              </w:rPr>
            </w:pPr>
            <w:r>
              <w:rPr>
                <w:rFonts w:ascii="Arial" w:cs="Arial" w:eastAsia="Arial" w:hAnsi="Arial"/>
                <w:sz w:val="20"/>
                <w:szCs w:val="20"/>
                <w:color w:val="auto"/>
              </w:rPr>
              <w:t>4</w:t>
            </w:r>
          </w:p>
        </w:tc>
        <w:tc>
          <w:tcPr>
            <w:tcW w:w="8040" w:type="dxa"/>
            <w:vAlign w:val="bottom"/>
            <w:gridSpan w:val="2"/>
          </w:tcPr>
          <w:p>
            <w:pPr>
              <w:ind w:left="220"/>
              <w:spacing w:after="0"/>
              <w:rPr>
                <w:sz w:val="20"/>
                <w:szCs w:val="20"/>
                <w:color w:val="auto"/>
              </w:rPr>
            </w:pPr>
            <w:r>
              <w:rPr>
                <w:rFonts w:ascii="Arial" w:cs="Arial" w:eastAsia="Arial" w:hAnsi="Arial"/>
                <w:sz w:val="20"/>
                <w:szCs w:val="20"/>
                <w:color w:val="auto"/>
              </w:rPr>
              <w:t>CONDITIONS PRECEDENT</w:t>
            </w:r>
          </w:p>
        </w:tc>
        <w:tc>
          <w:tcPr>
            <w:tcW w:w="27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29"/>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4.1</w:t>
            </w:r>
          </w:p>
        </w:tc>
        <w:tc>
          <w:tcPr>
            <w:tcW w:w="7320" w:type="dxa"/>
            <w:vAlign w:val="bottom"/>
          </w:tcPr>
          <w:p>
            <w:pPr>
              <w:ind w:left="160"/>
              <w:spacing w:after="0"/>
              <w:rPr>
                <w:sz w:val="20"/>
                <w:szCs w:val="20"/>
                <w:color w:val="auto"/>
              </w:rPr>
            </w:pPr>
            <w:r>
              <w:rPr>
                <w:rFonts w:ascii="Arial" w:cs="Arial" w:eastAsia="Arial" w:hAnsi="Arial"/>
                <w:sz w:val="20"/>
                <w:szCs w:val="20"/>
                <w:color w:val="auto"/>
              </w:rPr>
              <w:t>Conditions Precedent to this Agreement</w:t>
            </w:r>
          </w:p>
        </w:tc>
        <w:tc>
          <w:tcPr>
            <w:tcW w:w="27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29"/>
        </w:trPr>
        <w:tc>
          <w:tcPr>
            <w:tcW w:w="440" w:type="dxa"/>
            <w:vAlign w:val="bottom"/>
          </w:tcPr>
          <w:p>
            <w:pPr>
              <w:spacing w:after="0"/>
              <w:rPr>
                <w:sz w:val="20"/>
                <w:szCs w:val="20"/>
                <w:color w:val="auto"/>
              </w:rPr>
            </w:pPr>
            <w:r>
              <w:rPr>
                <w:rFonts w:ascii="Arial" w:cs="Arial" w:eastAsia="Arial" w:hAnsi="Arial"/>
                <w:sz w:val="20"/>
                <w:szCs w:val="20"/>
                <w:color w:val="auto"/>
              </w:rPr>
              <w:t>5</w:t>
            </w:r>
          </w:p>
        </w:tc>
        <w:tc>
          <w:tcPr>
            <w:tcW w:w="8040" w:type="dxa"/>
            <w:vAlign w:val="bottom"/>
            <w:gridSpan w:val="2"/>
          </w:tcPr>
          <w:p>
            <w:pPr>
              <w:ind w:left="220"/>
              <w:spacing w:after="0"/>
              <w:rPr>
                <w:sz w:val="20"/>
                <w:szCs w:val="20"/>
                <w:color w:val="auto"/>
              </w:rPr>
            </w:pPr>
            <w:r>
              <w:rPr>
                <w:rFonts w:ascii="Arial" w:cs="Arial" w:eastAsia="Arial" w:hAnsi="Arial"/>
                <w:sz w:val="20"/>
                <w:szCs w:val="20"/>
                <w:color w:val="auto"/>
              </w:rPr>
              <w:t>REPAYMENT AND PREPAYMENT</w:t>
            </w:r>
          </w:p>
        </w:tc>
        <w:tc>
          <w:tcPr>
            <w:tcW w:w="27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30"/>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5.1</w:t>
            </w:r>
          </w:p>
        </w:tc>
        <w:tc>
          <w:tcPr>
            <w:tcW w:w="7320" w:type="dxa"/>
            <w:vAlign w:val="bottom"/>
          </w:tcPr>
          <w:p>
            <w:pPr>
              <w:ind w:left="160"/>
              <w:spacing w:after="0"/>
              <w:rPr>
                <w:sz w:val="20"/>
                <w:szCs w:val="20"/>
                <w:color w:val="auto"/>
              </w:rPr>
            </w:pPr>
            <w:r>
              <w:rPr>
                <w:rFonts w:ascii="Arial" w:cs="Arial" w:eastAsia="Arial" w:hAnsi="Arial"/>
                <w:sz w:val="20"/>
                <w:szCs w:val="20"/>
                <w:color w:val="auto"/>
              </w:rPr>
              <w:t>Repayment</w:t>
            </w:r>
          </w:p>
        </w:tc>
        <w:tc>
          <w:tcPr>
            <w:tcW w:w="27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29"/>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5.2</w:t>
            </w:r>
          </w:p>
        </w:tc>
        <w:tc>
          <w:tcPr>
            <w:tcW w:w="7320" w:type="dxa"/>
            <w:vAlign w:val="bottom"/>
          </w:tcPr>
          <w:p>
            <w:pPr>
              <w:ind w:left="160"/>
              <w:spacing w:after="0"/>
              <w:rPr>
                <w:sz w:val="20"/>
                <w:szCs w:val="20"/>
                <w:color w:val="auto"/>
              </w:rPr>
            </w:pPr>
            <w:r>
              <w:rPr>
                <w:rFonts w:ascii="Arial" w:cs="Arial" w:eastAsia="Arial" w:hAnsi="Arial"/>
                <w:sz w:val="20"/>
                <w:szCs w:val="20"/>
                <w:color w:val="auto"/>
              </w:rPr>
              <w:t>Voluntary Prepayment; No Re-borrowing</w:t>
            </w:r>
          </w:p>
        </w:tc>
        <w:tc>
          <w:tcPr>
            <w:tcW w:w="27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29"/>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5.3</w:t>
            </w:r>
          </w:p>
        </w:tc>
        <w:tc>
          <w:tcPr>
            <w:tcW w:w="7320" w:type="dxa"/>
            <w:vAlign w:val="bottom"/>
          </w:tcPr>
          <w:p>
            <w:pPr>
              <w:ind w:left="160"/>
              <w:spacing w:after="0"/>
              <w:rPr>
                <w:sz w:val="20"/>
                <w:szCs w:val="20"/>
                <w:color w:val="auto"/>
              </w:rPr>
            </w:pPr>
            <w:r>
              <w:rPr>
                <w:rFonts w:ascii="Arial" w:cs="Arial" w:eastAsia="Arial" w:hAnsi="Arial"/>
                <w:sz w:val="20"/>
                <w:szCs w:val="20"/>
                <w:color w:val="auto"/>
              </w:rPr>
              <w:t>Cash Sweep</w:t>
            </w:r>
          </w:p>
        </w:tc>
        <w:tc>
          <w:tcPr>
            <w:tcW w:w="27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30"/>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5.4</w:t>
            </w:r>
          </w:p>
        </w:tc>
        <w:tc>
          <w:tcPr>
            <w:tcW w:w="7320" w:type="dxa"/>
            <w:vAlign w:val="bottom"/>
          </w:tcPr>
          <w:p>
            <w:pPr>
              <w:ind w:left="160"/>
              <w:spacing w:after="0"/>
              <w:rPr>
                <w:sz w:val="20"/>
                <w:szCs w:val="20"/>
                <w:color w:val="auto"/>
              </w:rPr>
            </w:pPr>
            <w:r>
              <w:rPr>
                <w:rFonts w:ascii="Arial" w:cs="Arial" w:eastAsia="Arial" w:hAnsi="Arial"/>
                <w:sz w:val="20"/>
                <w:szCs w:val="20"/>
                <w:color w:val="auto"/>
              </w:rPr>
              <w:t>Mandatory Prepayment; Sale or Loss of a Vessel</w:t>
            </w:r>
          </w:p>
        </w:tc>
        <w:tc>
          <w:tcPr>
            <w:tcW w:w="27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29"/>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5.5</w:t>
            </w:r>
          </w:p>
        </w:tc>
        <w:tc>
          <w:tcPr>
            <w:tcW w:w="7320" w:type="dxa"/>
            <w:vAlign w:val="bottom"/>
          </w:tcPr>
          <w:p>
            <w:pPr>
              <w:ind w:left="160"/>
              <w:spacing w:after="0"/>
              <w:rPr>
                <w:sz w:val="20"/>
                <w:szCs w:val="20"/>
                <w:color w:val="auto"/>
              </w:rPr>
            </w:pPr>
            <w:r>
              <w:rPr>
                <w:rFonts w:ascii="Arial" w:cs="Arial" w:eastAsia="Arial" w:hAnsi="Arial"/>
                <w:sz w:val="20"/>
                <w:szCs w:val="20"/>
                <w:color w:val="auto"/>
              </w:rPr>
              <w:t>Interest and Cost With Application of Prepayments</w:t>
            </w:r>
          </w:p>
        </w:tc>
        <w:tc>
          <w:tcPr>
            <w:tcW w:w="27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30"/>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5.6</w:t>
            </w:r>
          </w:p>
        </w:tc>
        <w:tc>
          <w:tcPr>
            <w:tcW w:w="7320" w:type="dxa"/>
            <w:vAlign w:val="bottom"/>
          </w:tcPr>
          <w:p>
            <w:pPr>
              <w:ind w:left="160"/>
              <w:spacing w:after="0"/>
              <w:rPr>
                <w:sz w:val="20"/>
                <w:szCs w:val="20"/>
                <w:color w:val="auto"/>
              </w:rPr>
            </w:pPr>
            <w:r>
              <w:rPr>
                <w:rFonts w:ascii="Arial" w:cs="Arial" w:eastAsia="Arial" w:hAnsi="Arial"/>
                <w:sz w:val="20"/>
                <w:szCs w:val="20"/>
                <w:color w:val="auto"/>
              </w:rPr>
              <w:t>Borrowers' Obligation Absolute</w:t>
            </w:r>
          </w:p>
        </w:tc>
        <w:tc>
          <w:tcPr>
            <w:tcW w:w="27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29"/>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5.7</w:t>
            </w:r>
          </w:p>
        </w:tc>
        <w:tc>
          <w:tcPr>
            <w:tcW w:w="7320" w:type="dxa"/>
            <w:vAlign w:val="bottom"/>
          </w:tcPr>
          <w:p>
            <w:pPr>
              <w:ind w:left="160"/>
              <w:spacing w:after="0"/>
              <w:rPr>
                <w:sz w:val="20"/>
                <w:szCs w:val="20"/>
                <w:color w:val="auto"/>
              </w:rPr>
            </w:pPr>
            <w:r>
              <w:rPr>
                <w:rFonts w:ascii="Arial" w:cs="Arial" w:eastAsia="Arial" w:hAnsi="Arial"/>
                <w:sz w:val="20"/>
                <w:szCs w:val="20"/>
                <w:color w:val="auto"/>
              </w:rPr>
              <w:t>Repayment Fee</w:t>
            </w:r>
          </w:p>
        </w:tc>
        <w:tc>
          <w:tcPr>
            <w:tcW w:w="27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29"/>
        </w:trPr>
        <w:tc>
          <w:tcPr>
            <w:tcW w:w="440" w:type="dxa"/>
            <w:vAlign w:val="bottom"/>
          </w:tcPr>
          <w:p>
            <w:pPr>
              <w:spacing w:after="0"/>
              <w:rPr>
                <w:sz w:val="20"/>
                <w:szCs w:val="20"/>
                <w:color w:val="auto"/>
              </w:rPr>
            </w:pPr>
            <w:r>
              <w:rPr>
                <w:rFonts w:ascii="Arial" w:cs="Arial" w:eastAsia="Arial" w:hAnsi="Arial"/>
                <w:sz w:val="20"/>
                <w:szCs w:val="20"/>
                <w:color w:val="auto"/>
              </w:rPr>
              <w:t>6</w:t>
            </w:r>
          </w:p>
        </w:tc>
        <w:tc>
          <w:tcPr>
            <w:tcW w:w="8040" w:type="dxa"/>
            <w:vAlign w:val="bottom"/>
            <w:gridSpan w:val="2"/>
          </w:tcPr>
          <w:p>
            <w:pPr>
              <w:ind w:left="220"/>
              <w:spacing w:after="0"/>
              <w:rPr>
                <w:sz w:val="20"/>
                <w:szCs w:val="20"/>
                <w:color w:val="auto"/>
              </w:rPr>
            </w:pPr>
            <w:r>
              <w:rPr>
                <w:rFonts w:ascii="Arial" w:cs="Arial" w:eastAsia="Arial" w:hAnsi="Arial"/>
                <w:sz w:val="20"/>
                <w:szCs w:val="20"/>
                <w:color w:val="auto"/>
              </w:rPr>
              <w:t>INTEREST AND RATE</w:t>
            </w:r>
          </w:p>
        </w:tc>
        <w:tc>
          <w:tcPr>
            <w:tcW w:w="27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30"/>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6.1</w:t>
            </w:r>
          </w:p>
        </w:tc>
        <w:tc>
          <w:tcPr>
            <w:tcW w:w="7320" w:type="dxa"/>
            <w:vAlign w:val="bottom"/>
          </w:tcPr>
          <w:p>
            <w:pPr>
              <w:ind w:left="160"/>
              <w:spacing w:after="0"/>
              <w:rPr>
                <w:sz w:val="20"/>
                <w:szCs w:val="20"/>
                <w:color w:val="auto"/>
              </w:rPr>
            </w:pPr>
            <w:r>
              <w:rPr>
                <w:rFonts w:ascii="Arial" w:cs="Arial" w:eastAsia="Arial" w:hAnsi="Arial"/>
                <w:sz w:val="20"/>
                <w:szCs w:val="20"/>
                <w:color w:val="auto"/>
              </w:rPr>
              <w:t>Payment of Interest; Interest Rate</w:t>
            </w:r>
          </w:p>
        </w:tc>
        <w:tc>
          <w:tcPr>
            <w:tcW w:w="27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29"/>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6.2</w:t>
            </w:r>
          </w:p>
        </w:tc>
        <w:tc>
          <w:tcPr>
            <w:tcW w:w="7320" w:type="dxa"/>
            <w:vAlign w:val="bottom"/>
          </w:tcPr>
          <w:p>
            <w:pPr>
              <w:ind w:left="160"/>
              <w:spacing w:after="0"/>
              <w:rPr>
                <w:sz w:val="20"/>
                <w:szCs w:val="20"/>
                <w:color w:val="auto"/>
              </w:rPr>
            </w:pPr>
            <w:r>
              <w:rPr>
                <w:rFonts w:ascii="Arial" w:cs="Arial" w:eastAsia="Arial" w:hAnsi="Arial"/>
                <w:sz w:val="20"/>
                <w:szCs w:val="20"/>
                <w:color w:val="auto"/>
              </w:rPr>
              <w:t>Maximum Interest</w:t>
            </w:r>
          </w:p>
        </w:tc>
        <w:tc>
          <w:tcPr>
            <w:tcW w:w="27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30"/>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6.3</w:t>
            </w:r>
          </w:p>
        </w:tc>
        <w:tc>
          <w:tcPr>
            <w:tcW w:w="7320" w:type="dxa"/>
            <w:vAlign w:val="bottom"/>
          </w:tcPr>
          <w:p>
            <w:pPr>
              <w:ind w:left="160"/>
              <w:spacing w:after="0"/>
              <w:rPr>
                <w:sz w:val="20"/>
                <w:szCs w:val="20"/>
                <w:color w:val="auto"/>
              </w:rPr>
            </w:pPr>
            <w:r>
              <w:rPr>
                <w:rFonts w:ascii="Arial" w:cs="Arial" w:eastAsia="Arial" w:hAnsi="Arial"/>
                <w:sz w:val="20"/>
                <w:szCs w:val="20"/>
                <w:color w:val="auto"/>
              </w:rPr>
              <w:t>Term SOFR Conforming Changes</w:t>
            </w:r>
          </w:p>
        </w:tc>
        <w:tc>
          <w:tcPr>
            <w:tcW w:w="27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30"/>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6.4</w:t>
            </w:r>
          </w:p>
        </w:tc>
        <w:tc>
          <w:tcPr>
            <w:tcW w:w="7320" w:type="dxa"/>
            <w:vAlign w:val="bottom"/>
          </w:tcPr>
          <w:p>
            <w:pPr>
              <w:ind w:left="160"/>
              <w:spacing w:after="0"/>
              <w:rPr>
                <w:sz w:val="20"/>
                <w:szCs w:val="20"/>
                <w:color w:val="auto"/>
              </w:rPr>
            </w:pPr>
            <w:r>
              <w:rPr>
                <w:rFonts w:ascii="Arial" w:cs="Arial" w:eastAsia="Arial" w:hAnsi="Arial"/>
                <w:sz w:val="20"/>
                <w:szCs w:val="20"/>
                <w:color w:val="auto"/>
              </w:rPr>
              <w:t>Benchmark Replacement Setting</w:t>
            </w:r>
          </w:p>
        </w:tc>
        <w:tc>
          <w:tcPr>
            <w:tcW w:w="278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29"/>
        </w:trPr>
        <w:tc>
          <w:tcPr>
            <w:tcW w:w="440" w:type="dxa"/>
            <w:vAlign w:val="bottom"/>
          </w:tcPr>
          <w:p>
            <w:pPr>
              <w:spacing w:after="0"/>
              <w:rPr>
                <w:sz w:val="20"/>
                <w:szCs w:val="20"/>
                <w:color w:val="auto"/>
              </w:rPr>
            </w:pPr>
            <w:r>
              <w:rPr>
                <w:rFonts w:ascii="Arial" w:cs="Arial" w:eastAsia="Arial" w:hAnsi="Arial"/>
                <w:sz w:val="20"/>
                <w:szCs w:val="20"/>
                <w:color w:val="auto"/>
              </w:rPr>
              <w:t>7</w:t>
            </w:r>
          </w:p>
        </w:tc>
        <w:tc>
          <w:tcPr>
            <w:tcW w:w="8040" w:type="dxa"/>
            <w:vAlign w:val="bottom"/>
            <w:gridSpan w:val="2"/>
          </w:tcPr>
          <w:p>
            <w:pPr>
              <w:ind w:left="220"/>
              <w:spacing w:after="0"/>
              <w:rPr>
                <w:sz w:val="20"/>
                <w:szCs w:val="20"/>
                <w:color w:val="auto"/>
              </w:rPr>
            </w:pPr>
            <w:r>
              <w:rPr>
                <w:rFonts w:ascii="Arial" w:cs="Arial" w:eastAsia="Arial" w:hAnsi="Arial"/>
                <w:sz w:val="20"/>
                <w:szCs w:val="20"/>
                <w:color w:val="auto"/>
              </w:rPr>
              <w:t>PAYMENTS</w:t>
            </w:r>
          </w:p>
        </w:tc>
        <w:tc>
          <w:tcPr>
            <w:tcW w:w="278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30"/>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7.1</w:t>
            </w:r>
          </w:p>
        </w:tc>
        <w:tc>
          <w:tcPr>
            <w:tcW w:w="7320" w:type="dxa"/>
            <w:vAlign w:val="bottom"/>
          </w:tcPr>
          <w:p>
            <w:pPr>
              <w:ind w:left="160"/>
              <w:spacing w:after="0"/>
              <w:rPr>
                <w:sz w:val="20"/>
                <w:szCs w:val="20"/>
                <w:color w:val="auto"/>
              </w:rPr>
            </w:pPr>
            <w:r>
              <w:rPr>
                <w:rFonts w:ascii="Arial" w:cs="Arial" w:eastAsia="Arial" w:hAnsi="Arial"/>
                <w:sz w:val="20"/>
                <w:szCs w:val="20"/>
                <w:color w:val="auto"/>
              </w:rPr>
              <w:t>Time and Place of Payments, No Set Off</w:t>
            </w:r>
          </w:p>
        </w:tc>
        <w:tc>
          <w:tcPr>
            <w:tcW w:w="278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30"/>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7.2</w:t>
            </w:r>
          </w:p>
        </w:tc>
        <w:tc>
          <w:tcPr>
            <w:tcW w:w="7320" w:type="dxa"/>
            <w:vAlign w:val="bottom"/>
          </w:tcPr>
          <w:p>
            <w:pPr>
              <w:ind w:left="160"/>
              <w:spacing w:after="0"/>
              <w:rPr>
                <w:sz w:val="20"/>
                <w:szCs w:val="20"/>
                <w:color w:val="auto"/>
              </w:rPr>
            </w:pPr>
            <w:r>
              <w:rPr>
                <w:rFonts w:ascii="Arial" w:cs="Arial" w:eastAsia="Arial" w:hAnsi="Arial"/>
                <w:sz w:val="20"/>
                <w:szCs w:val="20"/>
                <w:color w:val="auto"/>
              </w:rPr>
              <w:t>Tax Credits</w:t>
            </w:r>
          </w:p>
        </w:tc>
        <w:tc>
          <w:tcPr>
            <w:tcW w:w="278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0"/>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7.3</w:t>
            </w:r>
          </w:p>
        </w:tc>
        <w:tc>
          <w:tcPr>
            <w:tcW w:w="7320" w:type="dxa"/>
            <w:vAlign w:val="bottom"/>
          </w:tcPr>
          <w:p>
            <w:pPr>
              <w:ind w:left="160"/>
              <w:spacing w:after="0"/>
              <w:rPr>
                <w:sz w:val="20"/>
                <w:szCs w:val="20"/>
                <w:color w:val="auto"/>
              </w:rPr>
            </w:pPr>
            <w:r>
              <w:rPr>
                <w:rFonts w:ascii="Arial" w:cs="Arial" w:eastAsia="Arial" w:hAnsi="Arial"/>
                <w:sz w:val="20"/>
                <w:szCs w:val="20"/>
                <w:color w:val="auto"/>
              </w:rPr>
              <w:t>Exclusion of Gross-up for Taxes</w:t>
            </w:r>
          </w:p>
        </w:tc>
        <w:tc>
          <w:tcPr>
            <w:tcW w:w="278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29"/>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7.4</w:t>
            </w:r>
          </w:p>
        </w:tc>
        <w:tc>
          <w:tcPr>
            <w:tcW w:w="7320" w:type="dxa"/>
            <w:vAlign w:val="bottom"/>
          </w:tcPr>
          <w:p>
            <w:pPr>
              <w:ind w:left="160"/>
              <w:spacing w:after="0"/>
              <w:rPr>
                <w:sz w:val="20"/>
                <w:szCs w:val="20"/>
                <w:color w:val="auto"/>
              </w:rPr>
            </w:pPr>
            <w:r>
              <w:rPr>
                <w:rFonts w:ascii="Arial" w:cs="Arial" w:eastAsia="Arial" w:hAnsi="Arial"/>
                <w:sz w:val="20"/>
                <w:szCs w:val="20"/>
                <w:color w:val="auto"/>
              </w:rPr>
              <w:t>Delivery of Tax Forms</w:t>
            </w:r>
          </w:p>
        </w:tc>
        <w:tc>
          <w:tcPr>
            <w:tcW w:w="278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0"/>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7.5</w:t>
            </w:r>
          </w:p>
        </w:tc>
        <w:tc>
          <w:tcPr>
            <w:tcW w:w="7320" w:type="dxa"/>
            <w:vAlign w:val="bottom"/>
          </w:tcPr>
          <w:p>
            <w:pPr>
              <w:ind w:left="160"/>
              <w:spacing w:after="0"/>
              <w:rPr>
                <w:sz w:val="20"/>
                <w:szCs w:val="20"/>
                <w:color w:val="auto"/>
              </w:rPr>
            </w:pPr>
            <w:r>
              <w:rPr>
                <w:rFonts w:ascii="Arial" w:cs="Arial" w:eastAsia="Arial" w:hAnsi="Arial"/>
                <w:sz w:val="20"/>
                <w:szCs w:val="20"/>
                <w:color w:val="auto"/>
              </w:rPr>
              <w:t>FATCA Information</w:t>
            </w:r>
          </w:p>
        </w:tc>
        <w:tc>
          <w:tcPr>
            <w:tcW w:w="278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30"/>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7.6</w:t>
            </w:r>
          </w:p>
        </w:tc>
        <w:tc>
          <w:tcPr>
            <w:tcW w:w="7320" w:type="dxa"/>
            <w:vAlign w:val="bottom"/>
          </w:tcPr>
          <w:p>
            <w:pPr>
              <w:ind w:left="160"/>
              <w:spacing w:after="0"/>
              <w:rPr>
                <w:sz w:val="20"/>
                <w:szCs w:val="20"/>
                <w:color w:val="auto"/>
              </w:rPr>
            </w:pPr>
            <w:r>
              <w:rPr>
                <w:rFonts w:ascii="Arial" w:cs="Arial" w:eastAsia="Arial" w:hAnsi="Arial"/>
                <w:sz w:val="20"/>
                <w:szCs w:val="20"/>
                <w:color w:val="auto"/>
              </w:rPr>
              <w:t>FATCA Withholding.</w:t>
            </w:r>
          </w:p>
        </w:tc>
        <w:tc>
          <w:tcPr>
            <w:tcW w:w="278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30"/>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7.7</w:t>
            </w:r>
          </w:p>
        </w:tc>
        <w:tc>
          <w:tcPr>
            <w:tcW w:w="7320" w:type="dxa"/>
            <w:vAlign w:val="bottom"/>
          </w:tcPr>
          <w:p>
            <w:pPr>
              <w:ind w:left="160"/>
              <w:spacing w:after="0"/>
              <w:rPr>
                <w:sz w:val="20"/>
                <w:szCs w:val="20"/>
                <w:color w:val="auto"/>
              </w:rPr>
            </w:pPr>
            <w:r>
              <w:rPr>
                <w:rFonts w:ascii="Arial" w:cs="Arial" w:eastAsia="Arial" w:hAnsi="Arial"/>
                <w:sz w:val="20"/>
                <w:szCs w:val="20"/>
                <w:color w:val="auto"/>
              </w:rPr>
              <w:t>FATCA Mitigation</w:t>
            </w:r>
          </w:p>
        </w:tc>
        <w:tc>
          <w:tcPr>
            <w:tcW w:w="278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29"/>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7.8</w:t>
            </w:r>
          </w:p>
        </w:tc>
        <w:tc>
          <w:tcPr>
            <w:tcW w:w="7320" w:type="dxa"/>
            <w:vAlign w:val="bottom"/>
          </w:tcPr>
          <w:p>
            <w:pPr>
              <w:ind w:left="160"/>
              <w:spacing w:after="0"/>
              <w:rPr>
                <w:sz w:val="20"/>
                <w:szCs w:val="20"/>
                <w:color w:val="auto"/>
              </w:rPr>
            </w:pPr>
            <w:r>
              <w:rPr>
                <w:rFonts w:ascii="Arial" w:cs="Arial" w:eastAsia="Arial" w:hAnsi="Arial"/>
                <w:sz w:val="20"/>
                <w:szCs w:val="20"/>
                <w:color w:val="auto"/>
              </w:rPr>
              <w:t>Computations; Banking Days</w:t>
            </w:r>
          </w:p>
        </w:tc>
        <w:tc>
          <w:tcPr>
            <w:tcW w:w="278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30"/>
        </w:trPr>
        <w:tc>
          <w:tcPr>
            <w:tcW w:w="440" w:type="dxa"/>
            <w:vAlign w:val="bottom"/>
          </w:tcPr>
          <w:p>
            <w:pPr>
              <w:spacing w:after="0"/>
              <w:rPr>
                <w:sz w:val="20"/>
                <w:szCs w:val="20"/>
                <w:color w:val="auto"/>
              </w:rPr>
            </w:pPr>
            <w:r>
              <w:rPr>
                <w:rFonts w:ascii="Arial" w:cs="Arial" w:eastAsia="Arial" w:hAnsi="Arial"/>
                <w:sz w:val="20"/>
                <w:szCs w:val="20"/>
                <w:color w:val="auto"/>
              </w:rPr>
              <w:t>8</w:t>
            </w:r>
          </w:p>
        </w:tc>
        <w:tc>
          <w:tcPr>
            <w:tcW w:w="8040" w:type="dxa"/>
            <w:vAlign w:val="bottom"/>
            <w:gridSpan w:val="2"/>
          </w:tcPr>
          <w:p>
            <w:pPr>
              <w:ind w:left="220"/>
              <w:spacing w:after="0"/>
              <w:rPr>
                <w:sz w:val="20"/>
                <w:szCs w:val="20"/>
                <w:color w:val="auto"/>
              </w:rPr>
            </w:pPr>
            <w:r>
              <w:rPr>
                <w:rFonts w:ascii="Arial" w:cs="Arial" w:eastAsia="Arial" w:hAnsi="Arial"/>
                <w:sz w:val="20"/>
                <w:szCs w:val="20"/>
                <w:color w:val="auto"/>
              </w:rPr>
              <w:t>EVENTS OF DEFAULT</w:t>
            </w:r>
          </w:p>
        </w:tc>
        <w:tc>
          <w:tcPr>
            <w:tcW w:w="278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30"/>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8.1</w:t>
            </w:r>
          </w:p>
        </w:tc>
        <w:tc>
          <w:tcPr>
            <w:tcW w:w="7320" w:type="dxa"/>
            <w:vAlign w:val="bottom"/>
          </w:tcPr>
          <w:p>
            <w:pPr>
              <w:ind w:left="160"/>
              <w:spacing w:after="0"/>
              <w:rPr>
                <w:sz w:val="20"/>
                <w:szCs w:val="20"/>
                <w:color w:val="auto"/>
              </w:rPr>
            </w:pPr>
            <w:r>
              <w:rPr>
                <w:rFonts w:ascii="Arial" w:cs="Arial" w:eastAsia="Arial" w:hAnsi="Arial"/>
                <w:sz w:val="20"/>
                <w:szCs w:val="20"/>
                <w:color w:val="auto"/>
              </w:rPr>
              <w:t>Events of Default</w:t>
            </w:r>
          </w:p>
        </w:tc>
        <w:tc>
          <w:tcPr>
            <w:tcW w:w="278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30"/>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8.2</w:t>
            </w:r>
          </w:p>
        </w:tc>
        <w:tc>
          <w:tcPr>
            <w:tcW w:w="7320" w:type="dxa"/>
            <w:vAlign w:val="bottom"/>
          </w:tcPr>
          <w:p>
            <w:pPr>
              <w:ind w:left="160"/>
              <w:spacing w:after="0"/>
              <w:rPr>
                <w:sz w:val="20"/>
                <w:szCs w:val="20"/>
                <w:color w:val="auto"/>
              </w:rPr>
            </w:pPr>
            <w:r>
              <w:rPr>
                <w:rFonts w:ascii="Arial" w:cs="Arial" w:eastAsia="Arial" w:hAnsi="Arial"/>
                <w:sz w:val="20"/>
                <w:szCs w:val="20"/>
                <w:color w:val="auto"/>
              </w:rPr>
              <w:t>Indemnification</w:t>
            </w:r>
          </w:p>
        </w:tc>
        <w:tc>
          <w:tcPr>
            <w:tcW w:w="278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30"/>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8.3</w:t>
            </w:r>
          </w:p>
        </w:tc>
        <w:tc>
          <w:tcPr>
            <w:tcW w:w="7320" w:type="dxa"/>
            <w:vAlign w:val="bottom"/>
          </w:tcPr>
          <w:p>
            <w:pPr>
              <w:ind w:left="160"/>
              <w:spacing w:after="0"/>
              <w:rPr>
                <w:sz w:val="20"/>
                <w:szCs w:val="20"/>
                <w:color w:val="auto"/>
              </w:rPr>
            </w:pPr>
            <w:r>
              <w:rPr>
                <w:rFonts w:ascii="Arial" w:cs="Arial" w:eastAsia="Arial" w:hAnsi="Arial"/>
                <w:sz w:val="20"/>
                <w:szCs w:val="20"/>
                <w:color w:val="auto"/>
              </w:rPr>
              <w:t>Application of Moneys</w:t>
            </w:r>
          </w:p>
        </w:tc>
        <w:tc>
          <w:tcPr>
            <w:tcW w:w="278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29"/>
        </w:trPr>
        <w:tc>
          <w:tcPr>
            <w:tcW w:w="440" w:type="dxa"/>
            <w:vAlign w:val="bottom"/>
          </w:tcPr>
          <w:p>
            <w:pPr>
              <w:spacing w:after="0"/>
              <w:rPr>
                <w:sz w:val="20"/>
                <w:szCs w:val="20"/>
                <w:color w:val="auto"/>
              </w:rPr>
            </w:pPr>
            <w:r>
              <w:rPr>
                <w:rFonts w:ascii="Arial" w:cs="Arial" w:eastAsia="Arial" w:hAnsi="Arial"/>
                <w:sz w:val="20"/>
                <w:szCs w:val="20"/>
                <w:color w:val="auto"/>
              </w:rPr>
              <w:t>9</w:t>
            </w:r>
          </w:p>
        </w:tc>
        <w:tc>
          <w:tcPr>
            <w:tcW w:w="8040" w:type="dxa"/>
            <w:vAlign w:val="bottom"/>
            <w:gridSpan w:val="2"/>
          </w:tcPr>
          <w:p>
            <w:pPr>
              <w:ind w:left="220"/>
              <w:spacing w:after="0"/>
              <w:rPr>
                <w:sz w:val="20"/>
                <w:szCs w:val="20"/>
                <w:color w:val="auto"/>
              </w:rPr>
            </w:pPr>
            <w:r>
              <w:rPr>
                <w:rFonts w:ascii="Arial" w:cs="Arial" w:eastAsia="Arial" w:hAnsi="Arial"/>
                <w:sz w:val="20"/>
                <w:szCs w:val="20"/>
                <w:color w:val="auto"/>
              </w:rPr>
              <w:t>COVENANTS</w:t>
            </w:r>
          </w:p>
        </w:tc>
        <w:tc>
          <w:tcPr>
            <w:tcW w:w="278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30"/>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9.1</w:t>
            </w:r>
          </w:p>
        </w:tc>
        <w:tc>
          <w:tcPr>
            <w:tcW w:w="7320" w:type="dxa"/>
            <w:vAlign w:val="bottom"/>
          </w:tcPr>
          <w:p>
            <w:pPr>
              <w:ind w:left="160"/>
              <w:spacing w:after="0"/>
              <w:rPr>
                <w:sz w:val="20"/>
                <w:szCs w:val="20"/>
                <w:color w:val="auto"/>
              </w:rPr>
            </w:pPr>
            <w:r>
              <w:rPr>
                <w:rFonts w:ascii="Arial" w:cs="Arial" w:eastAsia="Arial" w:hAnsi="Arial"/>
                <w:sz w:val="20"/>
                <w:szCs w:val="20"/>
                <w:color w:val="auto"/>
              </w:rPr>
              <w:t>Affirmative Covenants</w:t>
            </w:r>
          </w:p>
        </w:tc>
        <w:tc>
          <w:tcPr>
            <w:tcW w:w="278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30"/>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9.2</w:t>
            </w:r>
          </w:p>
        </w:tc>
        <w:tc>
          <w:tcPr>
            <w:tcW w:w="7320" w:type="dxa"/>
            <w:vAlign w:val="bottom"/>
          </w:tcPr>
          <w:p>
            <w:pPr>
              <w:ind w:left="160"/>
              <w:spacing w:after="0"/>
              <w:rPr>
                <w:sz w:val="20"/>
                <w:szCs w:val="20"/>
                <w:color w:val="auto"/>
              </w:rPr>
            </w:pPr>
            <w:r>
              <w:rPr>
                <w:rFonts w:ascii="Arial" w:cs="Arial" w:eastAsia="Arial" w:hAnsi="Arial"/>
                <w:sz w:val="20"/>
                <w:szCs w:val="20"/>
                <w:color w:val="auto"/>
              </w:rPr>
              <w:t>Negative Covenants</w:t>
            </w:r>
          </w:p>
        </w:tc>
        <w:tc>
          <w:tcPr>
            <w:tcW w:w="278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9.3</w:t>
            </w:r>
          </w:p>
        </w:tc>
        <w:tc>
          <w:tcPr>
            <w:tcW w:w="7320" w:type="dxa"/>
            <w:vAlign w:val="bottom"/>
          </w:tcPr>
          <w:p>
            <w:pPr>
              <w:ind w:left="160"/>
              <w:spacing w:after="0"/>
              <w:rPr>
                <w:sz w:val="20"/>
                <w:szCs w:val="20"/>
                <w:color w:val="auto"/>
              </w:rPr>
            </w:pPr>
            <w:r>
              <w:rPr>
                <w:rFonts w:ascii="Arial" w:cs="Arial" w:eastAsia="Arial" w:hAnsi="Arial"/>
                <w:sz w:val="20"/>
                <w:szCs w:val="20"/>
                <w:color w:val="auto"/>
              </w:rPr>
              <w:t>Reserved</w:t>
            </w:r>
          </w:p>
        </w:tc>
        <w:tc>
          <w:tcPr>
            <w:tcW w:w="278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29"/>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9.4</w:t>
            </w:r>
          </w:p>
        </w:tc>
        <w:tc>
          <w:tcPr>
            <w:tcW w:w="7320" w:type="dxa"/>
            <w:vAlign w:val="bottom"/>
          </w:tcPr>
          <w:p>
            <w:pPr>
              <w:ind w:left="160"/>
              <w:spacing w:after="0"/>
              <w:rPr>
                <w:sz w:val="20"/>
                <w:szCs w:val="20"/>
                <w:color w:val="auto"/>
              </w:rPr>
            </w:pPr>
            <w:r>
              <w:rPr>
                <w:rFonts w:ascii="Arial" w:cs="Arial" w:eastAsia="Arial" w:hAnsi="Arial"/>
                <w:sz w:val="20"/>
                <w:szCs w:val="20"/>
                <w:color w:val="auto"/>
              </w:rPr>
              <w:t>Asset Maintenance</w:t>
            </w:r>
          </w:p>
        </w:tc>
        <w:tc>
          <w:tcPr>
            <w:tcW w:w="278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30"/>
        </w:trPr>
        <w:tc>
          <w:tcPr>
            <w:tcW w:w="440" w:type="dxa"/>
            <w:vAlign w:val="bottom"/>
          </w:tcPr>
          <w:p>
            <w:pPr>
              <w:spacing w:after="0"/>
              <w:rPr>
                <w:sz w:val="20"/>
                <w:szCs w:val="20"/>
                <w:color w:val="auto"/>
              </w:rPr>
            </w:pPr>
            <w:r>
              <w:rPr>
                <w:rFonts w:ascii="Arial" w:cs="Arial" w:eastAsia="Arial" w:hAnsi="Arial"/>
                <w:sz w:val="20"/>
                <w:szCs w:val="20"/>
                <w:color w:val="auto"/>
              </w:rPr>
              <w:t>10</w:t>
            </w:r>
          </w:p>
        </w:tc>
        <w:tc>
          <w:tcPr>
            <w:tcW w:w="8040" w:type="dxa"/>
            <w:vAlign w:val="bottom"/>
            <w:gridSpan w:val="2"/>
          </w:tcPr>
          <w:p>
            <w:pPr>
              <w:ind w:left="220"/>
              <w:spacing w:after="0"/>
              <w:rPr>
                <w:sz w:val="20"/>
                <w:szCs w:val="20"/>
                <w:color w:val="auto"/>
              </w:rPr>
            </w:pPr>
            <w:r>
              <w:rPr>
                <w:rFonts w:ascii="Arial" w:cs="Arial" w:eastAsia="Arial" w:hAnsi="Arial"/>
                <w:sz w:val="20"/>
                <w:szCs w:val="20"/>
                <w:color w:val="auto"/>
              </w:rPr>
              <w:t>ASSIGNMENT</w:t>
            </w:r>
          </w:p>
        </w:tc>
        <w:tc>
          <w:tcPr>
            <w:tcW w:w="278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29"/>
        </w:trPr>
        <w:tc>
          <w:tcPr>
            <w:tcW w:w="440" w:type="dxa"/>
            <w:vAlign w:val="bottom"/>
          </w:tcPr>
          <w:p>
            <w:pPr>
              <w:spacing w:after="0"/>
              <w:rPr>
                <w:sz w:val="20"/>
                <w:szCs w:val="20"/>
                <w:color w:val="auto"/>
              </w:rPr>
            </w:pPr>
            <w:r>
              <w:rPr>
                <w:rFonts w:ascii="Arial" w:cs="Arial" w:eastAsia="Arial" w:hAnsi="Arial"/>
                <w:sz w:val="20"/>
                <w:szCs w:val="20"/>
                <w:color w:val="auto"/>
              </w:rPr>
              <w:t>11</w:t>
            </w:r>
          </w:p>
        </w:tc>
        <w:tc>
          <w:tcPr>
            <w:tcW w:w="8040" w:type="dxa"/>
            <w:vAlign w:val="bottom"/>
            <w:gridSpan w:val="2"/>
          </w:tcPr>
          <w:p>
            <w:pPr>
              <w:ind w:left="220"/>
              <w:spacing w:after="0"/>
              <w:rPr>
                <w:sz w:val="20"/>
                <w:szCs w:val="20"/>
                <w:color w:val="auto"/>
              </w:rPr>
            </w:pPr>
            <w:r>
              <w:rPr>
                <w:rFonts w:ascii="Arial" w:cs="Arial" w:eastAsia="Arial" w:hAnsi="Arial"/>
                <w:sz w:val="20"/>
                <w:szCs w:val="20"/>
                <w:color w:val="auto"/>
              </w:rPr>
              <w:t>ILLEGALITY, INCREASED COST, NON-AVAILABILITY, ETC</w:t>
            </w:r>
          </w:p>
        </w:tc>
        <w:tc>
          <w:tcPr>
            <w:tcW w:w="278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29"/>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11.1</w:t>
            </w:r>
          </w:p>
        </w:tc>
        <w:tc>
          <w:tcPr>
            <w:tcW w:w="7320" w:type="dxa"/>
            <w:vAlign w:val="bottom"/>
          </w:tcPr>
          <w:p>
            <w:pPr>
              <w:ind w:left="160"/>
              <w:spacing w:after="0"/>
              <w:rPr>
                <w:sz w:val="20"/>
                <w:szCs w:val="20"/>
                <w:color w:val="auto"/>
              </w:rPr>
            </w:pPr>
            <w:r>
              <w:rPr>
                <w:rFonts w:ascii="Arial" w:cs="Arial" w:eastAsia="Arial" w:hAnsi="Arial"/>
                <w:sz w:val="20"/>
                <w:szCs w:val="20"/>
                <w:color w:val="auto"/>
              </w:rPr>
              <w:t>Illegality</w:t>
            </w:r>
          </w:p>
        </w:tc>
        <w:tc>
          <w:tcPr>
            <w:tcW w:w="278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30"/>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11.2</w:t>
            </w:r>
          </w:p>
        </w:tc>
        <w:tc>
          <w:tcPr>
            <w:tcW w:w="7320" w:type="dxa"/>
            <w:vAlign w:val="bottom"/>
          </w:tcPr>
          <w:p>
            <w:pPr>
              <w:ind w:left="160"/>
              <w:spacing w:after="0"/>
              <w:rPr>
                <w:sz w:val="20"/>
                <w:szCs w:val="20"/>
                <w:color w:val="auto"/>
              </w:rPr>
            </w:pPr>
            <w:r>
              <w:rPr>
                <w:rFonts w:ascii="Arial" w:cs="Arial" w:eastAsia="Arial" w:hAnsi="Arial"/>
                <w:sz w:val="20"/>
                <w:szCs w:val="20"/>
                <w:color w:val="auto"/>
              </w:rPr>
              <w:t>Increased Costs</w:t>
            </w:r>
          </w:p>
        </w:tc>
        <w:tc>
          <w:tcPr>
            <w:tcW w:w="278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29"/>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11.3</w:t>
            </w:r>
          </w:p>
        </w:tc>
        <w:tc>
          <w:tcPr>
            <w:tcW w:w="7320" w:type="dxa"/>
            <w:vAlign w:val="bottom"/>
          </w:tcPr>
          <w:p>
            <w:pPr>
              <w:ind w:left="160"/>
              <w:spacing w:after="0"/>
              <w:rPr>
                <w:sz w:val="20"/>
                <w:szCs w:val="20"/>
                <w:color w:val="auto"/>
              </w:rPr>
            </w:pPr>
            <w:r>
              <w:rPr>
                <w:rFonts w:ascii="Arial" w:cs="Arial" w:eastAsia="Arial" w:hAnsi="Arial"/>
                <w:sz w:val="20"/>
                <w:szCs w:val="20"/>
                <w:color w:val="auto"/>
              </w:rPr>
              <w:t>Market disruption</w:t>
            </w:r>
          </w:p>
        </w:tc>
        <w:tc>
          <w:tcPr>
            <w:tcW w:w="278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30"/>
        </w:trPr>
        <w:tc>
          <w:tcPr>
            <w:tcW w:w="44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11.4</w:t>
            </w:r>
          </w:p>
        </w:tc>
        <w:tc>
          <w:tcPr>
            <w:tcW w:w="7320" w:type="dxa"/>
            <w:vAlign w:val="bottom"/>
          </w:tcPr>
          <w:p>
            <w:pPr>
              <w:ind w:left="160"/>
              <w:spacing w:after="0"/>
              <w:rPr>
                <w:sz w:val="20"/>
                <w:szCs w:val="20"/>
                <w:color w:val="auto"/>
              </w:rPr>
            </w:pPr>
            <w:r>
              <w:rPr>
                <w:rFonts w:ascii="Arial" w:cs="Arial" w:eastAsia="Arial" w:hAnsi="Arial"/>
                <w:sz w:val="20"/>
                <w:szCs w:val="20"/>
                <w:color w:val="auto"/>
              </w:rPr>
              <w:t>Notification of market disruption</w:t>
            </w:r>
          </w:p>
        </w:tc>
        <w:tc>
          <w:tcPr>
            <w:tcW w:w="278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50"/>
        </w:trPr>
        <w:tc>
          <w:tcPr>
            <w:tcW w:w="440" w:type="dxa"/>
            <w:vAlign w:val="bottom"/>
          </w:tcPr>
          <w:p>
            <w:pPr>
              <w:spacing w:after="0"/>
              <w:rPr>
                <w:sz w:val="21"/>
                <w:szCs w:val="21"/>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11.5</w:t>
            </w:r>
          </w:p>
        </w:tc>
        <w:tc>
          <w:tcPr>
            <w:tcW w:w="7320" w:type="dxa"/>
            <w:vAlign w:val="bottom"/>
          </w:tcPr>
          <w:p>
            <w:pPr>
              <w:ind w:left="160"/>
              <w:spacing w:after="0"/>
              <w:rPr>
                <w:sz w:val="20"/>
                <w:szCs w:val="20"/>
                <w:color w:val="auto"/>
              </w:rPr>
            </w:pPr>
            <w:r>
              <w:rPr>
                <w:rFonts w:ascii="Arial" w:cs="Arial" w:eastAsia="Arial" w:hAnsi="Arial"/>
                <w:sz w:val="20"/>
                <w:szCs w:val="20"/>
                <w:color w:val="auto"/>
              </w:rPr>
              <w:t>Alternative rate of interest during market disruption</w:t>
            </w:r>
          </w:p>
        </w:tc>
        <w:tc>
          <w:tcPr>
            <w:tcW w:w="27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543"/>
        </w:trPr>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11.6</w:t>
            </w:r>
          </w:p>
        </w:tc>
        <w:tc>
          <w:tcPr>
            <w:tcW w:w="7060" w:type="dxa"/>
            <w:vAlign w:val="bottom"/>
          </w:tcPr>
          <w:p>
            <w:pPr>
              <w:ind w:left="100"/>
              <w:spacing w:after="0"/>
              <w:rPr>
                <w:sz w:val="20"/>
                <w:szCs w:val="20"/>
                <w:color w:val="auto"/>
              </w:rPr>
            </w:pPr>
            <w:r>
              <w:rPr>
                <w:rFonts w:ascii="Arial" w:cs="Arial" w:eastAsia="Arial" w:hAnsi="Arial"/>
                <w:sz w:val="20"/>
                <w:szCs w:val="20"/>
                <w:color w:val="auto"/>
              </w:rPr>
              <w:t>Lender's Certificate Conclusive</w:t>
            </w:r>
          </w:p>
        </w:tc>
        <w:tc>
          <w:tcPr>
            <w:tcW w:w="296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29"/>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11.7</w:t>
            </w:r>
          </w:p>
        </w:tc>
        <w:tc>
          <w:tcPr>
            <w:tcW w:w="7060" w:type="dxa"/>
            <w:vAlign w:val="bottom"/>
          </w:tcPr>
          <w:p>
            <w:pPr>
              <w:ind w:left="100"/>
              <w:spacing w:after="0"/>
              <w:rPr>
                <w:sz w:val="20"/>
                <w:szCs w:val="20"/>
                <w:color w:val="auto"/>
              </w:rPr>
            </w:pPr>
            <w:r>
              <w:rPr>
                <w:rFonts w:ascii="Arial" w:cs="Arial" w:eastAsia="Arial" w:hAnsi="Arial"/>
                <w:sz w:val="20"/>
                <w:szCs w:val="20"/>
                <w:color w:val="auto"/>
              </w:rPr>
              <w:t>Compensation for Losses</w:t>
            </w:r>
          </w:p>
        </w:tc>
        <w:tc>
          <w:tcPr>
            <w:tcW w:w="296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30"/>
        </w:trPr>
        <w:tc>
          <w:tcPr>
            <w:tcW w:w="440" w:type="dxa"/>
            <w:vAlign w:val="bottom"/>
          </w:tcPr>
          <w:p>
            <w:pPr>
              <w:jc w:val="right"/>
              <w:ind w:right="141"/>
              <w:spacing w:after="0"/>
              <w:rPr>
                <w:sz w:val="20"/>
                <w:szCs w:val="20"/>
                <w:color w:val="auto"/>
              </w:rPr>
            </w:pPr>
            <w:r>
              <w:rPr>
                <w:rFonts w:ascii="Arial" w:cs="Arial" w:eastAsia="Arial" w:hAnsi="Arial"/>
                <w:sz w:val="20"/>
                <w:szCs w:val="20"/>
                <w:color w:val="auto"/>
                <w:w w:val="80"/>
              </w:rPr>
              <w:t>12</w:t>
            </w:r>
          </w:p>
        </w:tc>
        <w:tc>
          <w:tcPr>
            <w:tcW w:w="7840" w:type="dxa"/>
            <w:vAlign w:val="bottom"/>
            <w:gridSpan w:val="2"/>
          </w:tcPr>
          <w:p>
            <w:pPr>
              <w:ind w:left="220"/>
              <w:spacing w:after="0"/>
              <w:rPr>
                <w:sz w:val="20"/>
                <w:szCs w:val="20"/>
                <w:color w:val="auto"/>
              </w:rPr>
            </w:pPr>
            <w:r>
              <w:rPr>
                <w:rFonts w:ascii="Arial" w:cs="Arial" w:eastAsia="Arial" w:hAnsi="Arial"/>
                <w:sz w:val="20"/>
                <w:szCs w:val="20"/>
                <w:color w:val="auto"/>
              </w:rPr>
              <w:t>CURRENCY INDEMNITY</w:t>
            </w:r>
          </w:p>
        </w:tc>
        <w:tc>
          <w:tcPr>
            <w:tcW w:w="296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29"/>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12.1</w:t>
            </w:r>
          </w:p>
        </w:tc>
        <w:tc>
          <w:tcPr>
            <w:tcW w:w="7060" w:type="dxa"/>
            <w:vAlign w:val="bottom"/>
          </w:tcPr>
          <w:p>
            <w:pPr>
              <w:ind w:left="100"/>
              <w:spacing w:after="0"/>
              <w:rPr>
                <w:sz w:val="20"/>
                <w:szCs w:val="20"/>
                <w:color w:val="auto"/>
              </w:rPr>
            </w:pPr>
            <w:r>
              <w:rPr>
                <w:rFonts w:ascii="Arial" w:cs="Arial" w:eastAsia="Arial" w:hAnsi="Arial"/>
                <w:sz w:val="20"/>
                <w:szCs w:val="20"/>
                <w:color w:val="auto"/>
              </w:rPr>
              <w:t>Currency Conversion</w:t>
            </w:r>
          </w:p>
        </w:tc>
        <w:tc>
          <w:tcPr>
            <w:tcW w:w="296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29"/>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12.2</w:t>
            </w:r>
          </w:p>
        </w:tc>
        <w:tc>
          <w:tcPr>
            <w:tcW w:w="7060" w:type="dxa"/>
            <w:vAlign w:val="bottom"/>
          </w:tcPr>
          <w:p>
            <w:pPr>
              <w:ind w:left="100"/>
              <w:spacing w:after="0"/>
              <w:rPr>
                <w:sz w:val="20"/>
                <w:szCs w:val="20"/>
                <w:color w:val="auto"/>
              </w:rPr>
            </w:pPr>
            <w:r>
              <w:rPr>
                <w:rFonts w:ascii="Arial" w:cs="Arial" w:eastAsia="Arial" w:hAnsi="Arial"/>
                <w:sz w:val="20"/>
                <w:szCs w:val="20"/>
                <w:color w:val="auto"/>
              </w:rPr>
              <w:t>Change in Exchange Rate</w:t>
            </w:r>
          </w:p>
        </w:tc>
        <w:tc>
          <w:tcPr>
            <w:tcW w:w="296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30"/>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12.3</w:t>
            </w:r>
          </w:p>
        </w:tc>
        <w:tc>
          <w:tcPr>
            <w:tcW w:w="7060" w:type="dxa"/>
            <w:vAlign w:val="bottom"/>
          </w:tcPr>
          <w:p>
            <w:pPr>
              <w:ind w:left="100"/>
              <w:spacing w:after="0"/>
              <w:rPr>
                <w:sz w:val="20"/>
                <w:szCs w:val="20"/>
                <w:color w:val="auto"/>
              </w:rPr>
            </w:pPr>
            <w:r>
              <w:rPr>
                <w:rFonts w:ascii="Arial" w:cs="Arial" w:eastAsia="Arial" w:hAnsi="Arial"/>
                <w:sz w:val="20"/>
                <w:szCs w:val="20"/>
                <w:color w:val="auto"/>
              </w:rPr>
              <w:t>Additional Debt Due</w:t>
            </w:r>
          </w:p>
        </w:tc>
        <w:tc>
          <w:tcPr>
            <w:tcW w:w="296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29"/>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12.4</w:t>
            </w:r>
          </w:p>
        </w:tc>
        <w:tc>
          <w:tcPr>
            <w:tcW w:w="7060" w:type="dxa"/>
            <w:vAlign w:val="bottom"/>
          </w:tcPr>
          <w:p>
            <w:pPr>
              <w:ind w:left="100"/>
              <w:spacing w:after="0"/>
              <w:rPr>
                <w:sz w:val="20"/>
                <w:szCs w:val="20"/>
                <w:color w:val="auto"/>
              </w:rPr>
            </w:pPr>
            <w:r>
              <w:rPr>
                <w:rFonts w:ascii="Arial" w:cs="Arial" w:eastAsia="Arial" w:hAnsi="Arial"/>
                <w:sz w:val="20"/>
                <w:szCs w:val="20"/>
                <w:color w:val="auto"/>
              </w:rPr>
              <w:t>Rate of Exchange</w:t>
            </w:r>
          </w:p>
        </w:tc>
        <w:tc>
          <w:tcPr>
            <w:tcW w:w="296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30"/>
        </w:trPr>
        <w:tc>
          <w:tcPr>
            <w:tcW w:w="440" w:type="dxa"/>
            <w:vAlign w:val="bottom"/>
          </w:tcPr>
          <w:p>
            <w:pPr>
              <w:jc w:val="right"/>
              <w:ind w:right="141"/>
              <w:spacing w:after="0"/>
              <w:rPr>
                <w:sz w:val="20"/>
                <w:szCs w:val="20"/>
                <w:color w:val="auto"/>
              </w:rPr>
            </w:pPr>
            <w:r>
              <w:rPr>
                <w:rFonts w:ascii="Arial" w:cs="Arial" w:eastAsia="Arial" w:hAnsi="Arial"/>
                <w:sz w:val="20"/>
                <w:szCs w:val="20"/>
                <w:color w:val="auto"/>
                <w:w w:val="80"/>
              </w:rPr>
              <w:t>13</w:t>
            </w:r>
          </w:p>
        </w:tc>
        <w:tc>
          <w:tcPr>
            <w:tcW w:w="7840" w:type="dxa"/>
            <w:vAlign w:val="bottom"/>
            <w:gridSpan w:val="2"/>
          </w:tcPr>
          <w:p>
            <w:pPr>
              <w:ind w:left="220"/>
              <w:spacing w:after="0"/>
              <w:rPr>
                <w:sz w:val="20"/>
                <w:szCs w:val="20"/>
                <w:color w:val="auto"/>
              </w:rPr>
            </w:pPr>
            <w:r>
              <w:rPr>
                <w:rFonts w:ascii="Arial" w:cs="Arial" w:eastAsia="Arial" w:hAnsi="Arial"/>
                <w:sz w:val="20"/>
                <w:szCs w:val="20"/>
                <w:color w:val="auto"/>
              </w:rPr>
              <w:t>FEES AND EXPENSES</w:t>
            </w:r>
          </w:p>
        </w:tc>
        <w:tc>
          <w:tcPr>
            <w:tcW w:w="296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29"/>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13.1</w:t>
            </w:r>
          </w:p>
        </w:tc>
        <w:tc>
          <w:tcPr>
            <w:tcW w:w="7060" w:type="dxa"/>
            <w:vAlign w:val="bottom"/>
          </w:tcPr>
          <w:p>
            <w:pPr>
              <w:ind w:left="100"/>
              <w:spacing w:after="0"/>
              <w:rPr>
                <w:sz w:val="20"/>
                <w:szCs w:val="20"/>
                <w:color w:val="auto"/>
              </w:rPr>
            </w:pPr>
            <w:r>
              <w:rPr>
                <w:rFonts w:ascii="Arial" w:cs="Arial" w:eastAsia="Arial" w:hAnsi="Arial"/>
                <w:sz w:val="20"/>
                <w:szCs w:val="20"/>
                <w:color w:val="auto"/>
              </w:rPr>
              <w:t>Fees</w:t>
            </w:r>
          </w:p>
        </w:tc>
        <w:tc>
          <w:tcPr>
            <w:tcW w:w="296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29"/>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13.2</w:t>
            </w:r>
          </w:p>
        </w:tc>
        <w:tc>
          <w:tcPr>
            <w:tcW w:w="7060" w:type="dxa"/>
            <w:vAlign w:val="bottom"/>
          </w:tcPr>
          <w:p>
            <w:pPr>
              <w:ind w:left="100"/>
              <w:spacing w:after="0"/>
              <w:rPr>
                <w:sz w:val="20"/>
                <w:szCs w:val="20"/>
                <w:color w:val="auto"/>
              </w:rPr>
            </w:pPr>
            <w:r>
              <w:rPr>
                <w:rFonts w:ascii="Arial" w:cs="Arial" w:eastAsia="Arial" w:hAnsi="Arial"/>
                <w:sz w:val="20"/>
                <w:szCs w:val="20"/>
                <w:color w:val="auto"/>
              </w:rPr>
              <w:t>Expenses</w:t>
            </w:r>
          </w:p>
        </w:tc>
        <w:tc>
          <w:tcPr>
            <w:tcW w:w="296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30"/>
        </w:trPr>
        <w:tc>
          <w:tcPr>
            <w:tcW w:w="440" w:type="dxa"/>
            <w:vAlign w:val="bottom"/>
          </w:tcPr>
          <w:p>
            <w:pPr>
              <w:jc w:val="right"/>
              <w:ind w:right="141"/>
              <w:spacing w:after="0"/>
              <w:rPr>
                <w:sz w:val="20"/>
                <w:szCs w:val="20"/>
                <w:color w:val="auto"/>
              </w:rPr>
            </w:pPr>
            <w:r>
              <w:rPr>
                <w:rFonts w:ascii="Arial" w:cs="Arial" w:eastAsia="Arial" w:hAnsi="Arial"/>
                <w:sz w:val="20"/>
                <w:szCs w:val="20"/>
                <w:color w:val="auto"/>
                <w:w w:val="80"/>
              </w:rPr>
              <w:t>14</w:t>
            </w:r>
          </w:p>
        </w:tc>
        <w:tc>
          <w:tcPr>
            <w:tcW w:w="7840" w:type="dxa"/>
            <w:vAlign w:val="bottom"/>
            <w:gridSpan w:val="2"/>
          </w:tcPr>
          <w:p>
            <w:pPr>
              <w:ind w:left="220"/>
              <w:spacing w:after="0"/>
              <w:rPr>
                <w:sz w:val="20"/>
                <w:szCs w:val="20"/>
                <w:color w:val="auto"/>
              </w:rPr>
            </w:pPr>
            <w:r>
              <w:rPr>
                <w:rFonts w:ascii="Arial" w:cs="Arial" w:eastAsia="Arial" w:hAnsi="Arial"/>
                <w:sz w:val="20"/>
                <w:szCs w:val="20"/>
                <w:color w:val="auto"/>
              </w:rPr>
              <w:t>APPLICABLE LAW, JURISDICTION AND WAIVER</w:t>
            </w:r>
          </w:p>
        </w:tc>
        <w:tc>
          <w:tcPr>
            <w:tcW w:w="296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29"/>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14.1</w:t>
            </w:r>
          </w:p>
        </w:tc>
        <w:tc>
          <w:tcPr>
            <w:tcW w:w="7060" w:type="dxa"/>
            <w:vAlign w:val="bottom"/>
          </w:tcPr>
          <w:p>
            <w:pPr>
              <w:ind w:left="100"/>
              <w:spacing w:after="0"/>
              <w:rPr>
                <w:sz w:val="20"/>
                <w:szCs w:val="20"/>
                <w:color w:val="auto"/>
              </w:rPr>
            </w:pPr>
            <w:r>
              <w:rPr>
                <w:rFonts w:ascii="Arial" w:cs="Arial" w:eastAsia="Arial" w:hAnsi="Arial"/>
                <w:sz w:val="20"/>
                <w:szCs w:val="20"/>
                <w:color w:val="auto"/>
              </w:rPr>
              <w:t>Applicable Law</w:t>
            </w:r>
          </w:p>
        </w:tc>
        <w:tc>
          <w:tcPr>
            <w:tcW w:w="296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29"/>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14.2</w:t>
            </w:r>
          </w:p>
        </w:tc>
        <w:tc>
          <w:tcPr>
            <w:tcW w:w="7060" w:type="dxa"/>
            <w:vAlign w:val="bottom"/>
          </w:tcPr>
          <w:p>
            <w:pPr>
              <w:ind w:left="100"/>
              <w:spacing w:after="0"/>
              <w:rPr>
                <w:sz w:val="20"/>
                <w:szCs w:val="20"/>
                <w:color w:val="auto"/>
              </w:rPr>
            </w:pPr>
            <w:r>
              <w:rPr>
                <w:rFonts w:ascii="Arial" w:cs="Arial" w:eastAsia="Arial" w:hAnsi="Arial"/>
                <w:sz w:val="20"/>
                <w:szCs w:val="20"/>
                <w:color w:val="auto"/>
              </w:rPr>
              <w:t>Jurisdiction</w:t>
            </w:r>
          </w:p>
        </w:tc>
        <w:tc>
          <w:tcPr>
            <w:tcW w:w="296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30"/>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14.3</w:t>
            </w:r>
          </w:p>
        </w:tc>
        <w:tc>
          <w:tcPr>
            <w:tcW w:w="7060" w:type="dxa"/>
            <w:vAlign w:val="bottom"/>
          </w:tcPr>
          <w:p>
            <w:pPr>
              <w:ind w:left="100"/>
              <w:spacing w:after="0"/>
              <w:rPr>
                <w:sz w:val="20"/>
                <w:szCs w:val="20"/>
                <w:color w:val="auto"/>
              </w:rPr>
            </w:pPr>
            <w:r>
              <w:rPr>
                <w:rFonts w:ascii="Arial" w:cs="Arial" w:eastAsia="Arial" w:hAnsi="Arial"/>
                <w:sz w:val="20"/>
                <w:szCs w:val="20"/>
                <w:color w:val="auto"/>
              </w:rPr>
              <w:t>WAIVER OF IMMUNITY</w:t>
            </w:r>
          </w:p>
        </w:tc>
        <w:tc>
          <w:tcPr>
            <w:tcW w:w="296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29"/>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14.4</w:t>
            </w:r>
          </w:p>
        </w:tc>
        <w:tc>
          <w:tcPr>
            <w:tcW w:w="7060" w:type="dxa"/>
            <w:vAlign w:val="bottom"/>
          </w:tcPr>
          <w:p>
            <w:pPr>
              <w:ind w:left="100"/>
              <w:spacing w:after="0"/>
              <w:rPr>
                <w:sz w:val="20"/>
                <w:szCs w:val="20"/>
                <w:color w:val="auto"/>
              </w:rPr>
            </w:pPr>
            <w:r>
              <w:rPr>
                <w:rFonts w:ascii="Arial" w:cs="Arial" w:eastAsia="Arial" w:hAnsi="Arial"/>
                <w:sz w:val="20"/>
                <w:szCs w:val="20"/>
                <w:color w:val="auto"/>
              </w:rPr>
              <w:t>WAIVER OF JURY TRIAL</w:t>
            </w:r>
          </w:p>
        </w:tc>
        <w:tc>
          <w:tcPr>
            <w:tcW w:w="296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30"/>
        </w:trPr>
        <w:tc>
          <w:tcPr>
            <w:tcW w:w="440" w:type="dxa"/>
            <w:vAlign w:val="bottom"/>
          </w:tcPr>
          <w:p>
            <w:pPr>
              <w:jc w:val="right"/>
              <w:ind w:right="141"/>
              <w:spacing w:after="0"/>
              <w:rPr>
                <w:sz w:val="20"/>
                <w:szCs w:val="20"/>
                <w:color w:val="auto"/>
              </w:rPr>
            </w:pPr>
            <w:r>
              <w:rPr>
                <w:rFonts w:ascii="Arial" w:cs="Arial" w:eastAsia="Arial" w:hAnsi="Arial"/>
                <w:sz w:val="20"/>
                <w:szCs w:val="20"/>
                <w:color w:val="auto"/>
                <w:w w:val="80"/>
              </w:rPr>
              <w:t>15</w:t>
            </w:r>
          </w:p>
        </w:tc>
        <w:tc>
          <w:tcPr>
            <w:tcW w:w="7840" w:type="dxa"/>
            <w:vAlign w:val="bottom"/>
            <w:gridSpan w:val="2"/>
          </w:tcPr>
          <w:p>
            <w:pPr>
              <w:ind w:left="220"/>
              <w:spacing w:after="0"/>
              <w:rPr>
                <w:sz w:val="20"/>
                <w:szCs w:val="20"/>
                <w:color w:val="auto"/>
              </w:rPr>
            </w:pPr>
            <w:r>
              <w:rPr>
                <w:rFonts w:ascii="Arial" w:cs="Arial" w:eastAsia="Arial" w:hAnsi="Arial"/>
                <w:sz w:val="20"/>
                <w:szCs w:val="20"/>
                <w:color w:val="auto"/>
              </w:rPr>
              <w:t>THE AGENTS</w:t>
            </w:r>
          </w:p>
        </w:tc>
        <w:tc>
          <w:tcPr>
            <w:tcW w:w="296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29"/>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15.1</w:t>
            </w:r>
          </w:p>
        </w:tc>
        <w:tc>
          <w:tcPr>
            <w:tcW w:w="7060" w:type="dxa"/>
            <w:vAlign w:val="bottom"/>
          </w:tcPr>
          <w:p>
            <w:pPr>
              <w:ind w:left="100"/>
              <w:spacing w:after="0"/>
              <w:rPr>
                <w:sz w:val="20"/>
                <w:szCs w:val="20"/>
                <w:color w:val="auto"/>
              </w:rPr>
            </w:pPr>
            <w:r>
              <w:rPr>
                <w:rFonts w:ascii="Arial" w:cs="Arial" w:eastAsia="Arial" w:hAnsi="Arial"/>
                <w:sz w:val="20"/>
                <w:szCs w:val="20"/>
                <w:color w:val="auto"/>
              </w:rPr>
              <w:t>Appointment of Agents</w:t>
            </w:r>
          </w:p>
        </w:tc>
        <w:tc>
          <w:tcPr>
            <w:tcW w:w="296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29"/>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15.2</w:t>
            </w:r>
          </w:p>
        </w:tc>
        <w:tc>
          <w:tcPr>
            <w:tcW w:w="7060" w:type="dxa"/>
            <w:vAlign w:val="bottom"/>
          </w:tcPr>
          <w:p>
            <w:pPr>
              <w:ind w:left="100"/>
              <w:spacing w:after="0"/>
              <w:rPr>
                <w:sz w:val="20"/>
                <w:szCs w:val="20"/>
                <w:color w:val="auto"/>
              </w:rPr>
            </w:pPr>
            <w:r>
              <w:rPr>
                <w:rFonts w:ascii="Arial" w:cs="Arial" w:eastAsia="Arial" w:hAnsi="Arial"/>
                <w:sz w:val="20"/>
                <w:szCs w:val="20"/>
                <w:color w:val="auto"/>
              </w:rPr>
              <w:t>Appointment of Security Trustee</w:t>
            </w:r>
          </w:p>
        </w:tc>
        <w:tc>
          <w:tcPr>
            <w:tcW w:w="296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30"/>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15.3</w:t>
            </w:r>
          </w:p>
        </w:tc>
        <w:tc>
          <w:tcPr>
            <w:tcW w:w="7060" w:type="dxa"/>
            <w:vAlign w:val="bottom"/>
          </w:tcPr>
          <w:p>
            <w:pPr>
              <w:ind w:left="100"/>
              <w:spacing w:after="0"/>
              <w:rPr>
                <w:sz w:val="20"/>
                <w:szCs w:val="20"/>
                <w:color w:val="auto"/>
              </w:rPr>
            </w:pPr>
            <w:r>
              <w:rPr>
                <w:rFonts w:ascii="Arial" w:cs="Arial" w:eastAsia="Arial" w:hAnsi="Arial"/>
                <w:sz w:val="20"/>
                <w:szCs w:val="20"/>
                <w:color w:val="auto"/>
              </w:rPr>
              <w:t>Distribution of Payments</w:t>
            </w:r>
          </w:p>
        </w:tc>
        <w:tc>
          <w:tcPr>
            <w:tcW w:w="29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29"/>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15.4</w:t>
            </w:r>
          </w:p>
        </w:tc>
        <w:tc>
          <w:tcPr>
            <w:tcW w:w="7060" w:type="dxa"/>
            <w:vAlign w:val="bottom"/>
          </w:tcPr>
          <w:p>
            <w:pPr>
              <w:ind w:left="100"/>
              <w:spacing w:after="0"/>
              <w:rPr>
                <w:sz w:val="20"/>
                <w:szCs w:val="20"/>
                <w:color w:val="auto"/>
              </w:rPr>
            </w:pPr>
            <w:r>
              <w:rPr>
                <w:rFonts w:ascii="Arial" w:cs="Arial" w:eastAsia="Arial" w:hAnsi="Arial"/>
                <w:sz w:val="20"/>
                <w:szCs w:val="20"/>
                <w:color w:val="auto"/>
              </w:rPr>
              <w:t>Holder of Interest in Notes</w:t>
            </w:r>
          </w:p>
        </w:tc>
        <w:tc>
          <w:tcPr>
            <w:tcW w:w="29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29"/>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15.5</w:t>
            </w:r>
          </w:p>
        </w:tc>
        <w:tc>
          <w:tcPr>
            <w:tcW w:w="7060" w:type="dxa"/>
            <w:vAlign w:val="bottom"/>
          </w:tcPr>
          <w:p>
            <w:pPr>
              <w:ind w:left="100"/>
              <w:spacing w:after="0"/>
              <w:rPr>
                <w:sz w:val="20"/>
                <w:szCs w:val="20"/>
                <w:color w:val="auto"/>
              </w:rPr>
            </w:pPr>
            <w:r>
              <w:rPr>
                <w:rFonts w:ascii="Arial" w:cs="Arial" w:eastAsia="Arial" w:hAnsi="Arial"/>
                <w:sz w:val="20"/>
                <w:szCs w:val="20"/>
                <w:color w:val="auto"/>
              </w:rPr>
              <w:t>No Duty to Examine, Etc</w:t>
            </w:r>
          </w:p>
        </w:tc>
        <w:tc>
          <w:tcPr>
            <w:tcW w:w="29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30"/>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15.6</w:t>
            </w:r>
          </w:p>
        </w:tc>
        <w:tc>
          <w:tcPr>
            <w:tcW w:w="7060" w:type="dxa"/>
            <w:vAlign w:val="bottom"/>
          </w:tcPr>
          <w:p>
            <w:pPr>
              <w:ind w:left="100"/>
              <w:spacing w:after="0"/>
              <w:rPr>
                <w:sz w:val="20"/>
                <w:szCs w:val="20"/>
                <w:color w:val="auto"/>
              </w:rPr>
            </w:pPr>
            <w:r>
              <w:rPr>
                <w:rFonts w:ascii="Arial" w:cs="Arial" w:eastAsia="Arial" w:hAnsi="Arial"/>
                <w:sz w:val="20"/>
                <w:szCs w:val="20"/>
                <w:color w:val="auto"/>
              </w:rPr>
              <w:t>Agents as Lenders</w:t>
            </w:r>
          </w:p>
        </w:tc>
        <w:tc>
          <w:tcPr>
            <w:tcW w:w="29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29"/>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15.7</w:t>
            </w:r>
          </w:p>
        </w:tc>
        <w:tc>
          <w:tcPr>
            <w:tcW w:w="7060" w:type="dxa"/>
            <w:vAlign w:val="bottom"/>
          </w:tcPr>
          <w:p>
            <w:pPr>
              <w:ind w:left="100"/>
              <w:spacing w:after="0"/>
              <w:rPr>
                <w:sz w:val="20"/>
                <w:szCs w:val="20"/>
                <w:color w:val="auto"/>
              </w:rPr>
            </w:pPr>
            <w:r>
              <w:rPr>
                <w:rFonts w:ascii="Arial" w:cs="Arial" w:eastAsia="Arial" w:hAnsi="Arial"/>
                <w:sz w:val="20"/>
                <w:szCs w:val="20"/>
                <w:color w:val="auto"/>
              </w:rPr>
              <w:t>Acts of the Agents</w:t>
            </w:r>
          </w:p>
        </w:tc>
        <w:tc>
          <w:tcPr>
            <w:tcW w:w="29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30"/>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15.8</w:t>
            </w:r>
          </w:p>
        </w:tc>
        <w:tc>
          <w:tcPr>
            <w:tcW w:w="7060" w:type="dxa"/>
            <w:vAlign w:val="bottom"/>
          </w:tcPr>
          <w:p>
            <w:pPr>
              <w:ind w:left="100"/>
              <w:spacing w:after="0"/>
              <w:rPr>
                <w:sz w:val="20"/>
                <w:szCs w:val="20"/>
                <w:color w:val="auto"/>
              </w:rPr>
            </w:pPr>
            <w:r>
              <w:rPr>
                <w:rFonts w:ascii="Arial" w:cs="Arial" w:eastAsia="Arial" w:hAnsi="Arial"/>
                <w:sz w:val="20"/>
                <w:szCs w:val="20"/>
                <w:color w:val="auto"/>
              </w:rPr>
              <w:t>Certain Amendments</w:t>
            </w:r>
          </w:p>
        </w:tc>
        <w:tc>
          <w:tcPr>
            <w:tcW w:w="296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29"/>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15.9</w:t>
            </w:r>
          </w:p>
        </w:tc>
        <w:tc>
          <w:tcPr>
            <w:tcW w:w="7060" w:type="dxa"/>
            <w:vAlign w:val="bottom"/>
          </w:tcPr>
          <w:p>
            <w:pPr>
              <w:ind w:left="100"/>
              <w:spacing w:after="0"/>
              <w:rPr>
                <w:sz w:val="20"/>
                <w:szCs w:val="20"/>
                <w:color w:val="auto"/>
              </w:rPr>
            </w:pPr>
            <w:r>
              <w:rPr>
                <w:rFonts w:ascii="Arial" w:cs="Arial" w:eastAsia="Arial" w:hAnsi="Arial"/>
                <w:sz w:val="20"/>
                <w:szCs w:val="20"/>
                <w:color w:val="auto"/>
              </w:rPr>
              <w:t>Assumption re Event of Default</w:t>
            </w:r>
          </w:p>
        </w:tc>
        <w:tc>
          <w:tcPr>
            <w:tcW w:w="296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29"/>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15.10</w:t>
            </w:r>
          </w:p>
        </w:tc>
        <w:tc>
          <w:tcPr>
            <w:tcW w:w="7060" w:type="dxa"/>
            <w:vAlign w:val="bottom"/>
          </w:tcPr>
          <w:p>
            <w:pPr>
              <w:ind w:left="100"/>
              <w:spacing w:after="0"/>
              <w:rPr>
                <w:sz w:val="20"/>
                <w:szCs w:val="20"/>
                <w:color w:val="auto"/>
              </w:rPr>
            </w:pPr>
            <w:r>
              <w:rPr>
                <w:rFonts w:ascii="Arial" w:cs="Arial" w:eastAsia="Arial" w:hAnsi="Arial"/>
                <w:sz w:val="20"/>
                <w:szCs w:val="20"/>
                <w:color w:val="auto"/>
              </w:rPr>
              <w:t>Limitations of Liability</w:t>
            </w:r>
          </w:p>
        </w:tc>
        <w:tc>
          <w:tcPr>
            <w:tcW w:w="296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15.11</w:t>
            </w:r>
          </w:p>
        </w:tc>
        <w:tc>
          <w:tcPr>
            <w:tcW w:w="7060" w:type="dxa"/>
            <w:vAlign w:val="bottom"/>
          </w:tcPr>
          <w:p>
            <w:pPr>
              <w:ind w:left="100"/>
              <w:spacing w:after="0"/>
              <w:rPr>
                <w:sz w:val="20"/>
                <w:szCs w:val="20"/>
                <w:color w:val="auto"/>
              </w:rPr>
            </w:pPr>
            <w:r>
              <w:rPr>
                <w:rFonts w:ascii="Arial" w:cs="Arial" w:eastAsia="Arial" w:hAnsi="Arial"/>
                <w:sz w:val="20"/>
                <w:szCs w:val="20"/>
                <w:color w:val="auto"/>
              </w:rPr>
              <w:t>Indemnification of the Agent and Security Trustee</w:t>
            </w:r>
          </w:p>
        </w:tc>
        <w:tc>
          <w:tcPr>
            <w:tcW w:w="296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29"/>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15.12</w:t>
            </w:r>
          </w:p>
        </w:tc>
        <w:tc>
          <w:tcPr>
            <w:tcW w:w="7060" w:type="dxa"/>
            <w:vAlign w:val="bottom"/>
          </w:tcPr>
          <w:p>
            <w:pPr>
              <w:ind w:left="100"/>
              <w:spacing w:after="0"/>
              <w:rPr>
                <w:sz w:val="20"/>
                <w:szCs w:val="20"/>
                <w:color w:val="auto"/>
              </w:rPr>
            </w:pPr>
            <w:r>
              <w:rPr>
                <w:rFonts w:ascii="Arial" w:cs="Arial" w:eastAsia="Arial" w:hAnsi="Arial"/>
                <w:sz w:val="20"/>
                <w:szCs w:val="20"/>
                <w:color w:val="auto"/>
              </w:rPr>
              <w:t>Consultation with Counsel</w:t>
            </w:r>
          </w:p>
        </w:tc>
        <w:tc>
          <w:tcPr>
            <w:tcW w:w="296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30"/>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15.13</w:t>
            </w:r>
          </w:p>
        </w:tc>
        <w:tc>
          <w:tcPr>
            <w:tcW w:w="7060" w:type="dxa"/>
            <w:vAlign w:val="bottom"/>
          </w:tcPr>
          <w:p>
            <w:pPr>
              <w:ind w:left="100"/>
              <w:spacing w:after="0"/>
              <w:rPr>
                <w:sz w:val="20"/>
                <w:szCs w:val="20"/>
                <w:color w:val="auto"/>
              </w:rPr>
            </w:pPr>
            <w:r>
              <w:rPr>
                <w:rFonts w:ascii="Arial" w:cs="Arial" w:eastAsia="Arial" w:hAnsi="Arial"/>
                <w:sz w:val="20"/>
                <w:szCs w:val="20"/>
                <w:color w:val="auto"/>
              </w:rPr>
              <w:t>Resignation</w:t>
            </w:r>
          </w:p>
        </w:tc>
        <w:tc>
          <w:tcPr>
            <w:tcW w:w="296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30"/>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15.14</w:t>
            </w:r>
          </w:p>
        </w:tc>
        <w:tc>
          <w:tcPr>
            <w:tcW w:w="7060" w:type="dxa"/>
            <w:vAlign w:val="bottom"/>
          </w:tcPr>
          <w:p>
            <w:pPr>
              <w:ind w:left="100"/>
              <w:spacing w:after="0"/>
              <w:rPr>
                <w:sz w:val="20"/>
                <w:szCs w:val="20"/>
                <w:color w:val="auto"/>
              </w:rPr>
            </w:pPr>
            <w:r>
              <w:rPr>
                <w:rFonts w:ascii="Arial" w:cs="Arial" w:eastAsia="Arial" w:hAnsi="Arial"/>
                <w:sz w:val="20"/>
                <w:szCs w:val="20"/>
                <w:color w:val="auto"/>
              </w:rPr>
              <w:t>Representations of Lenders</w:t>
            </w:r>
          </w:p>
        </w:tc>
        <w:tc>
          <w:tcPr>
            <w:tcW w:w="296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29"/>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15.15</w:t>
            </w:r>
          </w:p>
        </w:tc>
        <w:tc>
          <w:tcPr>
            <w:tcW w:w="7060" w:type="dxa"/>
            <w:vAlign w:val="bottom"/>
          </w:tcPr>
          <w:p>
            <w:pPr>
              <w:ind w:left="100"/>
              <w:spacing w:after="0"/>
              <w:rPr>
                <w:sz w:val="20"/>
                <w:szCs w:val="20"/>
                <w:color w:val="auto"/>
              </w:rPr>
            </w:pPr>
            <w:r>
              <w:rPr>
                <w:rFonts w:ascii="Arial" w:cs="Arial" w:eastAsia="Arial" w:hAnsi="Arial"/>
                <w:sz w:val="20"/>
                <w:szCs w:val="20"/>
                <w:color w:val="auto"/>
              </w:rPr>
              <w:t>Notification of Event of Default</w:t>
            </w:r>
          </w:p>
        </w:tc>
        <w:tc>
          <w:tcPr>
            <w:tcW w:w="296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30"/>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15.16</w:t>
            </w:r>
          </w:p>
        </w:tc>
        <w:tc>
          <w:tcPr>
            <w:tcW w:w="7060" w:type="dxa"/>
            <w:vAlign w:val="bottom"/>
          </w:tcPr>
          <w:p>
            <w:pPr>
              <w:ind w:left="100"/>
              <w:spacing w:after="0"/>
              <w:rPr>
                <w:sz w:val="20"/>
                <w:szCs w:val="20"/>
                <w:color w:val="auto"/>
              </w:rPr>
            </w:pPr>
            <w:r>
              <w:rPr>
                <w:rFonts w:ascii="Arial" w:cs="Arial" w:eastAsia="Arial" w:hAnsi="Arial"/>
                <w:sz w:val="20"/>
                <w:szCs w:val="20"/>
                <w:color w:val="auto"/>
              </w:rPr>
              <w:t>Sharing of Payments, Etc</w:t>
            </w:r>
          </w:p>
        </w:tc>
        <w:tc>
          <w:tcPr>
            <w:tcW w:w="296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30"/>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15.17</w:t>
            </w:r>
          </w:p>
        </w:tc>
        <w:tc>
          <w:tcPr>
            <w:tcW w:w="7060" w:type="dxa"/>
            <w:vAlign w:val="bottom"/>
          </w:tcPr>
          <w:p>
            <w:pPr>
              <w:ind w:left="100"/>
              <w:spacing w:after="0"/>
              <w:rPr>
                <w:sz w:val="20"/>
                <w:szCs w:val="20"/>
                <w:color w:val="auto"/>
              </w:rPr>
            </w:pPr>
            <w:r>
              <w:rPr>
                <w:rFonts w:ascii="Arial" w:cs="Arial" w:eastAsia="Arial" w:hAnsi="Arial"/>
                <w:sz w:val="20"/>
                <w:szCs w:val="20"/>
                <w:color w:val="auto"/>
              </w:rPr>
              <w:t>Erroneous Payments</w:t>
            </w:r>
          </w:p>
        </w:tc>
        <w:tc>
          <w:tcPr>
            <w:tcW w:w="296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30"/>
        </w:trPr>
        <w:tc>
          <w:tcPr>
            <w:tcW w:w="440" w:type="dxa"/>
            <w:vAlign w:val="bottom"/>
          </w:tcPr>
          <w:p>
            <w:pPr>
              <w:jc w:val="right"/>
              <w:ind w:right="141"/>
              <w:spacing w:after="0"/>
              <w:rPr>
                <w:sz w:val="20"/>
                <w:szCs w:val="20"/>
                <w:color w:val="auto"/>
              </w:rPr>
            </w:pPr>
            <w:r>
              <w:rPr>
                <w:rFonts w:ascii="Arial" w:cs="Arial" w:eastAsia="Arial" w:hAnsi="Arial"/>
                <w:sz w:val="20"/>
                <w:szCs w:val="20"/>
                <w:color w:val="auto"/>
                <w:w w:val="80"/>
              </w:rPr>
              <w:t>16</w:t>
            </w:r>
          </w:p>
        </w:tc>
        <w:tc>
          <w:tcPr>
            <w:tcW w:w="7840" w:type="dxa"/>
            <w:vAlign w:val="bottom"/>
            <w:gridSpan w:val="2"/>
          </w:tcPr>
          <w:p>
            <w:pPr>
              <w:ind w:left="220"/>
              <w:spacing w:after="0"/>
              <w:rPr>
                <w:sz w:val="20"/>
                <w:szCs w:val="20"/>
                <w:color w:val="auto"/>
              </w:rPr>
            </w:pPr>
            <w:r>
              <w:rPr>
                <w:rFonts w:ascii="Arial" w:cs="Arial" w:eastAsia="Arial" w:hAnsi="Arial"/>
                <w:sz w:val="20"/>
                <w:szCs w:val="20"/>
                <w:color w:val="auto"/>
              </w:rPr>
              <w:t>NOTICES AND DEMANDS</w:t>
            </w:r>
          </w:p>
        </w:tc>
        <w:tc>
          <w:tcPr>
            <w:tcW w:w="296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30"/>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16.1</w:t>
            </w:r>
          </w:p>
        </w:tc>
        <w:tc>
          <w:tcPr>
            <w:tcW w:w="7060" w:type="dxa"/>
            <w:vAlign w:val="bottom"/>
          </w:tcPr>
          <w:p>
            <w:pPr>
              <w:ind w:left="100"/>
              <w:spacing w:after="0"/>
              <w:rPr>
                <w:sz w:val="20"/>
                <w:szCs w:val="20"/>
                <w:color w:val="auto"/>
              </w:rPr>
            </w:pPr>
            <w:r>
              <w:rPr>
                <w:rFonts w:ascii="Arial" w:cs="Arial" w:eastAsia="Arial" w:hAnsi="Arial"/>
                <w:sz w:val="20"/>
                <w:szCs w:val="20"/>
                <w:color w:val="auto"/>
              </w:rPr>
              <w:t>Notices</w:t>
            </w:r>
          </w:p>
        </w:tc>
        <w:tc>
          <w:tcPr>
            <w:tcW w:w="296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29"/>
        </w:trPr>
        <w:tc>
          <w:tcPr>
            <w:tcW w:w="440" w:type="dxa"/>
            <w:vAlign w:val="bottom"/>
          </w:tcPr>
          <w:p>
            <w:pPr>
              <w:jc w:val="right"/>
              <w:ind w:right="141"/>
              <w:spacing w:after="0"/>
              <w:rPr>
                <w:sz w:val="20"/>
                <w:szCs w:val="20"/>
                <w:color w:val="auto"/>
              </w:rPr>
            </w:pPr>
            <w:r>
              <w:rPr>
                <w:rFonts w:ascii="Arial" w:cs="Arial" w:eastAsia="Arial" w:hAnsi="Arial"/>
                <w:sz w:val="20"/>
                <w:szCs w:val="20"/>
                <w:color w:val="auto"/>
                <w:w w:val="80"/>
              </w:rPr>
              <w:t>17</w:t>
            </w:r>
          </w:p>
        </w:tc>
        <w:tc>
          <w:tcPr>
            <w:tcW w:w="7840" w:type="dxa"/>
            <w:vAlign w:val="bottom"/>
            <w:gridSpan w:val="2"/>
          </w:tcPr>
          <w:p>
            <w:pPr>
              <w:ind w:left="220"/>
              <w:spacing w:after="0"/>
              <w:rPr>
                <w:sz w:val="20"/>
                <w:szCs w:val="20"/>
                <w:color w:val="auto"/>
              </w:rPr>
            </w:pPr>
            <w:r>
              <w:rPr>
                <w:rFonts w:ascii="Arial" w:cs="Arial" w:eastAsia="Arial" w:hAnsi="Arial"/>
                <w:sz w:val="20"/>
                <w:szCs w:val="20"/>
                <w:color w:val="auto"/>
              </w:rPr>
              <w:t>MISCELLANEOUS</w:t>
            </w:r>
          </w:p>
        </w:tc>
        <w:tc>
          <w:tcPr>
            <w:tcW w:w="296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30"/>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17.1</w:t>
            </w:r>
          </w:p>
        </w:tc>
        <w:tc>
          <w:tcPr>
            <w:tcW w:w="7060" w:type="dxa"/>
            <w:vAlign w:val="bottom"/>
          </w:tcPr>
          <w:p>
            <w:pPr>
              <w:ind w:left="100"/>
              <w:spacing w:after="0"/>
              <w:rPr>
                <w:sz w:val="20"/>
                <w:szCs w:val="20"/>
                <w:color w:val="auto"/>
              </w:rPr>
            </w:pPr>
            <w:r>
              <w:rPr>
                <w:rFonts w:ascii="Arial" w:cs="Arial" w:eastAsia="Arial" w:hAnsi="Arial"/>
                <w:sz w:val="20"/>
                <w:szCs w:val="20"/>
                <w:color w:val="auto"/>
              </w:rPr>
              <w:t>Right of Set-off</w:t>
            </w:r>
          </w:p>
        </w:tc>
        <w:tc>
          <w:tcPr>
            <w:tcW w:w="296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30"/>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17.2</w:t>
            </w:r>
          </w:p>
        </w:tc>
        <w:tc>
          <w:tcPr>
            <w:tcW w:w="7060" w:type="dxa"/>
            <w:vAlign w:val="bottom"/>
          </w:tcPr>
          <w:p>
            <w:pPr>
              <w:ind w:left="100"/>
              <w:spacing w:after="0"/>
              <w:rPr>
                <w:sz w:val="20"/>
                <w:szCs w:val="20"/>
                <w:color w:val="auto"/>
              </w:rPr>
            </w:pPr>
            <w:r>
              <w:rPr>
                <w:rFonts w:ascii="Arial" w:cs="Arial" w:eastAsia="Arial" w:hAnsi="Arial"/>
                <w:sz w:val="20"/>
                <w:szCs w:val="20"/>
                <w:color w:val="auto"/>
              </w:rPr>
              <w:t>Time of Essence</w:t>
            </w:r>
          </w:p>
        </w:tc>
        <w:tc>
          <w:tcPr>
            <w:tcW w:w="296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30"/>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17.3</w:t>
            </w:r>
          </w:p>
        </w:tc>
        <w:tc>
          <w:tcPr>
            <w:tcW w:w="7060" w:type="dxa"/>
            <w:vAlign w:val="bottom"/>
          </w:tcPr>
          <w:p>
            <w:pPr>
              <w:ind w:left="100"/>
              <w:spacing w:after="0"/>
              <w:rPr>
                <w:sz w:val="20"/>
                <w:szCs w:val="20"/>
                <w:color w:val="auto"/>
              </w:rPr>
            </w:pPr>
            <w:r>
              <w:rPr>
                <w:rFonts w:ascii="Arial" w:cs="Arial" w:eastAsia="Arial" w:hAnsi="Arial"/>
                <w:sz w:val="20"/>
                <w:szCs w:val="20"/>
                <w:color w:val="auto"/>
              </w:rPr>
              <w:t>Unenforceable, etc., Provisions - Effect</w:t>
            </w:r>
          </w:p>
        </w:tc>
        <w:tc>
          <w:tcPr>
            <w:tcW w:w="296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29"/>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17.4</w:t>
            </w:r>
          </w:p>
        </w:tc>
        <w:tc>
          <w:tcPr>
            <w:tcW w:w="7060" w:type="dxa"/>
            <w:vAlign w:val="bottom"/>
          </w:tcPr>
          <w:p>
            <w:pPr>
              <w:ind w:left="100"/>
              <w:spacing w:after="0"/>
              <w:rPr>
                <w:sz w:val="20"/>
                <w:szCs w:val="20"/>
                <w:color w:val="auto"/>
              </w:rPr>
            </w:pPr>
            <w:r>
              <w:rPr>
                <w:rFonts w:ascii="Arial" w:cs="Arial" w:eastAsia="Arial" w:hAnsi="Arial"/>
                <w:sz w:val="20"/>
                <w:szCs w:val="20"/>
                <w:color w:val="auto"/>
              </w:rPr>
              <w:t>References</w:t>
            </w:r>
          </w:p>
        </w:tc>
        <w:tc>
          <w:tcPr>
            <w:tcW w:w="296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30"/>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17.5</w:t>
            </w:r>
          </w:p>
        </w:tc>
        <w:tc>
          <w:tcPr>
            <w:tcW w:w="7060" w:type="dxa"/>
            <w:vAlign w:val="bottom"/>
          </w:tcPr>
          <w:p>
            <w:pPr>
              <w:ind w:left="100"/>
              <w:spacing w:after="0"/>
              <w:rPr>
                <w:sz w:val="20"/>
                <w:szCs w:val="20"/>
                <w:color w:val="auto"/>
              </w:rPr>
            </w:pPr>
            <w:r>
              <w:rPr>
                <w:rFonts w:ascii="Arial" w:cs="Arial" w:eastAsia="Arial" w:hAnsi="Arial"/>
                <w:sz w:val="20"/>
                <w:szCs w:val="20"/>
                <w:color w:val="auto"/>
              </w:rPr>
              <w:t>Further Assurances</w:t>
            </w:r>
          </w:p>
        </w:tc>
        <w:tc>
          <w:tcPr>
            <w:tcW w:w="296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30"/>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17.6</w:t>
            </w:r>
          </w:p>
        </w:tc>
        <w:tc>
          <w:tcPr>
            <w:tcW w:w="7060" w:type="dxa"/>
            <w:vAlign w:val="bottom"/>
          </w:tcPr>
          <w:p>
            <w:pPr>
              <w:ind w:left="100"/>
              <w:spacing w:after="0"/>
              <w:rPr>
                <w:sz w:val="20"/>
                <w:szCs w:val="20"/>
                <w:color w:val="auto"/>
              </w:rPr>
            </w:pPr>
            <w:r>
              <w:rPr>
                <w:rFonts w:ascii="Arial" w:cs="Arial" w:eastAsia="Arial" w:hAnsi="Arial"/>
                <w:sz w:val="20"/>
                <w:szCs w:val="20"/>
                <w:color w:val="auto"/>
              </w:rPr>
              <w:t>Prior Agreements, Merger</w:t>
            </w:r>
          </w:p>
        </w:tc>
        <w:tc>
          <w:tcPr>
            <w:tcW w:w="296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30"/>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17.7</w:t>
            </w:r>
          </w:p>
        </w:tc>
        <w:tc>
          <w:tcPr>
            <w:tcW w:w="7060" w:type="dxa"/>
            <w:vAlign w:val="bottom"/>
          </w:tcPr>
          <w:p>
            <w:pPr>
              <w:ind w:left="100"/>
              <w:spacing w:after="0"/>
              <w:rPr>
                <w:sz w:val="20"/>
                <w:szCs w:val="20"/>
                <w:color w:val="auto"/>
              </w:rPr>
            </w:pPr>
            <w:r>
              <w:rPr>
                <w:rFonts w:ascii="Arial" w:cs="Arial" w:eastAsia="Arial" w:hAnsi="Arial"/>
                <w:sz w:val="20"/>
                <w:szCs w:val="20"/>
                <w:color w:val="auto"/>
              </w:rPr>
              <w:t>Entire Agreement; Amendments</w:t>
            </w:r>
          </w:p>
        </w:tc>
        <w:tc>
          <w:tcPr>
            <w:tcW w:w="296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29"/>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17.8</w:t>
            </w:r>
          </w:p>
        </w:tc>
        <w:tc>
          <w:tcPr>
            <w:tcW w:w="7060" w:type="dxa"/>
            <w:vAlign w:val="bottom"/>
          </w:tcPr>
          <w:p>
            <w:pPr>
              <w:ind w:left="100"/>
              <w:spacing w:after="0"/>
              <w:rPr>
                <w:sz w:val="20"/>
                <w:szCs w:val="20"/>
                <w:color w:val="auto"/>
              </w:rPr>
            </w:pPr>
            <w:r>
              <w:rPr>
                <w:rFonts w:ascii="Arial" w:cs="Arial" w:eastAsia="Arial" w:hAnsi="Arial"/>
                <w:sz w:val="20"/>
                <w:szCs w:val="20"/>
                <w:color w:val="auto"/>
              </w:rPr>
              <w:t>Indemnification</w:t>
            </w:r>
          </w:p>
        </w:tc>
        <w:tc>
          <w:tcPr>
            <w:tcW w:w="296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30"/>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17.9</w:t>
            </w:r>
          </w:p>
        </w:tc>
        <w:tc>
          <w:tcPr>
            <w:tcW w:w="7060" w:type="dxa"/>
            <w:vAlign w:val="bottom"/>
          </w:tcPr>
          <w:p>
            <w:pPr>
              <w:ind w:left="100"/>
              <w:spacing w:after="0"/>
              <w:rPr>
                <w:sz w:val="20"/>
                <w:szCs w:val="20"/>
                <w:color w:val="auto"/>
              </w:rPr>
            </w:pPr>
            <w:r>
              <w:rPr>
                <w:rFonts w:ascii="Arial" w:cs="Arial" w:eastAsia="Arial" w:hAnsi="Arial"/>
                <w:sz w:val="20"/>
                <w:szCs w:val="20"/>
                <w:color w:val="auto"/>
              </w:rPr>
              <w:t>USA Patriot Act Notice; Bank Secrecy Act</w:t>
            </w:r>
          </w:p>
        </w:tc>
        <w:tc>
          <w:tcPr>
            <w:tcW w:w="296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30"/>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17.10</w:t>
            </w:r>
          </w:p>
        </w:tc>
        <w:tc>
          <w:tcPr>
            <w:tcW w:w="7060" w:type="dxa"/>
            <w:vAlign w:val="bottom"/>
          </w:tcPr>
          <w:p>
            <w:pPr>
              <w:ind w:left="100"/>
              <w:spacing w:after="0"/>
              <w:rPr>
                <w:sz w:val="20"/>
                <w:szCs w:val="20"/>
                <w:color w:val="auto"/>
              </w:rPr>
            </w:pPr>
            <w:r>
              <w:rPr>
                <w:rFonts w:ascii="Arial" w:cs="Arial" w:eastAsia="Arial" w:hAnsi="Arial"/>
                <w:sz w:val="20"/>
                <w:szCs w:val="20"/>
                <w:color w:val="auto"/>
              </w:rPr>
              <w:t>CEA Eligible Contract Participant</w:t>
            </w:r>
          </w:p>
        </w:tc>
        <w:tc>
          <w:tcPr>
            <w:tcW w:w="296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30"/>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17.11</w:t>
            </w:r>
          </w:p>
        </w:tc>
        <w:tc>
          <w:tcPr>
            <w:tcW w:w="7060" w:type="dxa"/>
            <w:vAlign w:val="bottom"/>
          </w:tcPr>
          <w:p>
            <w:pPr>
              <w:ind w:left="100"/>
              <w:spacing w:after="0"/>
              <w:rPr>
                <w:sz w:val="20"/>
                <w:szCs w:val="20"/>
                <w:color w:val="auto"/>
              </w:rPr>
            </w:pPr>
            <w:r>
              <w:rPr>
                <w:rFonts w:ascii="Arial" w:cs="Arial" w:eastAsia="Arial" w:hAnsi="Arial"/>
                <w:sz w:val="20"/>
                <w:szCs w:val="20"/>
                <w:color w:val="auto"/>
              </w:rPr>
              <w:t>Counterparts; Electronic Delivery</w:t>
            </w:r>
          </w:p>
        </w:tc>
        <w:tc>
          <w:tcPr>
            <w:tcW w:w="296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29"/>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17.12</w:t>
            </w:r>
          </w:p>
        </w:tc>
        <w:tc>
          <w:tcPr>
            <w:tcW w:w="7060" w:type="dxa"/>
            <w:vAlign w:val="bottom"/>
          </w:tcPr>
          <w:p>
            <w:pPr>
              <w:ind w:left="100"/>
              <w:spacing w:after="0"/>
              <w:rPr>
                <w:sz w:val="20"/>
                <w:szCs w:val="20"/>
                <w:color w:val="auto"/>
              </w:rPr>
            </w:pPr>
            <w:r>
              <w:rPr>
                <w:rFonts w:ascii="Arial" w:cs="Arial" w:eastAsia="Arial" w:hAnsi="Arial"/>
                <w:sz w:val="20"/>
                <w:szCs w:val="20"/>
                <w:color w:val="auto"/>
              </w:rPr>
              <w:t>Headings</w:t>
            </w:r>
          </w:p>
        </w:tc>
        <w:tc>
          <w:tcPr>
            <w:tcW w:w="296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30"/>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17.13</w:t>
            </w:r>
          </w:p>
        </w:tc>
        <w:tc>
          <w:tcPr>
            <w:tcW w:w="7060" w:type="dxa"/>
            <w:vAlign w:val="bottom"/>
          </w:tcPr>
          <w:p>
            <w:pPr>
              <w:ind w:left="100"/>
              <w:spacing w:after="0"/>
              <w:rPr>
                <w:sz w:val="20"/>
                <w:szCs w:val="20"/>
                <w:color w:val="auto"/>
              </w:rPr>
            </w:pPr>
            <w:r>
              <w:rPr>
                <w:rFonts w:ascii="Arial" w:cs="Arial" w:eastAsia="Arial" w:hAnsi="Arial"/>
                <w:sz w:val="20"/>
                <w:szCs w:val="20"/>
                <w:color w:val="auto"/>
              </w:rPr>
              <w:t>Agreement Represents Amendment and Restatement</w:t>
            </w:r>
          </w:p>
        </w:tc>
        <w:tc>
          <w:tcPr>
            <w:tcW w:w="296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29"/>
        </w:trPr>
        <w:tc>
          <w:tcPr>
            <w:tcW w:w="4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17.14</w:t>
            </w:r>
          </w:p>
        </w:tc>
        <w:tc>
          <w:tcPr>
            <w:tcW w:w="7060" w:type="dxa"/>
            <w:vAlign w:val="bottom"/>
          </w:tcPr>
          <w:p>
            <w:pPr>
              <w:ind w:left="100"/>
              <w:spacing w:after="0"/>
              <w:rPr>
                <w:sz w:val="20"/>
                <w:szCs w:val="20"/>
                <w:color w:val="auto"/>
              </w:rPr>
            </w:pPr>
            <w:r>
              <w:rPr>
                <w:rFonts w:ascii="Arial" w:cs="Arial" w:eastAsia="Arial" w:hAnsi="Arial"/>
                <w:sz w:val="20"/>
                <w:szCs w:val="20"/>
                <w:color w:val="auto"/>
              </w:rPr>
              <w:t>Confidentiality</w:t>
            </w:r>
          </w:p>
        </w:tc>
        <w:tc>
          <w:tcPr>
            <w:tcW w:w="296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50"/>
        </w:trPr>
        <w:tc>
          <w:tcPr>
            <w:tcW w:w="440" w:type="dxa"/>
            <w:vAlign w:val="bottom"/>
          </w:tcPr>
          <w:p>
            <w:pPr>
              <w:spacing w:after="0"/>
              <w:rPr>
                <w:sz w:val="21"/>
                <w:szCs w:val="21"/>
                <w:color w:val="auto"/>
              </w:rPr>
            </w:pPr>
          </w:p>
        </w:tc>
        <w:tc>
          <w:tcPr>
            <w:tcW w:w="780" w:type="dxa"/>
            <w:vAlign w:val="bottom"/>
          </w:tcPr>
          <w:p>
            <w:pPr>
              <w:ind w:left="220"/>
              <w:spacing w:after="0"/>
              <w:rPr>
                <w:sz w:val="20"/>
                <w:szCs w:val="20"/>
                <w:color w:val="auto"/>
              </w:rPr>
            </w:pPr>
            <w:r>
              <w:rPr>
                <w:rFonts w:ascii="Arial" w:cs="Arial" w:eastAsia="Arial" w:hAnsi="Arial"/>
                <w:sz w:val="20"/>
                <w:szCs w:val="20"/>
                <w:color w:val="auto"/>
              </w:rPr>
              <w:t>17.15</w:t>
            </w:r>
          </w:p>
        </w:tc>
        <w:tc>
          <w:tcPr>
            <w:tcW w:w="7060" w:type="dxa"/>
            <w:vAlign w:val="bottom"/>
          </w:tcPr>
          <w:p>
            <w:pPr>
              <w:ind w:left="100"/>
              <w:spacing w:after="0"/>
              <w:rPr>
                <w:sz w:val="20"/>
                <w:szCs w:val="20"/>
                <w:color w:val="auto"/>
              </w:rPr>
            </w:pPr>
            <w:r>
              <w:rPr>
                <w:rFonts w:ascii="Arial" w:cs="Arial" w:eastAsia="Arial" w:hAnsi="Arial"/>
                <w:sz w:val="20"/>
                <w:szCs w:val="20"/>
                <w:color w:val="auto"/>
              </w:rPr>
              <w:t>Contractual Recognition of Bail-in</w:t>
            </w:r>
          </w:p>
        </w:tc>
        <w:tc>
          <w:tcPr>
            <w:tcW w:w="2960" w:type="dxa"/>
            <w:vAlign w:val="bottom"/>
          </w:tcPr>
          <w:p>
            <w:pPr>
              <w:jc w:val="right"/>
              <w:spacing w:after="0"/>
              <w:rPr>
                <w:sz w:val="20"/>
                <w:szCs w:val="20"/>
                <w:color w:val="auto"/>
              </w:rPr>
            </w:pPr>
            <w:r>
              <w:rPr>
                <w:rFonts w:ascii="Arial" w:cs="Arial" w:eastAsia="Arial" w:hAnsi="Arial"/>
                <w:sz w:val="20"/>
                <w:szCs w:val="20"/>
                <w:color w:val="auto"/>
              </w:rPr>
              <w:t>66</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SCHEDULES</w:t>
      </w:r>
    </w:p>
    <w:p>
      <w:pPr>
        <w:spacing w:after="0" w:line="15" w:lineRule="exact"/>
        <w:rPr>
          <w:sz w:val="20"/>
          <w:szCs w:val="20"/>
          <w:color w:val="auto"/>
        </w:rPr>
      </w:pPr>
    </w:p>
    <w:p>
      <w:pPr>
        <w:ind w:left="1320" w:hanging="651"/>
        <w:spacing w:after="0"/>
        <w:tabs>
          <w:tab w:leader="none" w:pos="13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Lenders and the Commitments</w:t>
      </w:r>
    </w:p>
    <w:p>
      <w:pPr>
        <w:ind w:left="660"/>
        <w:spacing w:after="0"/>
        <w:rPr>
          <w:rFonts w:ascii="Arial" w:cs="Arial" w:eastAsia="Arial" w:hAnsi="Arial"/>
          <w:sz w:val="20"/>
          <w:szCs w:val="20"/>
          <w:color w:val="auto"/>
        </w:rPr>
      </w:pPr>
      <w:r>
        <w:rPr>
          <w:rFonts w:ascii="Arial" w:cs="Arial" w:eastAsia="Arial" w:hAnsi="Arial"/>
          <w:sz w:val="20"/>
          <w:szCs w:val="20"/>
          <w:color w:val="auto"/>
        </w:rPr>
        <w:t>II</w:t>
      </w:r>
      <w:r>
        <w:rPr>
          <w:rFonts w:ascii="Arial" w:cs="Arial" w:eastAsia="Arial" w:hAnsi="Arial"/>
          <w:sz w:val="18"/>
          <w:szCs w:val="18"/>
          <w:color w:val="auto"/>
        </w:rPr>
        <w:t>Approved Ship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7" w:name="page138"/>
    <w:bookmarkEnd w:id="137"/>
    <w:p>
      <w:pPr>
        <w:jc w:val="center"/>
        <w:ind w:right="-1120"/>
        <w:spacing w:after="0"/>
        <w:rPr>
          <w:sz w:val="20"/>
          <w:szCs w:val="20"/>
          <w:color w:val="auto"/>
        </w:rPr>
      </w:pPr>
      <w:r>
        <w:rPr>
          <w:rFonts w:ascii="Arial" w:cs="Arial" w:eastAsia="Arial" w:hAnsi="Arial"/>
          <w:sz w:val="21"/>
          <w:szCs w:val="21"/>
          <w:b w:val="1"/>
          <w:bCs w:val="1"/>
          <w:color w:val="auto"/>
        </w:rPr>
        <w:t>TABLE OF CONTENTS</w:t>
      </w:r>
    </w:p>
    <w:p>
      <w:pPr>
        <w:spacing w:after="0" w:line="2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EXHIBITS</w:t>
      </w:r>
    </w:p>
    <w:p>
      <w:pPr>
        <w:spacing w:after="0" w:line="224" w:lineRule="exact"/>
        <w:rPr>
          <w:sz w:val="20"/>
          <w:szCs w:val="20"/>
          <w:color w:val="auto"/>
        </w:rPr>
      </w:pPr>
    </w:p>
    <w:p>
      <w:pPr>
        <w:ind w:left="1320" w:hanging="651"/>
        <w:spacing w:after="0"/>
        <w:tabs>
          <w:tab w:leader="none" w:pos="1320" w:val="left"/>
        </w:tabs>
        <w:numPr>
          <w:ilvl w:val="0"/>
          <w:numId w:val="96"/>
        </w:numPr>
        <w:rPr>
          <w:rFonts w:ascii="Arial" w:cs="Arial" w:eastAsia="Arial" w:hAnsi="Arial"/>
          <w:sz w:val="22"/>
          <w:szCs w:val="22"/>
          <w:color w:val="auto"/>
        </w:rPr>
      </w:pPr>
      <w:r>
        <w:rPr>
          <w:rFonts w:ascii="Arial" w:cs="Arial" w:eastAsia="Arial" w:hAnsi="Arial"/>
          <w:sz w:val="22"/>
          <w:szCs w:val="22"/>
          <w:color w:val="auto"/>
        </w:rPr>
        <w:t>Form of Note</w:t>
      </w:r>
    </w:p>
    <w:p>
      <w:pPr>
        <w:ind w:left="1320" w:hanging="651"/>
        <w:spacing w:after="0" w:line="238" w:lineRule="auto"/>
        <w:tabs>
          <w:tab w:leader="none" w:pos="13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Reserved</w:t>
      </w:r>
    </w:p>
    <w:p>
      <w:pPr>
        <w:ind w:left="1320" w:hanging="651"/>
        <w:spacing w:after="0" w:line="230" w:lineRule="auto"/>
        <w:tabs>
          <w:tab w:leader="none" w:pos="1320" w:val="left"/>
        </w:tabs>
        <w:numPr>
          <w:ilvl w:val="0"/>
          <w:numId w:val="98"/>
        </w:numPr>
        <w:rPr>
          <w:rFonts w:ascii="Arial" w:cs="Arial" w:eastAsia="Arial" w:hAnsi="Arial"/>
          <w:sz w:val="22"/>
          <w:szCs w:val="22"/>
          <w:color w:val="auto"/>
        </w:rPr>
      </w:pPr>
      <w:r>
        <w:rPr>
          <w:rFonts w:ascii="Arial" w:cs="Arial" w:eastAsia="Arial" w:hAnsi="Arial"/>
          <w:sz w:val="22"/>
          <w:szCs w:val="22"/>
          <w:color w:val="auto"/>
        </w:rPr>
        <w:t>Form of Compliance Certificate</w:t>
      </w:r>
    </w:p>
    <w:p>
      <w:pPr>
        <w:ind w:left="1320" w:hanging="651"/>
        <w:spacing w:after="0" w:line="231" w:lineRule="auto"/>
        <w:tabs>
          <w:tab w:leader="none" w:pos="1320" w:val="left"/>
        </w:tabs>
        <w:numPr>
          <w:ilvl w:val="0"/>
          <w:numId w:val="99"/>
        </w:numPr>
        <w:rPr>
          <w:rFonts w:ascii="Arial" w:cs="Arial" w:eastAsia="Arial" w:hAnsi="Arial"/>
          <w:sz w:val="22"/>
          <w:szCs w:val="22"/>
          <w:color w:val="auto"/>
        </w:rPr>
      </w:pPr>
      <w:r>
        <w:rPr>
          <w:rFonts w:ascii="Arial" w:cs="Arial" w:eastAsia="Arial" w:hAnsi="Arial"/>
          <w:sz w:val="22"/>
          <w:szCs w:val="22"/>
          <w:color w:val="auto"/>
        </w:rPr>
        <w:t>Form of Assignment and Assumption Agreement E</w:t>
      </w:r>
    </w:p>
    <w:p>
      <w:pPr>
        <w:ind w:left="660"/>
        <w:spacing w:after="0"/>
        <w:rPr>
          <w:rFonts w:ascii="Arial" w:cs="Arial" w:eastAsia="Arial" w:hAnsi="Arial"/>
          <w:sz w:val="22"/>
          <w:szCs w:val="22"/>
          <w:color w:val="auto"/>
        </w:rPr>
      </w:pPr>
      <w:r>
        <w:rPr>
          <w:rFonts w:ascii="Arial" w:cs="Arial" w:eastAsia="Arial" w:hAnsi="Arial"/>
          <w:sz w:val="22"/>
          <w:szCs w:val="22"/>
          <w:color w:val="auto"/>
        </w:rPr>
        <w:t>E</w:t>
      </w:r>
      <w:r>
        <w:rPr>
          <w:rFonts w:ascii="Arial" w:cs="Arial" w:eastAsia="Arial" w:hAnsi="Arial"/>
          <w:sz w:val="19"/>
          <w:szCs w:val="19"/>
          <w:color w:val="auto"/>
        </w:rPr>
        <w:t>Form of Earnings Assignment</w:t>
      </w:r>
    </w:p>
    <w:p>
      <w:pPr>
        <w:ind w:left="660" w:right="5999"/>
        <w:spacing w:after="0" w:line="239" w:lineRule="auto"/>
        <w:rPr>
          <w:rFonts w:ascii="Arial" w:cs="Arial" w:eastAsia="Arial" w:hAnsi="Arial"/>
          <w:sz w:val="22"/>
          <w:szCs w:val="22"/>
          <w:color w:val="auto"/>
        </w:rPr>
      </w:pPr>
      <w:r>
        <w:rPr>
          <w:rFonts w:ascii="Arial" w:cs="Arial" w:eastAsia="Arial" w:hAnsi="Arial"/>
          <w:sz w:val="20"/>
          <w:szCs w:val="20"/>
          <w:color w:val="auto"/>
        </w:rPr>
        <w:t>F Form of Insurances AssignmentG-1 G-1 Form of Mortgage</w:t>
      </w:r>
    </w:p>
    <w:p>
      <w:pPr>
        <w:ind w:left="660"/>
        <w:spacing w:after="0"/>
        <w:rPr>
          <w:rFonts w:ascii="Arial" w:cs="Arial" w:eastAsia="Arial" w:hAnsi="Arial"/>
          <w:sz w:val="22"/>
          <w:szCs w:val="22"/>
          <w:color w:val="auto"/>
        </w:rPr>
      </w:pPr>
      <w:r>
        <w:rPr>
          <w:rFonts w:ascii="Arial" w:cs="Arial" w:eastAsia="Arial" w:hAnsi="Arial"/>
          <w:sz w:val="20"/>
          <w:szCs w:val="20"/>
          <w:color w:val="auto"/>
        </w:rPr>
        <w:t>G-2    Form of Mortgage AmendmentsH</w:t>
      </w:r>
    </w:p>
    <w:p>
      <w:pPr>
        <w:ind w:left="660"/>
        <w:spacing w:after="0"/>
        <w:rPr>
          <w:rFonts w:ascii="Arial" w:cs="Arial" w:eastAsia="Arial" w:hAnsi="Arial"/>
          <w:sz w:val="22"/>
          <w:szCs w:val="22"/>
          <w:color w:val="auto"/>
        </w:rPr>
      </w:pPr>
      <w:r>
        <w:rPr>
          <w:rFonts w:ascii="Arial" w:cs="Arial" w:eastAsia="Arial" w:hAnsi="Arial"/>
          <w:sz w:val="20"/>
          <w:szCs w:val="20"/>
          <w:color w:val="auto"/>
        </w:rPr>
        <w:t>H</w:t>
      </w:r>
      <w:r>
        <w:rPr>
          <w:rFonts w:ascii="Arial" w:cs="Arial" w:eastAsia="Arial" w:hAnsi="Arial"/>
          <w:sz w:val="16"/>
          <w:szCs w:val="16"/>
          <w:color w:val="auto"/>
        </w:rPr>
        <w:t>Form of Pledge Agreement</w:t>
      </w:r>
    </w:p>
    <w:p>
      <w:pPr>
        <w:jc w:val="both"/>
        <w:ind w:left="660" w:right="8019"/>
        <w:spacing w:after="0" w:line="234" w:lineRule="auto"/>
        <w:rPr>
          <w:rFonts w:ascii="Arial" w:cs="Arial" w:eastAsia="Arial" w:hAnsi="Arial"/>
          <w:sz w:val="22"/>
          <w:szCs w:val="22"/>
          <w:color w:val="auto"/>
        </w:rPr>
      </w:pPr>
      <w:r>
        <w:rPr>
          <w:rFonts w:ascii="Arial" w:cs="Arial" w:eastAsia="Arial" w:hAnsi="Arial"/>
          <w:sz w:val="22"/>
          <w:szCs w:val="22"/>
          <w:color w:val="auto"/>
        </w:rPr>
        <w:t>I-1 Reserved I-2 Reserved I-3 Reserved</w:t>
      </w:r>
    </w:p>
    <w:p>
      <w:pPr>
        <w:spacing w:after="0" w:line="214" w:lineRule="exact"/>
        <w:rPr>
          <w:sz w:val="20"/>
          <w:szCs w:val="20"/>
          <w:color w:val="auto"/>
        </w:rPr>
      </w:pPr>
    </w:p>
    <w:p>
      <w:pPr>
        <w:ind w:left="1320" w:hanging="651"/>
        <w:spacing w:after="0"/>
        <w:tabs>
          <w:tab w:leader="none" w:pos="132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Form of Interest Notice</w:t>
      </w:r>
    </w:p>
    <w:p>
      <w:pPr>
        <w:ind w:left="1320" w:hanging="651"/>
        <w:spacing w:after="0" w:line="238" w:lineRule="auto"/>
        <w:tabs>
          <w:tab w:leader="none" w:pos="132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Form of Approved Manager’s Undertaking L</w:t>
      </w:r>
    </w:p>
    <w:p>
      <w:pPr>
        <w:ind w:left="660"/>
        <w:spacing w:after="0"/>
        <w:rPr>
          <w:rFonts w:ascii="Arial" w:cs="Arial" w:eastAsia="Arial" w:hAnsi="Arial"/>
          <w:sz w:val="22"/>
          <w:szCs w:val="22"/>
          <w:color w:val="auto"/>
        </w:rPr>
      </w:pPr>
      <w:r>
        <w:rPr>
          <w:rFonts w:ascii="Arial" w:cs="Arial" w:eastAsia="Arial" w:hAnsi="Arial"/>
          <w:sz w:val="22"/>
          <w:szCs w:val="22"/>
          <w:color w:val="auto"/>
        </w:rPr>
        <w:t>L</w:t>
      </w:r>
      <w:r>
        <w:rPr>
          <w:rFonts w:ascii="Arial" w:cs="Arial" w:eastAsia="Arial" w:hAnsi="Arial"/>
          <w:sz w:val="19"/>
          <w:szCs w:val="19"/>
          <w:color w:val="auto"/>
        </w:rPr>
        <w:t>Form of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748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787" w:right="1440" w:bottom="1440" w:gutter="0" w:footer="0" w:header="0"/>
        </w:sectPr>
      </w:pPr>
    </w:p>
    <w:bookmarkStart w:id="138" w:name="page139"/>
    <w:bookmarkEnd w:id="138"/>
    <w:p>
      <w:pPr>
        <w:jc w:val="center"/>
        <w:ind w:right="-79"/>
        <w:spacing w:after="0"/>
        <w:rPr>
          <w:sz w:val="20"/>
          <w:szCs w:val="20"/>
          <w:color w:val="auto"/>
        </w:rPr>
      </w:pPr>
      <w:r>
        <w:rPr>
          <w:rFonts w:ascii="Arial" w:cs="Arial" w:eastAsia="Arial" w:hAnsi="Arial"/>
          <w:sz w:val="22"/>
          <w:szCs w:val="22"/>
          <w:b w:val="1"/>
          <w:bCs w:val="1"/>
          <w:color w:val="auto"/>
        </w:rPr>
        <w:t>SECOND AMENDED AND RESTATED SENIOR SECURED</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TERM LOAN CREDIT FACILITY AGREEMENT</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THIS SECOND AMENDED AND RESTATED SENIOR SECURED TERM LOAN CREDIT FACILITY</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AGREEMENT (as amended, restated, amended and restated, supplemented or otherwise modified from time to time, this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originally dated November 18, 2013 and amended and restated on September 28, 2018 and further amended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restated on the Seventh Amendment Effective Date (as defined below), is made by and among (1) SEACOR OFFSHORE OSV</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LLC, a limited liability company formed and existing under the laws of the State of Delaware (the “</w:t>
      </w:r>
      <w:r>
        <w:rPr>
          <w:rFonts w:ascii="Arial" w:cs="Arial" w:eastAsia="Arial" w:hAnsi="Arial"/>
          <w:sz w:val="21"/>
          <w:szCs w:val="21"/>
          <w:b w:val="1"/>
          <w:bCs w:val="1"/>
          <w:color w:val="auto"/>
        </w:rPr>
        <w:t>Holding Company</w:t>
      </w:r>
      <w:r>
        <w:rPr>
          <w:rFonts w:ascii="Arial" w:cs="Arial" w:eastAsia="Arial" w:hAnsi="Arial"/>
          <w:sz w:val="21"/>
          <w:szCs w:val="21"/>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SEACOR BRAVE LLC, a limited liability company organized and existing under the laws of the State of Delaware (“</w:t>
      </w:r>
      <w:r>
        <w:rPr>
          <w:rFonts w:ascii="Arial" w:cs="Arial" w:eastAsia="Arial" w:hAnsi="Arial"/>
          <w:sz w:val="19"/>
          <w:szCs w:val="19"/>
          <w:b w:val="1"/>
          <w:bCs w:val="1"/>
          <w:color w:val="auto"/>
        </w:rPr>
        <w:t>Brave</w:t>
      </w:r>
      <w:r>
        <w:rPr>
          <w:rFonts w:ascii="Arial" w:cs="Arial" w:eastAsia="Arial" w:hAnsi="Arial"/>
          <w:sz w:val="19"/>
          <w:szCs w:val="19"/>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SEACOR CHIEF LLC, a limited liability company organized and existing under the laws of the State of Delaware (“</w:t>
      </w:r>
      <w:r>
        <w:rPr>
          <w:rFonts w:ascii="Arial" w:cs="Arial" w:eastAsia="Arial" w:hAnsi="Arial"/>
          <w:sz w:val="19"/>
          <w:szCs w:val="19"/>
          <w:b w:val="1"/>
          <w:bCs w:val="1"/>
          <w:color w:val="auto"/>
        </w:rPr>
        <w:t>Chief</w:t>
      </w:r>
      <w:r>
        <w:rPr>
          <w:rFonts w:ascii="Arial" w:cs="Arial" w:eastAsia="Arial" w:hAnsi="Arial"/>
          <w:sz w:val="19"/>
          <w:szCs w:val="19"/>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SEACOR COURAGEOUS LLC, a limited liability company organized and existing under the laws of the State of Delaware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Courageous</w:t>
      </w:r>
      <w:r>
        <w:rPr>
          <w:rFonts w:ascii="Arial" w:cs="Arial" w:eastAsia="Arial" w:hAnsi="Arial"/>
          <w:sz w:val="19"/>
          <w:szCs w:val="19"/>
          <w:color w:val="auto"/>
        </w:rPr>
        <w:t>”), SEACOR FEARLESS LLC, a limited liability company organized and existing under the laws of the State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Delaware (“</w:t>
      </w:r>
      <w:r>
        <w:rPr>
          <w:rFonts w:ascii="Arial" w:cs="Arial" w:eastAsia="Arial" w:hAnsi="Arial"/>
          <w:sz w:val="19"/>
          <w:szCs w:val="19"/>
          <w:b w:val="1"/>
          <w:bCs w:val="1"/>
          <w:color w:val="auto"/>
        </w:rPr>
        <w:t>Fearless</w:t>
      </w:r>
      <w:r>
        <w:rPr>
          <w:rFonts w:ascii="Arial" w:cs="Arial" w:eastAsia="Arial" w:hAnsi="Arial"/>
          <w:sz w:val="19"/>
          <w:szCs w:val="19"/>
          <w:color w:val="auto"/>
        </w:rPr>
        <w:t>”), and SEACOR RESOLUTE LLC, a limited liability company organized and existing under the laws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State of Delaware (“</w:t>
      </w:r>
      <w:r>
        <w:rPr>
          <w:rFonts w:ascii="Arial" w:cs="Arial" w:eastAsia="Arial" w:hAnsi="Arial"/>
          <w:sz w:val="19"/>
          <w:szCs w:val="19"/>
          <w:b w:val="1"/>
          <w:bCs w:val="1"/>
          <w:color w:val="auto"/>
        </w:rPr>
        <w:t>Resolute</w:t>
      </w:r>
      <w:r>
        <w:rPr>
          <w:rFonts w:ascii="Arial" w:cs="Arial" w:eastAsia="Arial" w:hAnsi="Arial"/>
          <w:sz w:val="19"/>
          <w:szCs w:val="19"/>
          <w:color w:val="auto"/>
        </w:rPr>
        <w:t>”), as joint and several borrowers (the “</w:t>
      </w:r>
      <w:r>
        <w:rPr>
          <w:rFonts w:ascii="Arial" w:cs="Arial" w:eastAsia="Arial" w:hAnsi="Arial"/>
          <w:sz w:val="19"/>
          <w:szCs w:val="19"/>
          <w:b w:val="1"/>
          <w:bCs w:val="1"/>
          <w:color w:val="auto"/>
        </w:rPr>
        <w:t>Borrowers</w:t>
      </w:r>
      <w:r>
        <w:rPr>
          <w:rFonts w:ascii="Arial" w:cs="Arial" w:eastAsia="Arial" w:hAnsi="Arial"/>
          <w:sz w:val="19"/>
          <w:szCs w:val="19"/>
          <w:color w:val="auto"/>
        </w:rPr>
        <w:t xml:space="preserve">” and each, a </w:t>
      </w:r>
      <w:r>
        <w:rPr>
          <w:rFonts w:ascii="Arial" w:cs="Arial" w:eastAsia="Arial" w:hAnsi="Arial"/>
          <w:sz w:val="19"/>
          <w:szCs w:val="19"/>
          <w:b w:val="1"/>
          <w:bCs w:val="1"/>
          <w:color w:val="auto"/>
        </w:rPr>
        <w:t>Borrower</w:t>
      </w:r>
      <w:r>
        <w:rPr>
          <w:rFonts w:ascii="Arial" w:cs="Arial" w:eastAsia="Arial" w:hAnsi="Arial"/>
          <w:sz w:val="19"/>
          <w:szCs w:val="19"/>
          <w:color w:val="auto"/>
        </w:rPr>
        <w:t>”), (2) the banks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financial institutions listed on Schedule I, as lenders (together with any bank or financial institution which becomes a Lender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pursuant to Section 10, the “</w:t>
      </w:r>
      <w:r>
        <w:rPr>
          <w:rFonts w:ascii="Arial" w:cs="Arial" w:eastAsia="Arial" w:hAnsi="Arial"/>
          <w:sz w:val="19"/>
          <w:szCs w:val="19"/>
          <w:b w:val="1"/>
          <w:bCs w:val="1"/>
          <w:color w:val="auto"/>
        </w:rPr>
        <w:t>Lenders</w:t>
      </w:r>
      <w:r>
        <w:rPr>
          <w:rFonts w:ascii="Arial" w:cs="Arial" w:eastAsia="Arial" w:hAnsi="Arial"/>
          <w:sz w:val="19"/>
          <w:szCs w:val="19"/>
          <w:color w:val="auto"/>
        </w:rPr>
        <w:t>” and each a “</w:t>
      </w:r>
      <w:r>
        <w:rPr>
          <w:rFonts w:ascii="Arial" w:cs="Arial" w:eastAsia="Arial" w:hAnsi="Arial"/>
          <w:sz w:val="19"/>
          <w:szCs w:val="19"/>
          <w:b w:val="1"/>
          <w:bCs w:val="1"/>
          <w:color w:val="auto"/>
        </w:rPr>
        <w:t>Lender</w:t>
      </w:r>
      <w:r>
        <w:rPr>
          <w:rFonts w:ascii="Arial" w:cs="Arial" w:eastAsia="Arial" w:hAnsi="Arial"/>
          <w:sz w:val="19"/>
          <w:szCs w:val="19"/>
          <w:color w:val="auto"/>
        </w:rPr>
        <w:t>”), (3) DNB MARKETS, INC., as bookrunner (in such capacity,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Bookrunner</w:t>
      </w:r>
      <w:r>
        <w:rPr>
          <w:rFonts w:ascii="Arial" w:cs="Arial" w:eastAsia="Arial" w:hAnsi="Arial"/>
          <w:sz w:val="19"/>
          <w:szCs w:val="19"/>
          <w:color w:val="auto"/>
        </w:rPr>
        <w:t>”) and mandated lead arranger (in such capacity, the “</w:t>
      </w:r>
      <w:r>
        <w:rPr>
          <w:rFonts w:ascii="Arial" w:cs="Arial" w:eastAsia="Arial" w:hAnsi="Arial"/>
          <w:sz w:val="19"/>
          <w:szCs w:val="19"/>
          <w:b w:val="1"/>
          <w:bCs w:val="1"/>
          <w:color w:val="auto"/>
        </w:rPr>
        <w:t>Mandated Lead Arranger</w:t>
      </w:r>
      <w:r>
        <w:rPr>
          <w:rFonts w:ascii="Arial" w:cs="Arial" w:eastAsia="Arial" w:hAnsi="Arial"/>
          <w:sz w:val="19"/>
          <w:szCs w:val="19"/>
          <w:color w:val="auto"/>
        </w:rPr>
        <w:t>”), (4) DNB BANK ASA, NEW</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YORK BRANCH, as administrative agent (in such capacity, the “</w:t>
      </w:r>
      <w:r>
        <w:rPr>
          <w:rFonts w:ascii="Arial" w:cs="Arial" w:eastAsia="Arial" w:hAnsi="Arial"/>
          <w:sz w:val="19"/>
          <w:szCs w:val="19"/>
          <w:b w:val="1"/>
          <w:bCs w:val="1"/>
          <w:color w:val="auto"/>
        </w:rPr>
        <w:t>Administrative Agent</w:t>
      </w:r>
      <w:r>
        <w:rPr>
          <w:rFonts w:ascii="Arial" w:cs="Arial" w:eastAsia="Arial" w:hAnsi="Arial"/>
          <w:sz w:val="19"/>
          <w:szCs w:val="19"/>
          <w:color w:val="auto"/>
        </w:rPr>
        <w:t>”) and as security trustee (in such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capacity, the “</w:t>
      </w:r>
      <w:r>
        <w:rPr>
          <w:rFonts w:ascii="Arial" w:cs="Arial" w:eastAsia="Arial" w:hAnsi="Arial"/>
          <w:sz w:val="19"/>
          <w:szCs w:val="19"/>
          <w:b w:val="1"/>
          <w:bCs w:val="1"/>
          <w:color w:val="auto"/>
        </w:rPr>
        <w:t>Security Trustee</w:t>
      </w:r>
      <w:r>
        <w:rPr>
          <w:rFonts w:ascii="Arial" w:cs="Arial" w:eastAsia="Arial" w:hAnsi="Arial"/>
          <w:sz w:val="19"/>
          <w:szCs w:val="19"/>
          <w:color w:val="auto"/>
        </w:rPr>
        <w:t>”), and (5) COMERICA BANK, as facility agent (in such capacity, the “</w:t>
      </w:r>
      <w:r>
        <w:rPr>
          <w:rFonts w:ascii="Arial" w:cs="Arial" w:eastAsia="Arial" w:hAnsi="Arial"/>
          <w:sz w:val="19"/>
          <w:szCs w:val="19"/>
          <w:b w:val="1"/>
          <w:bCs w:val="1"/>
          <w:color w:val="auto"/>
        </w:rPr>
        <w:t>Facility Agent</w:t>
      </w:r>
      <w:r>
        <w:rPr>
          <w:rFonts w:ascii="Arial" w:cs="Arial" w:eastAsia="Arial" w:hAnsi="Arial"/>
          <w:sz w:val="19"/>
          <w:szCs w:val="19"/>
          <w:color w:val="auto"/>
        </w:rPr>
        <w:t>” and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together with the Administrative Agent and the Security Trustee, the “</w:t>
      </w:r>
      <w:r>
        <w:rPr>
          <w:rFonts w:ascii="Arial" w:cs="Arial" w:eastAsia="Arial" w:hAnsi="Arial"/>
          <w:sz w:val="22"/>
          <w:szCs w:val="22"/>
          <w:b w:val="1"/>
          <w:bCs w:val="1"/>
          <w:color w:val="auto"/>
        </w:rPr>
        <w:t>Agents</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WITNESSETH THAT:</w:t>
      </w:r>
    </w:p>
    <w:p>
      <w:pPr>
        <w:spacing w:after="0" w:line="206" w:lineRule="exact"/>
        <w:rPr>
          <w:sz w:val="20"/>
          <w:szCs w:val="20"/>
          <w:color w:val="auto"/>
        </w:rPr>
      </w:pPr>
    </w:p>
    <w:p>
      <w:pPr>
        <w:jc w:val="both"/>
        <w:ind w:right="220" w:firstLine="780"/>
        <w:spacing w:after="0" w:line="243" w:lineRule="auto"/>
        <w:rPr>
          <w:sz w:val="20"/>
          <w:szCs w:val="20"/>
          <w:color w:val="auto"/>
        </w:rPr>
      </w:pPr>
      <w:r>
        <w:rPr>
          <w:rFonts w:ascii="Arial" w:cs="Arial" w:eastAsia="Arial" w:hAnsi="Arial"/>
          <w:sz w:val="22"/>
          <w:szCs w:val="22"/>
          <w:color w:val="auto"/>
        </w:rPr>
        <w:t>WHEREAS, on November 18, 2013 (the “</w:t>
      </w:r>
      <w:r>
        <w:rPr>
          <w:rFonts w:ascii="Arial" w:cs="Arial" w:eastAsia="Arial" w:hAnsi="Arial"/>
          <w:sz w:val="22"/>
          <w:szCs w:val="22"/>
          <w:b w:val="1"/>
          <w:bCs w:val="1"/>
          <w:color w:val="auto"/>
        </w:rPr>
        <w:t>Original Closing Date</w:t>
      </w:r>
      <w:r>
        <w:rPr>
          <w:rFonts w:ascii="Arial" w:cs="Arial" w:eastAsia="Arial" w:hAnsi="Arial"/>
          <w:sz w:val="22"/>
          <w:szCs w:val="22"/>
          <w:color w:val="auto"/>
        </w:rPr>
        <w:t>”), the Borrowers entered into a senior secured term loan credit facility agreement with the parties hereto (as amended, amended and restated, supplemented or otherwise modified prior to the date hereof, the “</w:t>
      </w:r>
      <w:r>
        <w:rPr>
          <w:rFonts w:ascii="Arial" w:cs="Arial" w:eastAsia="Arial" w:hAnsi="Arial"/>
          <w:sz w:val="22"/>
          <w:szCs w:val="22"/>
          <w:b w:val="1"/>
          <w:bCs w:val="1"/>
          <w:color w:val="auto"/>
        </w:rPr>
        <w:t>Original Loan Agreement</w:t>
      </w:r>
      <w:r>
        <w:rPr>
          <w:rFonts w:ascii="Arial" w:cs="Arial" w:eastAsia="Arial" w:hAnsi="Arial"/>
          <w:sz w:val="22"/>
          <w:szCs w:val="22"/>
          <w:color w:val="auto"/>
        </w:rPr>
        <w:t>”);</w:t>
      </w:r>
    </w:p>
    <w:p>
      <w:pPr>
        <w:spacing w:after="0" w:line="183" w:lineRule="exact"/>
        <w:rPr>
          <w:sz w:val="20"/>
          <w:szCs w:val="20"/>
          <w:color w:val="auto"/>
        </w:rPr>
      </w:pPr>
    </w:p>
    <w:p>
      <w:pPr>
        <w:ind w:firstLine="780"/>
        <w:spacing w:after="0" w:line="252" w:lineRule="auto"/>
        <w:rPr>
          <w:sz w:val="20"/>
          <w:szCs w:val="20"/>
          <w:color w:val="auto"/>
        </w:rPr>
      </w:pPr>
      <w:r>
        <w:rPr>
          <w:rFonts w:ascii="Arial" w:cs="Arial" w:eastAsia="Arial" w:hAnsi="Arial"/>
          <w:sz w:val="21"/>
          <w:szCs w:val="21"/>
          <w:color w:val="auto"/>
        </w:rPr>
        <w:t>WHEREAS, subject to and upon the terms and conditions set forth in that certain Amendment No. 7 to Amended and Restated Credit Facility Agreement dated as of December 31, 2021 (the “</w:t>
      </w:r>
      <w:r>
        <w:rPr>
          <w:rFonts w:ascii="Arial" w:cs="Arial" w:eastAsia="Arial" w:hAnsi="Arial"/>
          <w:sz w:val="21"/>
          <w:szCs w:val="21"/>
          <w:b w:val="1"/>
          <w:bCs w:val="1"/>
          <w:color w:val="auto"/>
        </w:rPr>
        <w:t>Seventh Amendment</w:t>
      </w:r>
      <w:r>
        <w:rPr>
          <w:rFonts w:ascii="Arial" w:cs="Arial" w:eastAsia="Arial" w:hAnsi="Arial"/>
          <w:sz w:val="21"/>
          <w:szCs w:val="21"/>
          <w:color w:val="auto"/>
        </w:rPr>
        <w:t>”), by and among, among others, the Borrowers, the Lenders, the Administrative Agent, the Security Trustee and the Facility Agent, the parties hereto have agreed to amend and restate the Original Loan Agreement as set forth herein;</w:t>
      </w:r>
    </w:p>
    <w:p>
      <w:pPr>
        <w:spacing w:after="0" w:line="174" w:lineRule="exact"/>
        <w:rPr>
          <w:sz w:val="20"/>
          <w:szCs w:val="20"/>
          <w:color w:val="auto"/>
        </w:rPr>
      </w:pPr>
    </w:p>
    <w:p>
      <w:pPr>
        <w:ind w:right="60" w:firstLine="780"/>
        <w:spacing w:after="0"/>
        <w:rPr>
          <w:sz w:val="20"/>
          <w:szCs w:val="20"/>
          <w:color w:val="auto"/>
        </w:rPr>
      </w:pPr>
      <w:r>
        <w:rPr>
          <w:rFonts w:ascii="Arial" w:cs="Arial" w:eastAsia="Arial" w:hAnsi="Arial"/>
          <w:sz w:val="22"/>
          <w:szCs w:val="22"/>
          <w:color w:val="auto"/>
        </w:rPr>
        <w:t>NOW, THEREFORE, in consideration of the premises set forth above, the covenants and agreements hereinafter set forth, and other good and valuable consideration, the receipt and adequacy of which are hereby acknowledged, the parties hereto agree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800" w:right="399" w:bottom="1440" w:gutter="0" w:footer="0" w:header="0"/>
        </w:sectPr>
      </w:pPr>
    </w:p>
    <w:bookmarkStart w:id="139" w:name="page140"/>
    <w:bookmarkEnd w:id="139"/>
    <w:p>
      <w:pPr>
        <w:ind w:left="820" w:hanging="812"/>
        <w:spacing w:after="0"/>
        <w:tabs>
          <w:tab w:leader="none" w:pos="82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DEFINITIONS</w:t>
      </w:r>
    </w:p>
    <w:p>
      <w:pPr>
        <w:spacing w:after="0" w:line="206" w:lineRule="exact"/>
        <w:rPr>
          <w:sz w:val="20"/>
          <w:szCs w:val="20"/>
          <w:color w:val="auto"/>
        </w:rPr>
      </w:pPr>
    </w:p>
    <w:p>
      <w:pPr>
        <w:ind w:right="260" w:firstLine="780"/>
        <w:spacing w:after="0" w:line="250"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Specific Definitions</w:t>
      </w:r>
      <w:r>
        <w:rPr>
          <w:rFonts w:ascii="Arial" w:cs="Arial" w:eastAsia="Arial" w:hAnsi="Arial"/>
          <w:sz w:val="22"/>
          <w:szCs w:val="22"/>
          <w:color w:val="auto"/>
        </w:rPr>
        <w:t>. In this Agreement the words and expressions specified below shall, except where the context otherwise requires, have the meanings attributed to them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4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Acceptable Accounting Firm</w:t>
            </w:r>
            <w:r>
              <w:rPr>
                <w:rFonts w:ascii="Arial" w:cs="Arial" w:eastAsia="Arial" w:hAnsi="Arial"/>
                <w:sz w:val="22"/>
                <w:szCs w:val="22"/>
                <w:color w:val="auto"/>
              </w:rPr>
              <w:t>”</w:t>
            </w:r>
          </w:p>
        </w:tc>
        <w:tc>
          <w:tcPr>
            <w:tcW w:w="7420" w:type="dxa"/>
            <w:vAlign w:val="bottom"/>
          </w:tcPr>
          <w:p>
            <w:pPr>
              <w:ind w:left="760"/>
              <w:spacing w:after="0"/>
              <w:rPr>
                <w:sz w:val="20"/>
                <w:szCs w:val="20"/>
                <w:color w:val="auto"/>
              </w:rPr>
            </w:pPr>
            <w:r>
              <w:rPr>
                <w:rFonts w:ascii="Arial" w:cs="Arial" w:eastAsia="Arial" w:hAnsi="Arial"/>
                <w:sz w:val="22"/>
                <w:szCs w:val="22"/>
                <w:color w:val="auto"/>
              </w:rPr>
              <w:t>shall mean  Grant  Thornton  LLP  or  such  other  Public Company</w:t>
            </w:r>
          </w:p>
        </w:tc>
      </w:tr>
      <w:tr>
        <w:trPr>
          <w:trHeight w:val="243"/>
        </w:trPr>
        <w:tc>
          <w:tcPr>
            <w:tcW w:w="3840" w:type="dxa"/>
            <w:vAlign w:val="bottom"/>
          </w:tcPr>
          <w:p>
            <w:pPr>
              <w:spacing w:after="0"/>
              <w:rPr>
                <w:sz w:val="21"/>
                <w:szCs w:val="21"/>
                <w:color w:val="auto"/>
              </w:rPr>
            </w:pPr>
          </w:p>
        </w:tc>
        <w:tc>
          <w:tcPr>
            <w:tcW w:w="7420" w:type="dxa"/>
            <w:vAlign w:val="bottom"/>
          </w:tcPr>
          <w:p>
            <w:pPr>
              <w:ind w:left="760"/>
              <w:spacing w:after="0" w:line="243" w:lineRule="exact"/>
              <w:rPr>
                <w:sz w:val="20"/>
                <w:szCs w:val="20"/>
                <w:color w:val="auto"/>
              </w:rPr>
            </w:pPr>
            <w:r>
              <w:rPr>
                <w:rFonts w:ascii="Arial" w:cs="Arial" w:eastAsia="Arial" w:hAnsi="Arial"/>
                <w:sz w:val="22"/>
                <w:szCs w:val="22"/>
                <w:color w:val="auto"/>
                <w:w w:val="94"/>
              </w:rPr>
              <w:t>Accounting  Oversight  Board  recognized  accounting  firm  as  shall  be</w:t>
            </w:r>
          </w:p>
        </w:tc>
      </w:tr>
      <w:tr>
        <w:trPr>
          <w:trHeight w:val="243"/>
        </w:trPr>
        <w:tc>
          <w:tcPr>
            <w:tcW w:w="3840" w:type="dxa"/>
            <w:vAlign w:val="bottom"/>
          </w:tcPr>
          <w:p>
            <w:pPr>
              <w:spacing w:after="0"/>
              <w:rPr>
                <w:sz w:val="21"/>
                <w:szCs w:val="21"/>
                <w:color w:val="auto"/>
              </w:rPr>
            </w:pPr>
          </w:p>
        </w:tc>
        <w:tc>
          <w:tcPr>
            <w:tcW w:w="7420" w:type="dxa"/>
            <w:vAlign w:val="bottom"/>
          </w:tcPr>
          <w:p>
            <w:pPr>
              <w:ind w:left="760"/>
              <w:spacing w:after="0" w:line="243" w:lineRule="exact"/>
              <w:rPr>
                <w:sz w:val="20"/>
                <w:szCs w:val="20"/>
                <w:color w:val="auto"/>
              </w:rPr>
            </w:pPr>
            <w:r>
              <w:rPr>
                <w:rFonts w:ascii="Arial" w:cs="Arial" w:eastAsia="Arial" w:hAnsi="Arial"/>
                <w:sz w:val="22"/>
                <w:szCs w:val="22"/>
                <w:color w:val="auto"/>
              </w:rPr>
              <w:t>approved  by  the  Administrative  Agent,  such  approval  not  to  be</w:t>
            </w:r>
          </w:p>
        </w:tc>
      </w:tr>
      <w:tr>
        <w:trPr>
          <w:trHeight w:val="274"/>
        </w:trPr>
        <w:tc>
          <w:tcPr>
            <w:tcW w:w="3840" w:type="dxa"/>
            <w:vAlign w:val="bottom"/>
          </w:tcPr>
          <w:p>
            <w:pPr>
              <w:spacing w:after="0"/>
              <w:rPr>
                <w:sz w:val="23"/>
                <w:szCs w:val="23"/>
                <w:color w:val="auto"/>
              </w:rPr>
            </w:pPr>
          </w:p>
        </w:tc>
        <w:tc>
          <w:tcPr>
            <w:tcW w:w="7420" w:type="dxa"/>
            <w:vAlign w:val="bottom"/>
          </w:tcPr>
          <w:p>
            <w:pPr>
              <w:ind w:left="760"/>
              <w:spacing w:after="0"/>
              <w:rPr>
                <w:sz w:val="20"/>
                <w:szCs w:val="20"/>
                <w:color w:val="auto"/>
              </w:rPr>
            </w:pPr>
            <w:r>
              <w:rPr>
                <w:rFonts w:ascii="Arial" w:cs="Arial" w:eastAsia="Arial" w:hAnsi="Arial"/>
                <w:sz w:val="22"/>
                <w:szCs w:val="22"/>
                <w:color w:val="auto"/>
              </w:rPr>
              <w:t>unreasonably withheld;</w:t>
            </w:r>
          </w:p>
        </w:tc>
      </w:tr>
      <w:tr>
        <w:trPr>
          <w:trHeight w:val="338"/>
        </w:trPr>
        <w:tc>
          <w:tcPr>
            <w:tcW w:w="384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Administrative Agent</w:t>
            </w:r>
            <w:r>
              <w:rPr>
                <w:rFonts w:ascii="Arial" w:cs="Arial" w:eastAsia="Arial" w:hAnsi="Arial"/>
                <w:sz w:val="22"/>
                <w:szCs w:val="22"/>
                <w:color w:val="auto"/>
              </w:rPr>
              <w:t>”</w:t>
            </w:r>
          </w:p>
        </w:tc>
        <w:tc>
          <w:tcPr>
            <w:tcW w:w="7420" w:type="dxa"/>
            <w:vAlign w:val="bottom"/>
          </w:tcPr>
          <w:p>
            <w:pPr>
              <w:ind w:left="760"/>
              <w:spacing w:after="0"/>
              <w:rPr>
                <w:sz w:val="20"/>
                <w:szCs w:val="20"/>
                <w:color w:val="auto"/>
              </w:rPr>
            </w:pPr>
            <w:r>
              <w:rPr>
                <w:rFonts w:ascii="Arial" w:cs="Arial" w:eastAsia="Arial" w:hAnsi="Arial"/>
                <w:sz w:val="22"/>
                <w:szCs w:val="22"/>
                <w:color w:val="auto"/>
              </w:rPr>
              <w:t>shall have the meaning ascribed thereto in the preamble;</w:t>
            </w:r>
          </w:p>
        </w:tc>
      </w:tr>
      <w:tr>
        <w:trPr>
          <w:trHeight w:val="428"/>
        </w:trPr>
        <w:tc>
          <w:tcPr>
            <w:tcW w:w="384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Advance(s)</w:t>
            </w:r>
            <w:r>
              <w:rPr>
                <w:rFonts w:ascii="Arial" w:cs="Arial" w:eastAsia="Arial" w:hAnsi="Arial"/>
                <w:sz w:val="22"/>
                <w:szCs w:val="22"/>
                <w:color w:val="auto"/>
              </w:rPr>
              <w:t>”</w:t>
            </w:r>
          </w:p>
        </w:tc>
        <w:tc>
          <w:tcPr>
            <w:tcW w:w="7420" w:type="dxa"/>
            <w:vAlign w:val="bottom"/>
          </w:tcPr>
          <w:p>
            <w:pPr>
              <w:ind w:left="760"/>
              <w:spacing w:after="0"/>
              <w:rPr>
                <w:sz w:val="20"/>
                <w:szCs w:val="20"/>
                <w:color w:val="auto"/>
              </w:rPr>
            </w:pPr>
            <w:r>
              <w:rPr>
                <w:rFonts w:ascii="Arial" w:cs="Arial" w:eastAsia="Arial" w:hAnsi="Arial"/>
                <w:sz w:val="22"/>
                <w:szCs w:val="22"/>
                <w:color w:val="auto"/>
                <w:w w:val="89"/>
              </w:rPr>
              <w:t>shall mean any amounts advanced to the Borrowers pursuant to the Original</w:t>
            </w:r>
          </w:p>
        </w:tc>
      </w:tr>
      <w:tr>
        <w:trPr>
          <w:trHeight w:val="274"/>
        </w:trPr>
        <w:tc>
          <w:tcPr>
            <w:tcW w:w="3840" w:type="dxa"/>
            <w:vAlign w:val="bottom"/>
          </w:tcPr>
          <w:p>
            <w:pPr>
              <w:spacing w:after="0"/>
              <w:rPr>
                <w:sz w:val="23"/>
                <w:szCs w:val="23"/>
                <w:color w:val="auto"/>
              </w:rPr>
            </w:pPr>
          </w:p>
        </w:tc>
        <w:tc>
          <w:tcPr>
            <w:tcW w:w="7420" w:type="dxa"/>
            <w:vAlign w:val="bottom"/>
          </w:tcPr>
          <w:p>
            <w:pPr>
              <w:ind w:left="760"/>
              <w:spacing w:after="0"/>
              <w:rPr>
                <w:sz w:val="20"/>
                <w:szCs w:val="20"/>
                <w:color w:val="auto"/>
              </w:rPr>
            </w:pPr>
            <w:r>
              <w:rPr>
                <w:rFonts w:ascii="Arial" w:cs="Arial" w:eastAsia="Arial" w:hAnsi="Arial"/>
                <w:sz w:val="22"/>
                <w:szCs w:val="22"/>
                <w:color w:val="auto"/>
              </w:rPr>
              <w:t>Loan Agreement;</w:t>
            </w:r>
          </w:p>
        </w:tc>
      </w:tr>
      <w:tr>
        <w:trPr>
          <w:trHeight w:val="441"/>
        </w:trPr>
        <w:tc>
          <w:tcPr>
            <w:tcW w:w="3840" w:type="dxa"/>
            <w:vAlign w:val="bottom"/>
          </w:tcPr>
          <w:p>
            <w:pPr>
              <w:ind w:left="100"/>
              <w:spacing w:after="0"/>
              <w:rPr>
                <w:sz w:val="20"/>
                <w:szCs w:val="20"/>
                <w:color w:val="auto"/>
              </w:rPr>
            </w:pPr>
            <w:r>
              <w:rPr>
                <w:rFonts w:ascii="Arial" w:cs="Arial" w:eastAsia="Arial" w:hAnsi="Arial"/>
                <w:sz w:val="22"/>
                <w:szCs w:val="22"/>
                <w:b w:val="1"/>
                <w:bCs w:val="1"/>
                <w:color w:val="auto"/>
              </w:rPr>
              <w:t>“Affected Financial Institution”</w:t>
            </w:r>
          </w:p>
        </w:tc>
        <w:tc>
          <w:tcPr>
            <w:tcW w:w="7420" w:type="dxa"/>
            <w:vAlign w:val="bottom"/>
          </w:tcPr>
          <w:p>
            <w:pPr>
              <w:ind w:left="760"/>
              <w:spacing w:after="0"/>
              <w:rPr>
                <w:sz w:val="20"/>
                <w:szCs w:val="20"/>
                <w:color w:val="auto"/>
              </w:rPr>
            </w:pPr>
            <w:r>
              <w:rPr>
                <w:rFonts w:ascii="Arial" w:cs="Arial" w:eastAsia="Arial" w:hAnsi="Arial"/>
                <w:sz w:val="22"/>
                <w:szCs w:val="22"/>
                <w:color w:val="auto"/>
              </w:rPr>
              <w:t>shall mean (a) any EEA Financial Institution or (b) any UK Financial</w:t>
            </w:r>
          </w:p>
        </w:tc>
      </w:tr>
      <w:tr>
        <w:trPr>
          <w:trHeight w:val="274"/>
        </w:trPr>
        <w:tc>
          <w:tcPr>
            <w:tcW w:w="3840" w:type="dxa"/>
            <w:vAlign w:val="bottom"/>
          </w:tcPr>
          <w:p>
            <w:pPr>
              <w:spacing w:after="0"/>
              <w:rPr>
                <w:sz w:val="23"/>
                <w:szCs w:val="23"/>
                <w:color w:val="auto"/>
              </w:rPr>
            </w:pPr>
          </w:p>
        </w:tc>
        <w:tc>
          <w:tcPr>
            <w:tcW w:w="7420" w:type="dxa"/>
            <w:vAlign w:val="bottom"/>
          </w:tcPr>
          <w:p>
            <w:pPr>
              <w:ind w:left="760"/>
              <w:spacing w:after="0"/>
              <w:rPr>
                <w:sz w:val="20"/>
                <w:szCs w:val="20"/>
                <w:color w:val="auto"/>
              </w:rPr>
            </w:pPr>
            <w:r>
              <w:rPr>
                <w:rFonts w:ascii="Arial" w:cs="Arial" w:eastAsia="Arial" w:hAnsi="Arial"/>
                <w:sz w:val="22"/>
                <w:szCs w:val="22"/>
                <w:color w:val="auto"/>
              </w:rPr>
              <w:t>Institution;</w:t>
            </w:r>
          </w:p>
        </w:tc>
      </w:tr>
      <w:tr>
        <w:trPr>
          <w:trHeight w:val="441"/>
        </w:trPr>
        <w:tc>
          <w:tcPr>
            <w:tcW w:w="384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w:t>
            </w:r>
          </w:p>
        </w:tc>
        <w:tc>
          <w:tcPr>
            <w:tcW w:w="7420" w:type="dxa"/>
            <w:vAlign w:val="bottom"/>
          </w:tcPr>
          <w:p>
            <w:pPr>
              <w:ind w:left="760"/>
              <w:spacing w:after="0"/>
              <w:rPr>
                <w:sz w:val="20"/>
                <w:szCs w:val="20"/>
                <w:color w:val="auto"/>
              </w:rPr>
            </w:pPr>
            <w:r>
              <w:rPr>
                <w:rFonts w:ascii="Arial" w:cs="Arial" w:eastAsia="Arial" w:hAnsi="Arial"/>
                <w:sz w:val="22"/>
                <w:szCs w:val="22"/>
                <w:color w:val="auto"/>
                <w:w w:val="95"/>
              </w:rPr>
              <w:t>shall mean with respect to any Person, any other Person that directly or</w:t>
            </w:r>
          </w:p>
        </w:tc>
      </w:tr>
      <w:tr>
        <w:trPr>
          <w:trHeight w:val="243"/>
        </w:trPr>
        <w:tc>
          <w:tcPr>
            <w:tcW w:w="3840" w:type="dxa"/>
            <w:vAlign w:val="bottom"/>
          </w:tcPr>
          <w:p>
            <w:pPr>
              <w:spacing w:after="0"/>
              <w:rPr>
                <w:sz w:val="21"/>
                <w:szCs w:val="21"/>
                <w:color w:val="auto"/>
              </w:rPr>
            </w:pPr>
          </w:p>
        </w:tc>
        <w:tc>
          <w:tcPr>
            <w:tcW w:w="7420" w:type="dxa"/>
            <w:vAlign w:val="bottom"/>
          </w:tcPr>
          <w:p>
            <w:pPr>
              <w:ind w:left="760"/>
              <w:spacing w:after="0" w:line="243" w:lineRule="exact"/>
              <w:rPr>
                <w:sz w:val="20"/>
                <w:szCs w:val="20"/>
                <w:color w:val="auto"/>
              </w:rPr>
            </w:pPr>
            <w:r>
              <w:rPr>
                <w:rFonts w:ascii="Arial" w:cs="Arial" w:eastAsia="Arial" w:hAnsi="Arial"/>
                <w:sz w:val="22"/>
                <w:szCs w:val="22"/>
                <w:color w:val="auto"/>
                <w:w w:val="98"/>
              </w:rPr>
              <w:t>indirectly controls, is controlled by or under common control with such</w:t>
            </w:r>
          </w:p>
        </w:tc>
      </w:tr>
      <w:tr>
        <w:trPr>
          <w:trHeight w:val="243"/>
        </w:trPr>
        <w:tc>
          <w:tcPr>
            <w:tcW w:w="3840" w:type="dxa"/>
            <w:vAlign w:val="bottom"/>
          </w:tcPr>
          <w:p>
            <w:pPr>
              <w:spacing w:after="0"/>
              <w:rPr>
                <w:sz w:val="21"/>
                <w:szCs w:val="21"/>
                <w:color w:val="auto"/>
              </w:rPr>
            </w:pPr>
          </w:p>
        </w:tc>
        <w:tc>
          <w:tcPr>
            <w:tcW w:w="7420" w:type="dxa"/>
            <w:vAlign w:val="bottom"/>
          </w:tcPr>
          <w:p>
            <w:pPr>
              <w:ind w:left="760"/>
              <w:spacing w:after="0" w:line="243" w:lineRule="exact"/>
              <w:rPr>
                <w:sz w:val="20"/>
                <w:szCs w:val="20"/>
                <w:color w:val="auto"/>
              </w:rPr>
            </w:pPr>
            <w:r>
              <w:rPr>
                <w:rFonts w:ascii="Arial" w:cs="Arial" w:eastAsia="Arial" w:hAnsi="Arial"/>
                <w:sz w:val="22"/>
                <w:szCs w:val="22"/>
                <w:color w:val="auto"/>
              </w:rPr>
              <w:t>Person. For the purposes of this definition, “control” (including, with</w:t>
            </w:r>
          </w:p>
        </w:tc>
      </w:tr>
      <w:tr>
        <w:trPr>
          <w:trHeight w:val="243"/>
        </w:trPr>
        <w:tc>
          <w:tcPr>
            <w:tcW w:w="3840" w:type="dxa"/>
            <w:vAlign w:val="bottom"/>
          </w:tcPr>
          <w:p>
            <w:pPr>
              <w:spacing w:after="0"/>
              <w:rPr>
                <w:sz w:val="21"/>
                <w:szCs w:val="21"/>
                <w:color w:val="auto"/>
              </w:rPr>
            </w:pPr>
          </w:p>
        </w:tc>
        <w:tc>
          <w:tcPr>
            <w:tcW w:w="7420" w:type="dxa"/>
            <w:vAlign w:val="bottom"/>
          </w:tcPr>
          <w:p>
            <w:pPr>
              <w:ind w:left="760"/>
              <w:spacing w:after="0" w:line="243" w:lineRule="exact"/>
              <w:rPr>
                <w:sz w:val="20"/>
                <w:szCs w:val="20"/>
                <w:color w:val="auto"/>
              </w:rPr>
            </w:pPr>
            <w:r>
              <w:rPr>
                <w:rFonts w:ascii="Arial" w:cs="Arial" w:eastAsia="Arial" w:hAnsi="Arial"/>
                <w:sz w:val="22"/>
                <w:szCs w:val="22"/>
                <w:color w:val="auto"/>
                <w:w w:val="91"/>
              </w:rPr>
              <w:t>correlative meanings, the terms “controlled by” and “under common control</w:t>
            </w:r>
          </w:p>
        </w:tc>
      </w:tr>
      <w:tr>
        <w:trPr>
          <w:trHeight w:val="243"/>
        </w:trPr>
        <w:tc>
          <w:tcPr>
            <w:tcW w:w="3840" w:type="dxa"/>
            <w:vAlign w:val="bottom"/>
          </w:tcPr>
          <w:p>
            <w:pPr>
              <w:spacing w:after="0"/>
              <w:rPr>
                <w:sz w:val="21"/>
                <w:szCs w:val="21"/>
                <w:color w:val="auto"/>
              </w:rPr>
            </w:pPr>
          </w:p>
        </w:tc>
        <w:tc>
          <w:tcPr>
            <w:tcW w:w="7420" w:type="dxa"/>
            <w:vAlign w:val="bottom"/>
          </w:tcPr>
          <w:p>
            <w:pPr>
              <w:ind w:left="760"/>
              <w:spacing w:after="0" w:line="243" w:lineRule="exact"/>
              <w:rPr>
                <w:sz w:val="20"/>
                <w:szCs w:val="20"/>
                <w:color w:val="auto"/>
              </w:rPr>
            </w:pPr>
            <w:r>
              <w:rPr>
                <w:rFonts w:ascii="Arial" w:cs="Arial" w:eastAsia="Arial" w:hAnsi="Arial"/>
                <w:sz w:val="22"/>
                <w:szCs w:val="22"/>
                <w:color w:val="auto"/>
                <w:w w:val="89"/>
              </w:rPr>
              <w:t>with”) as applied to any Person means the possession directly or indirectly of</w:t>
            </w:r>
          </w:p>
        </w:tc>
      </w:tr>
      <w:tr>
        <w:trPr>
          <w:trHeight w:val="243"/>
        </w:trPr>
        <w:tc>
          <w:tcPr>
            <w:tcW w:w="3840" w:type="dxa"/>
            <w:vAlign w:val="bottom"/>
          </w:tcPr>
          <w:p>
            <w:pPr>
              <w:spacing w:after="0"/>
              <w:rPr>
                <w:sz w:val="21"/>
                <w:szCs w:val="21"/>
                <w:color w:val="auto"/>
              </w:rPr>
            </w:pPr>
          </w:p>
        </w:tc>
        <w:tc>
          <w:tcPr>
            <w:tcW w:w="7420" w:type="dxa"/>
            <w:vAlign w:val="bottom"/>
          </w:tcPr>
          <w:p>
            <w:pPr>
              <w:ind w:left="760"/>
              <w:spacing w:after="0" w:line="243" w:lineRule="exact"/>
              <w:rPr>
                <w:sz w:val="20"/>
                <w:szCs w:val="20"/>
                <w:color w:val="auto"/>
              </w:rPr>
            </w:pPr>
            <w:r>
              <w:rPr>
                <w:rFonts w:ascii="Arial" w:cs="Arial" w:eastAsia="Arial" w:hAnsi="Arial"/>
                <w:sz w:val="22"/>
                <w:szCs w:val="22"/>
                <w:color w:val="auto"/>
                <w:w w:val="89"/>
              </w:rPr>
              <w:t>the power to direct or cause the direction of the management and policies of</w:t>
            </w:r>
          </w:p>
        </w:tc>
      </w:tr>
      <w:tr>
        <w:trPr>
          <w:trHeight w:val="243"/>
        </w:trPr>
        <w:tc>
          <w:tcPr>
            <w:tcW w:w="3840" w:type="dxa"/>
            <w:vAlign w:val="bottom"/>
          </w:tcPr>
          <w:p>
            <w:pPr>
              <w:spacing w:after="0"/>
              <w:rPr>
                <w:sz w:val="21"/>
                <w:szCs w:val="21"/>
                <w:color w:val="auto"/>
              </w:rPr>
            </w:pPr>
          </w:p>
        </w:tc>
        <w:tc>
          <w:tcPr>
            <w:tcW w:w="7420" w:type="dxa"/>
            <w:vAlign w:val="bottom"/>
          </w:tcPr>
          <w:p>
            <w:pPr>
              <w:ind w:left="760"/>
              <w:spacing w:after="0" w:line="243" w:lineRule="exact"/>
              <w:rPr>
                <w:sz w:val="20"/>
                <w:szCs w:val="20"/>
                <w:color w:val="auto"/>
              </w:rPr>
            </w:pPr>
            <w:r>
              <w:rPr>
                <w:rFonts w:ascii="Arial" w:cs="Arial" w:eastAsia="Arial" w:hAnsi="Arial"/>
                <w:sz w:val="22"/>
                <w:szCs w:val="22"/>
                <w:color w:val="auto"/>
                <w:w w:val="90"/>
              </w:rPr>
              <w:t>that Person whether through ownership of voting securities or by contract or</w:t>
            </w:r>
          </w:p>
        </w:tc>
      </w:tr>
      <w:tr>
        <w:trPr>
          <w:trHeight w:val="274"/>
        </w:trPr>
        <w:tc>
          <w:tcPr>
            <w:tcW w:w="3840" w:type="dxa"/>
            <w:vAlign w:val="bottom"/>
          </w:tcPr>
          <w:p>
            <w:pPr>
              <w:spacing w:after="0"/>
              <w:rPr>
                <w:sz w:val="23"/>
                <w:szCs w:val="23"/>
                <w:color w:val="auto"/>
              </w:rPr>
            </w:pPr>
          </w:p>
        </w:tc>
        <w:tc>
          <w:tcPr>
            <w:tcW w:w="7420" w:type="dxa"/>
            <w:vAlign w:val="bottom"/>
          </w:tcPr>
          <w:p>
            <w:pPr>
              <w:ind w:left="760"/>
              <w:spacing w:after="0"/>
              <w:rPr>
                <w:sz w:val="20"/>
                <w:szCs w:val="20"/>
                <w:color w:val="auto"/>
              </w:rPr>
            </w:pPr>
            <w:r>
              <w:rPr>
                <w:rFonts w:ascii="Arial" w:cs="Arial" w:eastAsia="Arial" w:hAnsi="Arial"/>
                <w:sz w:val="22"/>
                <w:szCs w:val="22"/>
                <w:color w:val="auto"/>
              </w:rPr>
              <w:t>otherwise;</w:t>
            </w:r>
          </w:p>
        </w:tc>
      </w:tr>
      <w:tr>
        <w:trPr>
          <w:trHeight w:val="756"/>
        </w:trPr>
        <w:tc>
          <w:tcPr>
            <w:tcW w:w="384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Agents</w:t>
            </w:r>
            <w:r>
              <w:rPr>
                <w:rFonts w:ascii="Arial" w:cs="Arial" w:eastAsia="Arial" w:hAnsi="Arial"/>
                <w:sz w:val="22"/>
                <w:szCs w:val="22"/>
                <w:color w:val="auto"/>
              </w:rPr>
              <w:t>”</w:t>
            </w:r>
          </w:p>
        </w:tc>
        <w:tc>
          <w:tcPr>
            <w:tcW w:w="7420" w:type="dxa"/>
            <w:vAlign w:val="bottom"/>
          </w:tcPr>
          <w:p>
            <w:pPr>
              <w:ind w:left="760"/>
              <w:spacing w:after="0"/>
              <w:rPr>
                <w:sz w:val="20"/>
                <w:szCs w:val="20"/>
                <w:color w:val="auto"/>
              </w:rPr>
            </w:pPr>
            <w:r>
              <w:rPr>
                <w:rFonts w:ascii="Arial" w:cs="Arial" w:eastAsia="Arial" w:hAnsi="Arial"/>
                <w:sz w:val="22"/>
                <w:szCs w:val="22"/>
                <w:color w:val="auto"/>
              </w:rPr>
              <w:t>shall have the meaning ascribed thereto in the preamble;</w:t>
            </w:r>
          </w:p>
        </w:tc>
      </w:tr>
      <w:tr>
        <w:trPr>
          <w:trHeight w:val="428"/>
        </w:trPr>
        <w:tc>
          <w:tcPr>
            <w:tcW w:w="384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w:t>
            </w:r>
          </w:p>
        </w:tc>
        <w:tc>
          <w:tcPr>
            <w:tcW w:w="7420" w:type="dxa"/>
            <w:vAlign w:val="bottom"/>
          </w:tcPr>
          <w:p>
            <w:pPr>
              <w:ind w:left="760"/>
              <w:spacing w:after="0"/>
              <w:rPr>
                <w:sz w:val="20"/>
                <w:szCs w:val="20"/>
                <w:color w:val="auto"/>
              </w:rPr>
            </w:pPr>
            <w:r>
              <w:rPr>
                <w:rFonts w:ascii="Arial" w:cs="Arial" w:eastAsia="Arial" w:hAnsi="Arial"/>
                <w:sz w:val="22"/>
                <w:szCs w:val="22"/>
                <w:color w:val="auto"/>
                <w:w w:val="99"/>
              </w:rPr>
              <w:t>shall mean this Agreement, as the same shall be amended, restated,</w:t>
            </w:r>
          </w:p>
        </w:tc>
      </w:tr>
      <w:tr>
        <w:trPr>
          <w:trHeight w:val="274"/>
        </w:trPr>
        <w:tc>
          <w:tcPr>
            <w:tcW w:w="3840" w:type="dxa"/>
            <w:vAlign w:val="bottom"/>
          </w:tcPr>
          <w:p>
            <w:pPr>
              <w:spacing w:after="0"/>
              <w:rPr>
                <w:sz w:val="23"/>
                <w:szCs w:val="23"/>
                <w:color w:val="auto"/>
              </w:rPr>
            </w:pPr>
          </w:p>
        </w:tc>
        <w:tc>
          <w:tcPr>
            <w:tcW w:w="7420" w:type="dxa"/>
            <w:vAlign w:val="bottom"/>
          </w:tcPr>
          <w:p>
            <w:pPr>
              <w:ind w:left="760"/>
              <w:spacing w:after="0"/>
              <w:rPr>
                <w:sz w:val="20"/>
                <w:szCs w:val="20"/>
                <w:color w:val="auto"/>
              </w:rPr>
            </w:pPr>
            <w:r>
              <w:rPr>
                <w:rFonts w:ascii="Arial" w:cs="Arial" w:eastAsia="Arial" w:hAnsi="Arial"/>
                <w:sz w:val="22"/>
                <w:szCs w:val="22"/>
                <w:color w:val="auto"/>
              </w:rPr>
              <w:t>modified or supplemented from time to time;</w:t>
            </w:r>
          </w:p>
        </w:tc>
      </w:tr>
      <w:tr>
        <w:trPr>
          <w:trHeight w:val="441"/>
        </w:trPr>
        <w:tc>
          <w:tcPr>
            <w:tcW w:w="384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Annex VI</w:t>
            </w:r>
            <w:r>
              <w:rPr>
                <w:rFonts w:ascii="Arial" w:cs="Arial" w:eastAsia="Arial" w:hAnsi="Arial"/>
                <w:sz w:val="22"/>
                <w:szCs w:val="22"/>
                <w:color w:val="auto"/>
              </w:rPr>
              <w:t>”</w:t>
            </w:r>
          </w:p>
        </w:tc>
        <w:tc>
          <w:tcPr>
            <w:tcW w:w="7420" w:type="dxa"/>
            <w:vAlign w:val="bottom"/>
          </w:tcPr>
          <w:p>
            <w:pPr>
              <w:ind w:left="760"/>
              <w:spacing w:after="0"/>
              <w:rPr>
                <w:sz w:val="20"/>
                <w:szCs w:val="20"/>
                <w:color w:val="auto"/>
              </w:rPr>
            </w:pPr>
            <w:r>
              <w:rPr>
                <w:rFonts w:ascii="Arial" w:cs="Arial" w:eastAsia="Arial" w:hAnsi="Arial"/>
                <w:sz w:val="22"/>
                <w:szCs w:val="22"/>
                <w:color w:val="auto"/>
                <w:w w:val="91"/>
              </w:rPr>
              <w:t>shall mean the Regulations for the Prevention of Air Pollution from Ships to</w:t>
            </w:r>
          </w:p>
        </w:tc>
      </w:tr>
      <w:tr>
        <w:trPr>
          <w:trHeight w:val="243"/>
        </w:trPr>
        <w:tc>
          <w:tcPr>
            <w:tcW w:w="3840" w:type="dxa"/>
            <w:vAlign w:val="bottom"/>
          </w:tcPr>
          <w:p>
            <w:pPr>
              <w:spacing w:after="0"/>
              <w:rPr>
                <w:sz w:val="21"/>
                <w:szCs w:val="21"/>
                <w:color w:val="auto"/>
              </w:rPr>
            </w:pPr>
          </w:p>
        </w:tc>
        <w:tc>
          <w:tcPr>
            <w:tcW w:w="7420" w:type="dxa"/>
            <w:vAlign w:val="bottom"/>
          </w:tcPr>
          <w:p>
            <w:pPr>
              <w:ind w:left="760"/>
              <w:spacing w:after="0" w:line="243" w:lineRule="exact"/>
              <w:rPr>
                <w:sz w:val="20"/>
                <w:szCs w:val="20"/>
                <w:color w:val="auto"/>
              </w:rPr>
            </w:pPr>
            <w:r>
              <w:rPr>
                <w:rFonts w:ascii="Arial" w:cs="Arial" w:eastAsia="Arial" w:hAnsi="Arial"/>
                <w:sz w:val="22"/>
                <w:szCs w:val="22"/>
                <w:color w:val="auto"/>
                <w:w w:val="90"/>
              </w:rPr>
              <w:t>the International Convention for the Prevention of Pollution from Ships 1973</w:t>
            </w:r>
          </w:p>
        </w:tc>
      </w:tr>
      <w:tr>
        <w:trPr>
          <w:trHeight w:val="274"/>
        </w:trPr>
        <w:tc>
          <w:tcPr>
            <w:tcW w:w="3840" w:type="dxa"/>
            <w:vAlign w:val="bottom"/>
          </w:tcPr>
          <w:p>
            <w:pPr>
              <w:spacing w:after="0"/>
              <w:rPr>
                <w:sz w:val="23"/>
                <w:szCs w:val="23"/>
                <w:color w:val="auto"/>
              </w:rPr>
            </w:pPr>
          </w:p>
        </w:tc>
        <w:tc>
          <w:tcPr>
            <w:tcW w:w="7420" w:type="dxa"/>
            <w:vAlign w:val="bottom"/>
          </w:tcPr>
          <w:p>
            <w:pPr>
              <w:ind w:left="760"/>
              <w:spacing w:after="0"/>
              <w:rPr>
                <w:sz w:val="20"/>
                <w:szCs w:val="20"/>
                <w:color w:val="auto"/>
              </w:rPr>
            </w:pPr>
            <w:r>
              <w:rPr>
                <w:rFonts w:ascii="Arial" w:cs="Arial" w:eastAsia="Arial" w:hAnsi="Arial"/>
                <w:sz w:val="22"/>
                <w:szCs w:val="22"/>
                <w:color w:val="auto"/>
              </w:rPr>
              <w:t>(as modified in 1978 and 1997);</w:t>
            </w:r>
          </w:p>
        </w:tc>
      </w:tr>
      <w:tr>
        <w:trPr>
          <w:trHeight w:val="698"/>
        </w:trPr>
        <w:tc>
          <w:tcPr>
            <w:tcW w:w="384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Anti-Money Laundering Laws</w:t>
            </w:r>
            <w:r>
              <w:rPr>
                <w:rFonts w:ascii="Arial" w:cs="Arial" w:eastAsia="Arial" w:hAnsi="Arial"/>
                <w:sz w:val="22"/>
                <w:szCs w:val="22"/>
                <w:color w:val="auto"/>
              </w:rPr>
              <w:t>”</w:t>
            </w:r>
          </w:p>
        </w:tc>
        <w:tc>
          <w:tcPr>
            <w:tcW w:w="7420" w:type="dxa"/>
            <w:vAlign w:val="bottom"/>
          </w:tcPr>
          <w:p>
            <w:pPr>
              <w:ind w:left="760"/>
              <w:spacing w:after="0"/>
              <w:rPr>
                <w:sz w:val="20"/>
                <w:szCs w:val="20"/>
                <w:color w:val="auto"/>
              </w:rPr>
            </w:pPr>
            <w:r>
              <w:rPr>
                <w:rFonts w:ascii="Arial" w:cs="Arial" w:eastAsia="Arial" w:hAnsi="Arial"/>
                <w:sz w:val="22"/>
                <w:szCs w:val="22"/>
                <w:color w:val="auto"/>
              </w:rPr>
              <w:t>shall mean (i) any U.S. anti-money laundering laws and regulations,</w:t>
            </w:r>
          </w:p>
        </w:tc>
      </w:tr>
      <w:tr>
        <w:trPr>
          <w:trHeight w:val="243"/>
        </w:trPr>
        <w:tc>
          <w:tcPr>
            <w:tcW w:w="3840" w:type="dxa"/>
            <w:vAlign w:val="bottom"/>
          </w:tcPr>
          <w:p>
            <w:pPr>
              <w:spacing w:after="0"/>
              <w:rPr>
                <w:sz w:val="21"/>
                <w:szCs w:val="21"/>
                <w:color w:val="auto"/>
              </w:rPr>
            </w:pPr>
          </w:p>
        </w:tc>
        <w:tc>
          <w:tcPr>
            <w:tcW w:w="7420" w:type="dxa"/>
            <w:vAlign w:val="bottom"/>
          </w:tcPr>
          <w:p>
            <w:pPr>
              <w:ind w:left="760"/>
              <w:spacing w:after="0" w:line="243" w:lineRule="exact"/>
              <w:rPr>
                <w:sz w:val="20"/>
                <w:szCs w:val="20"/>
                <w:color w:val="auto"/>
              </w:rPr>
            </w:pPr>
            <w:r>
              <w:rPr>
                <w:rFonts w:ascii="Arial" w:cs="Arial" w:eastAsia="Arial" w:hAnsi="Arial"/>
                <w:sz w:val="22"/>
                <w:szCs w:val="22"/>
                <w:color w:val="auto"/>
                <w:w w:val="94"/>
              </w:rPr>
              <w:t>including the U.S. Money Laundering Control Act of 1986 (i.e., 18 U.S.C.</w:t>
            </w:r>
          </w:p>
        </w:tc>
      </w:tr>
      <w:tr>
        <w:trPr>
          <w:trHeight w:val="243"/>
        </w:trPr>
        <w:tc>
          <w:tcPr>
            <w:tcW w:w="3840" w:type="dxa"/>
            <w:vAlign w:val="bottom"/>
          </w:tcPr>
          <w:p>
            <w:pPr>
              <w:spacing w:after="0"/>
              <w:rPr>
                <w:sz w:val="21"/>
                <w:szCs w:val="21"/>
                <w:color w:val="auto"/>
              </w:rPr>
            </w:pPr>
          </w:p>
        </w:tc>
        <w:tc>
          <w:tcPr>
            <w:tcW w:w="7420" w:type="dxa"/>
            <w:vAlign w:val="bottom"/>
          </w:tcPr>
          <w:p>
            <w:pPr>
              <w:ind w:left="760"/>
              <w:spacing w:after="0" w:line="243" w:lineRule="exact"/>
              <w:rPr>
                <w:sz w:val="20"/>
                <w:szCs w:val="20"/>
                <w:color w:val="auto"/>
              </w:rPr>
            </w:pPr>
            <w:r>
              <w:rPr>
                <w:rFonts w:ascii="Arial" w:cs="Arial" w:eastAsia="Arial" w:hAnsi="Arial"/>
                <w:sz w:val="22"/>
                <w:szCs w:val="22"/>
                <w:color w:val="auto"/>
                <w:w w:val="87"/>
              </w:rPr>
              <w:t>§§ 1956 and 1957), and the Bank Secrecy Act, as amended by the Patriot Act,</w:t>
            </w:r>
          </w:p>
        </w:tc>
      </w:tr>
      <w:tr>
        <w:trPr>
          <w:trHeight w:val="243"/>
        </w:trPr>
        <w:tc>
          <w:tcPr>
            <w:tcW w:w="3840" w:type="dxa"/>
            <w:vAlign w:val="bottom"/>
          </w:tcPr>
          <w:p>
            <w:pPr>
              <w:spacing w:after="0"/>
              <w:rPr>
                <w:sz w:val="21"/>
                <w:szCs w:val="21"/>
                <w:color w:val="auto"/>
              </w:rPr>
            </w:pPr>
          </w:p>
        </w:tc>
        <w:tc>
          <w:tcPr>
            <w:tcW w:w="7420" w:type="dxa"/>
            <w:vAlign w:val="bottom"/>
          </w:tcPr>
          <w:p>
            <w:pPr>
              <w:ind w:left="760"/>
              <w:spacing w:after="0" w:line="243" w:lineRule="exact"/>
              <w:rPr>
                <w:sz w:val="20"/>
                <w:szCs w:val="20"/>
                <w:color w:val="auto"/>
              </w:rPr>
            </w:pPr>
            <w:r>
              <w:rPr>
                <w:rFonts w:ascii="Arial" w:cs="Arial" w:eastAsia="Arial" w:hAnsi="Arial"/>
                <w:sz w:val="22"/>
                <w:szCs w:val="22"/>
                <w:color w:val="auto"/>
              </w:rPr>
              <w:t>and implementing regulations, and (ii) all other applicable non-</w:t>
            </w:r>
          </w:p>
        </w:tc>
      </w:tr>
      <w:tr>
        <w:trPr>
          <w:trHeight w:val="274"/>
        </w:trPr>
        <w:tc>
          <w:tcPr>
            <w:tcW w:w="3840" w:type="dxa"/>
            <w:vAlign w:val="bottom"/>
          </w:tcPr>
          <w:p>
            <w:pPr>
              <w:spacing w:after="0"/>
              <w:rPr>
                <w:sz w:val="23"/>
                <w:szCs w:val="23"/>
                <w:color w:val="auto"/>
              </w:rPr>
            </w:pPr>
          </w:p>
        </w:tc>
        <w:tc>
          <w:tcPr>
            <w:tcW w:w="7420" w:type="dxa"/>
            <w:vAlign w:val="bottom"/>
          </w:tcPr>
          <w:p>
            <w:pPr>
              <w:ind w:left="760"/>
              <w:spacing w:after="0"/>
              <w:rPr>
                <w:sz w:val="20"/>
                <w:szCs w:val="20"/>
                <w:color w:val="auto"/>
              </w:rPr>
            </w:pPr>
            <w:r>
              <w:rPr>
                <w:rFonts w:ascii="Arial" w:cs="Arial" w:eastAsia="Arial" w:hAnsi="Arial"/>
                <w:sz w:val="22"/>
                <w:szCs w:val="22"/>
                <w:color w:val="auto"/>
              </w:rPr>
              <w:t>U.S. anti-money laundering laws and regulations;</w:t>
            </w:r>
          </w:p>
        </w:tc>
      </w:tr>
      <w:tr>
        <w:trPr>
          <w:trHeight w:val="698"/>
        </w:trPr>
        <w:tc>
          <w:tcPr>
            <w:tcW w:w="384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Rate</w:t>
            </w:r>
            <w:r>
              <w:rPr>
                <w:rFonts w:ascii="Arial" w:cs="Arial" w:eastAsia="Arial" w:hAnsi="Arial"/>
                <w:sz w:val="22"/>
                <w:szCs w:val="22"/>
                <w:color w:val="auto"/>
              </w:rPr>
              <w:t>”</w:t>
            </w:r>
          </w:p>
        </w:tc>
        <w:tc>
          <w:tcPr>
            <w:tcW w:w="7420" w:type="dxa"/>
            <w:vAlign w:val="bottom"/>
          </w:tcPr>
          <w:p>
            <w:pPr>
              <w:ind w:left="760"/>
              <w:spacing w:after="0"/>
              <w:rPr>
                <w:sz w:val="20"/>
                <w:szCs w:val="20"/>
                <w:color w:val="auto"/>
              </w:rPr>
            </w:pPr>
            <w:r>
              <w:rPr>
                <w:rFonts w:ascii="Arial" w:cs="Arial" w:eastAsia="Arial" w:hAnsi="Arial"/>
                <w:sz w:val="22"/>
                <w:szCs w:val="22"/>
                <w:color w:val="auto"/>
                <w:w w:val="99"/>
              </w:rPr>
              <w:t>shall mean any rate of interest applicable to an Advance from time to</w:t>
            </w:r>
          </w:p>
        </w:tc>
      </w:tr>
      <w:tr>
        <w:trPr>
          <w:trHeight w:val="274"/>
        </w:trPr>
        <w:tc>
          <w:tcPr>
            <w:tcW w:w="3840" w:type="dxa"/>
            <w:vAlign w:val="bottom"/>
          </w:tcPr>
          <w:p>
            <w:pPr>
              <w:spacing w:after="0"/>
              <w:rPr>
                <w:sz w:val="23"/>
                <w:szCs w:val="23"/>
                <w:color w:val="auto"/>
              </w:rPr>
            </w:pPr>
          </w:p>
        </w:tc>
        <w:tc>
          <w:tcPr>
            <w:tcW w:w="7420" w:type="dxa"/>
            <w:vAlign w:val="bottom"/>
          </w:tcPr>
          <w:p>
            <w:pPr>
              <w:ind w:left="760"/>
              <w:spacing w:after="0"/>
              <w:rPr>
                <w:sz w:val="20"/>
                <w:szCs w:val="20"/>
                <w:color w:val="auto"/>
              </w:rPr>
            </w:pPr>
            <w:r>
              <w:rPr>
                <w:rFonts w:ascii="Arial" w:cs="Arial" w:eastAsia="Arial" w:hAnsi="Arial"/>
                <w:sz w:val="22"/>
                <w:szCs w:val="22"/>
                <w:color w:val="auto"/>
              </w:rPr>
              <w:t>time pursuant to Section 6.1;</w:t>
            </w:r>
          </w:p>
        </w:tc>
      </w:tr>
      <w:tr>
        <w:trPr>
          <w:trHeight w:val="575"/>
        </w:trPr>
        <w:tc>
          <w:tcPr>
            <w:tcW w:w="3840" w:type="dxa"/>
            <w:vAlign w:val="bottom"/>
          </w:tcPr>
          <w:p>
            <w:pPr>
              <w:spacing w:after="0"/>
              <w:rPr>
                <w:sz w:val="24"/>
                <w:szCs w:val="24"/>
                <w:color w:val="auto"/>
              </w:rPr>
            </w:pPr>
          </w:p>
        </w:tc>
        <w:tc>
          <w:tcPr>
            <w:tcW w:w="7420" w:type="dxa"/>
            <w:vAlign w:val="bottom"/>
          </w:tcPr>
          <w:p>
            <w:pPr>
              <w:ind w:left="1740"/>
              <w:spacing w:after="0"/>
              <w:rPr>
                <w:sz w:val="20"/>
                <w:szCs w:val="20"/>
                <w:color w:val="auto"/>
              </w:rPr>
            </w:pPr>
            <w:r>
              <w:rPr>
                <w:rFonts w:ascii="Arial" w:cs="Arial" w:eastAsia="Arial" w:hAnsi="Arial"/>
                <w:sz w:val="20"/>
                <w:szCs w:val="20"/>
                <w:color w:val="auto"/>
              </w:rPr>
              <w:t>2</w:t>
            </w:r>
          </w:p>
        </w:tc>
      </w:tr>
      <w:tr>
        <w:trPr>
          <w:trHeight w:val="327"/>
        </w:trPr>
        <w:tc>
          <w:tcPr>
            <w:tcW w:w="3840" w:type="dxa"/>
            <w:vAlign w:val="bottom"/>
            <w:tcBorders>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7" w:right="319" w:bottom="1440" w:gutter="0" w:footer="0" w:header="0"/>
        </w:sectPr>
      </w:pPr>
    </w:p>
    <w:bookmarkStart w:id="140" w:name="page141"/>
    <w:bookmarkEnd w:id="140"/>
    <w:p>
      <w:pPr>
        <w:ind w:left="1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Approved Manager</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Arial" w:cs="Arial" w:eastAsia="Arial" w:hAnsi="Arial"/>
          <w:sz w:val="22"/>
          <w:szCs w:val="22"/>
          <w:color w:val="auto"/>
        </w:rPr>
        <w:t>shall mean SEACOR Marine LLC or any other wholly- owned controlled subsidiary of SEACOR Marine Holdings Inc. selected by Borrowers as manager of the Vessels;</w:t>
      </w:r>
    </w:p>
    <w:p>
      <w:pPr>
        <w:spacing w:after="0" w:line="20" w:lineRule="exact"/>
        <w:rPr>
          <w:sz w:val="20"/>
          <w:szCs w:val="20"/>
          <w:color w:val="auto"/>
        </w:rPr>
      </w:pPr>
      <w:r>
        <w:rPr>
          <w:sz w:val="20"/>
          <w:szCs w:val="20"/>
          <w:color w:val="auto"/>
        </w:rPr>
        <w:br w:type="column"/>
      </w:r>
    </w:p>
    <w:p>
      <w:pPr>
        <w:jc w:val="both"/>
        <w:ind w:right="20" w:hanging="49"/>
        <w:spacing w:after="0" w:line="328" w:lineRule="auto"/>
        <w:rPr>
          <w:sz w:val="20"/>
          <w:szCs w:val="20"/>
          <w:color w:val="auto"/>
        </w:rPr>
      </w:pPr>
      <w:r>
        <w:rPr>
          <w:rFonts w:ascii="Arial" w:cs="Arial" w:eastAsia="Arial" w:hAnsi="Arial"/>
          <w:sz w:val="19"/>
          <w:szCs w:val="19"/>
          <w:color w:val="auto"/>
        </w:rPr>
        <w:t>and the</w:t>
      </w:r>
    </w:p>
    <w:p>
      <w:pPr>
        <w:spacing w:after="0" w:line="361" w:lineRule="exact"/>
        <w:rPr>
          <w:sz w:val="20"/>
          <w:szCs w:val="20"/>
          <w:color w:val="auto"/>
        </w:rPr>
      </w:pPr>
    </w:p>
    <w:p>
      <w:pPr>
        <w:sectPr>
          <w:pgSz w:w="11900" w:h="16838" w:orient="portrait"/>
          <w:cols w:equalWidth="0" w:num="3">
            <w:col w:w="3880" w:space="720"/>
            <w:col w:w="6260" w:space="100"/>
            <w:col w:w="300"/>
          </w:cols>
          <w:pgMar w:left="320" w:top="436" w:right="319" w:bottom="1440" w:gutter="0" w:footer="0" w:header="0"/>
        </w:sectPr>
      </w:pPr>
    </w:p>
    <w:p>
      <w:pPr>
        <w:spacing w:after="0" w:line="223" w:lineRule="exact"/>
        <w:rPr>
          <w:sz w:val="20"/>
          <w:szCs w:val="20"/>
          <w:color w:val="auto"/>
        </w:rPr>
      </w:pPr>
    </w:p>
    <w:p>
      <w:pPr>
        <w:ind w:left="1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Approved Manager’s Undertaking(s)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right="220"/>
        <w:spacing w:after="0"/>
        <w:rPr>
          <w:sz w:val="20"/>
          <w:szCs w:val="20"/>
          <w:color w:val="auto"/>
        </w:rPr>
      </w:pPr>
      <w:r>
        <w:rPr>
          <w:rFonts w:ascii="Arial" w:cs="Arial" w:eastAsia="Arial" w:hAnsi="Arial"/>
          <w:sz w:val="22"/>
          <w:szCs w:val="22"/>
          <w:color w:val="auto"/>
        </w:rPr>
        <w:t>shall mean each of the undertakings made or to be made by the Approved Manager in favor of the Lenders in respect of a Vessel, substantially in the form set out in Exhibit K;</w:t>
      </w:r>
    </w:p>
    <w:p>
      <w:pPr>
        <w:spacing w:after="0" w:line="200" w:lineRule="exact"/>
        <w:rPr>
          <w:sz w:val="20"/>
          <w:szCs w:val="20"/>
          <w:color w:val="auto"/>
        </w:rPr>
      </w:pPr>
    </w:p>
    <w:p>
      <w:pPr>
        <w:sectPr>
          <w:pgSz w:w="11900" w:h="16838" w:orient="portrait"/>
          <w:cols w:equalWidth="0" w:num="2">
            <w:col w:w="3880" w:space="720"/>
            <w:col w:w="6660"/>
          </w:cols>
          <w:pgMar w:left="320" w:top="436" w:right="319" w:bottom="1440" w:gutter="0" w:footer="0" w:header="0"/>
          <w:type w:val="continuous"/>
        </w:sectPr>
      </w:pPr>
    </w:p>
    <w:p>
      <w:pPr>
        <w:spacing w:after="0" w:line="102" w:lineRule="exact"/>
        <w:rPr>
          <w:sz w:val="20"/>
          <w:szCs w:val="20"/>
          <w:color w:val="auto"/>
        </w:rPr>
      </w:pPr>
    </w:p>
    <w:p>
      <w:pPr>
        <w:ind w:left="1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Assigned Moneys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shall mean any and all sums assigned to the Security Trustee on behalf of the Lenders pursuant to the Earnings Assignment and the Insurances Assignment;</w:t>
      </w:r>
    </w:p>
    <w:p>
      <w:pPr>
        <w:spacing w:after="0" w:line="194" w:lineRule="exact"/>
        <w:rPr>
          <w:sz w:val="20"/>
          <w:szCs w:val="20"/>
          <w:color w:val="auto"/>
        </w:rPr>
      </w:pPr>
    </w:p>
    <w:p>
      <w:pPr>
        <w:sectPr>
          <w:pgSz w:w="11900" w:h="16838" w:orient="portrait"/>
          <w:cols w:equalWidth="0" w:num="2">
            <w:col w:w="3880" w:space="720"/>
            <w:col w:w="6660"/>
          </w:cols>
          <w:pgMar w:left="320" w:top="436" w:right="319" w:bottom="1440" w:gutter="0" w:footer="0" w:header="0"/>
          <w:type w:val="continuous"/>
        </w:sectPr>
      </w:pPr>
    </w:p>
    <w:p>
      <w:pPr>
        <w:ind w:left="1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Assignment and Assumption Agreement(s)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328" w:lineRule="auto"/>
        <w:rPr>
          <w:sz w:val="20"/>
          <w:szCs w:val="20"/>
          <w:color w:val="auto"/>
        </w:rPr>
      </w:pPr>
      <w:r>
        <w:rPr>
          <w:rFonts w:ascii="Arial" w:cs="Arial" w:eastAsia="Arial" w:hAnsi="Arial"/>
          <w:sz w:val="19"/>
          <w:szCs w:val="19"/>
          <w:color w:val="auto"/>
        </w:rPr>
        <w:t>shall mean any Assignment and Assumption Agreement(s) pursuant to Section 12 substantially in the form set out in Exhibit 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executed</w:t>
      </w:r>
    </w:p>
    <w:p>
      <w:pPr>
        <w:spacing w:after="0" w:line="578" w:lineRule="exact"/>
        <w:rPr>
          <w:sz w:val="20"/>
          <w:szCs w:val="20"/>
          <w:color w:val="auto"/>
        </w:rPr>
      </w:pPr>
    </w:p>
    <w:p>
      <w:pPr>
        <w:sectPr>
          <w:pgSz w:w="11900" w:h="16838" w:orient="portrait"/>
          <w:cols w:equalWidth="0" w:num="3">
            <w:col w:w="4180" w:space="420"/>
            <w:col w:w="5840" w:space="20"/>
            <w:col w:w="800"/>
          </w:cols>
          <w:pgMar w:left="320" w:top="436" w:right="319" w:bottom="1440" w:gutter="0" w:footer="0" w:header="0"/>
          <w:type w:val="continuous"/>
        </w:sectPr>
      </w:pPr>
    </w:p>
    <w:p>
      <w:pPr>
        <w:spacing w:after="0" w:line="155" w:lineRule="exact"/>
        <w:rPr>
          <w:sz w:val="20"/>
          <w:szCs w:val="20"/>
          <w:color w:val="auto"/>
        </w:rPr>
      </w:pPr>
    </w:p>
    <w:p>
      <w:pPr>
        <w:ind w:left="1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Assignments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shall mean the Earnings Assignments and the Insurances Assignments;</w:t>
      </w:r>
    </w:p>
    <w:p>
      <w:pPr>
        <w:spacing w:after="0" w:line="200" w:lineRule="exact"/>
        <w:rPr>
          <w:sz w:val="20"/>
          <w:szCs w:val="20"/>
          <w:color w:val="auto"/>
        </w:rPr>
      </w:pPr>
    </w:p>
    <w:p>
      <w:pPr>
        <w:sectPr>
          <w:pgSz w:w="11900" w:h="16838" w:orient="portrait"/>
          <w:cols w:equalWidth="0" w:num="2">
            <w:col w:w="3880" w:space="720"/>
            <w:col w:w="6660"/>
          </w:cols>
          <w:pgMar w:left="320" w:top="436" w:right="319" w:bottom="1440" w:gutter="0" w:footer="0" w:header="0"/>
          <w:type w:val="continuous"/>
        </w:sectPr>
      </w:pPr>
    </w:p>
    <w:p>
      <w:pPr>
        <w:spacing w:after="0" w:line="291" w:lineRule="exact"/>
        <w:rPr>
          <w:sz w:val="20"/>
          <w:szCs w:val="20"/>
          <w:color w:val="auto"/>
        </w:rPr>
      </w:pPr>
    </w:p>
    <w:p>
      <w:pPr>
        <w:ind w:left="1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Available Tenor</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color w:val="auto"/>
        </w:rPr>
        <w:t>shall have the meaning given thereto in Section 6.4(e);</w:t>
      </w:r>
    </w:p>
    <w:p>
      <w:pPr>
        <w:spacing w:after="0" w:line="200" w:lineRule="exact"/>
        <w:rPr>
          <w:sz w:val="20"/>
          <w:szCs w:val="20"/>
          <w:color w:val="auto"/>
        </w:rPr>
      </w:pPr>
    </w:p>
    <w:p>
      <w:pPr>
        <w:sectPr>
          <w:pgSz w:w="11900" w:h="16838" w:orient="portrait"/>
          <w:cols w:equalWidth="0" w:num="2">
            <w:col w:w="3880" w:space="720"/>
            <w:col w:w="6660"/>
          </w:cols>
          <w:pgMar w:left="320" w:top="436" w:right="319" w:bottom="1440" w:gutter="0" w:footer="0" w:header="0"/>
          <w:type w:val="continuous"/>
        </w:sectPr>
      </w:pPr>
    </w:p>
    <w:p>
      <w:pPr>
        <w:spacing w:after="0" w:line="35" w:lineRule="exact"/>
        <w:rPr>
          <w:sz w:val="20"/>
          <w:szCs w:val="20"/>
          <w:color w:val="auto"/>
        </w:rPr>
      </w:pPr>
    </w:p>
    <w:p>
      <w:pPr>
        <w:ind w:left="1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Bail-In Action</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shall mean the exercise of any Write-down and Conversion Powers.</w:t>
      </w:r>
    </w:p>
    <w:p>
      <w:pPr>
        <w:spacing w:after="0" w:line="216" w:lineRule="exact"/>
        <w:rPr>
          <w:sz w:val="20"/>
          <w:szCs w:val="20"/>
          <w:color w:val="auto"/>
        </w:rPr>
      </w:pPr>
    </w:p>
    <w:p>
      <w:pPr>
        <w:sectPr>
          <w:pgSz w:w="11900" w:h="16838" w:orient="portrait"/>
          <w:cols w:equalWidth="0" w:num="2">
            <w:col w:w="3880" w:space="720"/>
            <w:col w:w="6660"/>
          </w:cols>
          <w:pgMar w:left="320" w:top="436" w:right="319" w:bottom="1440" w:gutter="0" w:footer="0" w:header="0"/>
          <w:type w:val="continuous"/>
        </w:sectPr>
      </w:pPr>
    </w:p>
    <w:p>
      <w:pPr>
        <w:spacing w:after="0" w:line="274"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“Bail-In Legislation”</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shall mean:</w:t>
      </w:r>
    </w:p>
    <w:p>
      <w:pPr>
        <w:spacing w:after="0" w:line="200" w:lineRule="exact"/>
        <w:rPr>
          <w:sz w:val="20"/>
          <w:szCs w:val="20"/>
          <w:color w:val="auto"/>
        </w:rPr>
      </w:pPr>
    </w:p>
    <w:p>
      <w:pPr>
        <w:sectPr>
          <w:pgSz w:w="11900" w:h="16838" w:orient="portrait"/>
          <w:cols w:equalWidth="0" w:num="2">
            <w:col w:w="3880" w:space="720"/>
            <w:col w:w="6660"/>
          </w:cols>
          <w:pgMar w:left="320" w:top="436" w:right="319" w:bottom="1440" w:gutter="0" w:footer="0" w:header="0"/>
          <w:type w:val="continuous"/>
        </w:sectPr>
      </w:pPr>
    </w:p>
    <w:p>
      <w:pPr>
        <w:spacing w:after="0" w:line="41" w:lineRule="exact"/>
        <w:rPr>
          <w:sz w:val="20"/>
          <w:szCs w:val="20"/>
          <w:color w:val="auto"/>
        </w:rPr>
      </w:pPr>
    </w:p>
    <w:p>
      <w:pPr>
        <w:jc w:val="both"/>
        <w:ind w:left="4600" w:right="20"/>
        <w:spacing w:after="0" w:line="282" w:lineRule="auto"/>
        <w:rPr>
          <w:sz w:val="20"/>
          <w:szCs w:val="20"/>
          <w:color w:val="auto"/>
        </w:rPr>
      </w:pPr>
      <w:r>
        <w:rPr>
          <w:rFonts w:ascii="Arial" w:cs="Arial" w:eastAsia="Arial" w:hAnsi="Arial"/>
          <w:sz w:val="19"/>
          <w:szCs w:val="19"/>
          <w:color w:val="auto"/>
        </w:rPr>
        <w:t>(a)in relation to an EEA Member Country which has implemented, or which at any time implements, Article 55 of Directive 2014/59/EU establishing a framework for the recovery and resolution of credit institutions and investment firms, the relevant implementing law or regulation as described in the EU Bail-In Legislation Schedule from time to time; and</w:t>
      </w:r>
    </w:p>
    <w:p>
      <w:pPr>
        <w:spacing w:after="0" w:line="147" w:lineRule="exact"/>
        <w:rPr>
          <w:sz w:val="20"/>
          <w:szCs w:val="20"/>
          <w:color w:val="auto"/>
        </w:rPr>
      </w:pPr>
    </w:p>
    <w:p>
      <w:pPr>
        <w:jc w:val="both"/>
        <w:ind w:left="4600" w:right="20"/>
        <w:spacing w:after="0" w:line="257" w:lineRule="auto"/>
        <w:rPr>
          <w:sz w:val="20"/>
          <w:szCs w:val="20"/>
          <w:color w:val="auto"/>
        </w:rPr>
      </w:pPr>
      <w:r>
        <w:rPr>
          <w:rFonts w:ascii="Arial" w:cs="Arial" w:eastAsia="Arial" w:hAnsi="Arial"/>
          <w:sz w:val="21"/>
          <w:szCs w:val="21"/>
          <w:color w:val="auto"/>
        </w:rPr>
        <w:t>(b)in relation to any other state, any analogous law or regulation from time to time which requires contractual recognition of any Write-down and Conversion Powers contained in that law or regulation;</w:t>
      </w:r>
    </w:p>
    <w:p>
      <w:pPr>
        <w:sectPr>
          <w:pgSz w:w="11900" w:h="16838" w:orient="portrait"/>
          <w:cols w:equalWidth="0" w:num="1">
            <w:col w:w="11260"/>
          </w:cols>
          <w:pgMar w:left="320" w:top="43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Banking Day(s)</w:t>
            </w:r>
            <w:r>
              <w:rPr>
                <w:rFonts w:ascii="Arial" w:cs="Arial" w:eastAsia="Arial" w:hAnsi="Arial"/>
                <w:sz w:val="22"/>
                <w:szCs w:val="22"/>
                <w:color w:val="auto"/>
              </w:rPr>
              <w:t>”</w:t>
            </w:r>
          </w:p>
        </w:tc>
        <w:tc>
          <w:tcPr>
            <w:tcW w:w="7660" w:type="dxa"/>
            <w:vAlign w:val="bottom"/>
          </w:tcPr>
          <w:p>
            <w:pPr>
              <w:ind w:left="1000"/>
              <w:spacing w:after="0"/>
              <w:rPr>
                <w:sz w:val="20"/>
                <w:szCs w:val="20"/>
                <w:color w:val="auto"/>
              </w:rPr>
            </w:pPr>
            <w:r>
              <w:rPr>
                <w:rFonts w:ascii="Arial" w:cs="Arial" w:eastAsia="Arial" w:hAnsi="Arial"/>
                <w:sz w:val="22"/>
                <w:szCs w:val="22"/>
                <w:color w:val="auto"/>
                <w:w w:val="89"/>
              </w:rPr>
              <w:t>shall mean any day that is not a Saturday, Sunday or other day on which (a)</w:t>
            </w:r>
          </w:p>
        </w:tc>
      </w:tr>
      <w:tr>
        <w:trPr>
          <w:trHeight w:val="243"/>
        </w:trPr>
        <w:tc>
          <w:tcPr>
            <w:tcW w:w="3600" w:type="dxa"/>
            <w:vAlign w:val="bottom"/>
          </w:tcPr>
          <w:p>
            <w:pPr>
              <w:spacing w:after="0"/>
              <w:rPr>
                <w:sz w:val="21"/>
                <w:szCs w:val="21"/>
                <w:color w:val="auto"/>
              </w:rPr>
            </w:pPr>
          </w:p>
        </w:tc>
        <w:tc>
          <w:tcPr>
            <w:tcW w:w="7660" w:type="dxa"/>
            <w:vAlign w:val="bottom"/>
          </w:tcPr>
          <w:p>
            <w:pPr>
              <w:ind w:left="1000"/>
              <w:spacing w:after="0" w:line="243" w:lineRule="exact"/>
              <w:rPr>
                <w:sz w:val="20"/>
                <w:szCs w:val="20"/>
                <w:color w:val="auto"/>
              </w:rPr>
            </w:pPr>
            <w:r>
              <w:rPr>
                <w:rFonts w:ascii="Arial" w:cs="Arial" w:eastAsia="Arial" w:hAnsi="Arial"/>
                <w:sz w:val="22"/>
                <w:szCs w:val="22"/>
                <w:color w:val="auto"/>
                <w:w w:val="90"/>
              </w:rPr>
              <w:t>banks in New York, New York and Oslo, Norway are authorized or required</w:t>
            </w:r>
          </w:p>
        </w:tc>
      </w:tr>
      <w:tr>
        <w:trPr>
          <w:trHeight w:val="243"/>
        </w:trPr>
        <w:tc>
          <w:tcPr>
            <w:tcW w:w="3600" w:type="dxa"/>
            <w:vAlign w:val="bottom"/>
          </w:tcPr>
          <w:p>
            <w:pPr>
              <w:spacing w:after="0"/>
              <w:rPr>
                <w:sz w:val="21"/>
                <w:szCs w:val="21"/>
                <w:color w:val="auto"/>
              </w:rPr>
            </w:pPr>
          </w:p>
        </w:tc>
        <w:tc>
          <w:tcPr>
            <w:tcW w:w="7660" w:type="dxa"/>
            <w:vAlign w:val="bottom"/>
          </w:tcPr>
          <w:p>
            <w:pPr>
              <w:ind w:left="1000"/>
              <w:spacing w:after="0" w:line="243" w:lineRule="exact"/>
              <w:rPr>
                <w:sz w:val="20"/>
                <w:szCs w:val="20"/>
                <w:color w:val="auto"/>
              </w:rPr>
            </w:pPr>
            <w:r>
              <w:rPr>
                <w:rFonts w:ascii="Arial" w:cs="Arial" w:eastAsia="Arial" w:hAnsi="Arial"/>
                <w:sz w:val="22"/>
                <w:szCs w:val="22"/>
                <w:color w:val="auto"/>
                <w:w w:val="92"/>
              </w:rPr>
              <w:t>by law to remain closed, or (b) banks are not generally open for dealing in</w:t>
            </w:r>
          </w:p>
        </w:tc>
      </w:tr>
      <w:tr>
        <w:trPr>
          <w:trHeight w:val="274"/>
        </w:trPr>
        <w:tc>
          <w:tcPr>
            <w:tcW w:w="3600" w:type="dxa"/>
            <w:vAlign w:val="bottom"/>
          </w:tcPr>
          <w:p>
            <w:pPr>
              <w:spacing w:after="0"/>
              <w:rPr>
                <w:sz w:val="23"/>
                <w:szCs w:val="23"/>
                <w:color w:val="auto"/>
              </w:rPr>
            </w:pPr>
          </w:p>
        </w:tc>
        <w:tc>
          <w:tcPr>
            <w:tcW w:w="7660" w:type="dxa"/>
            <w:vAlign w:val="bottom"/>
          </w:tcPr>
          <w:p>
            <w:pPr>
              <w:ind w:left="1000"/>
              <w:spacing w:after="0"/>
              <w:rPr>
                <w:sz w:val="20"/>
                <w:szCs w:val="20"/>
                <w:color w:val="auto"/>
              </w:rPr>
            </w:pPr>
            <w:r>
              <w:rPr>
                <w:rFonts w:ascii="Arial" w:cs="Arial" w:eastAsia="Arial" w:hAnsi="Arial"/>
                <w:sz w:val="22"/>
                <w:szCs w:val="22"/>
                <w:color w:val="auto"/>
              </w:rPr>
              <w:t>dollar deposits in the London interbank market;</w:t>
            </w:r>
          </w:p>
        </w:tc>
      </w:tr>
      <w:tr>
        <w:trPr>
          <w:trHeight w:val="729"/>
        </w:trPr>
        <w:tc>
          <w:tcPr>
            <w:tcW w:w="36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w:t>
            </w:r>
            <w:r>
              <w:rPr>
                <w:rFonts w:ascii="Arial" w:cs="Arial" w:eastAsia="Arial" w:hAnsi="Arial"/>
                <w:sz w:val="22"/>
                <w:szCs w:val="22"/>
                <w:color w:val="auto"/>
              </w:rPr>
              <w:t>”</w:t>
            </w:r>
          </w:p>
        </w:tc>
        <w:tc>
          <w:tcPr>
            <w:tcW w:w="7660" w:type="dxa"/>
            <w:vAlign w:val="bottom"/>
          </w:tcPr>
          <w:p>
            <w:pPr>
              <w:ind w:left="1000"/>
              <w:spacing w:after="0"/>
              <w:rPr>
                <w:sz w:val="20"/>
                <w:szCs w:val="20"/>
                <w:color w:val="auto"/>
              </w:rPr>
            </w:pPr>
            <w:r>
              <w:rPr>
                <w:rFonts w:ascii="Arial" w:cs="Arial" w:eastAsia="Arial" w:hAnsi="Arial"/>
                <w:sz w:val="22"/>
                <w:szCs w:val="22"/>
                <w:color w:val="auto"/>
              </w:rPr>
              <w:t>shall have the meaning given thereto in Section 6.4(e);</w:t>
            </w:r>
          </w:p>
        </w:tc>
      </w:tr>
      <w:tr>
        <w:trPr>
          <w:trHeight w:val="459"/>
        </w:trPr>
        <w:tc>
          <w:tcPr>
            <w:tcW w:w="36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Replacement</w:t>
            </w:r>
            <w:r>
              <w:rPr>
                <w:rFonts w:ascii="Arial" w:cs="Arial" w:eastAsia="Arial" w:hAnsi="Arial"/>
                <w:sz w:val="22"/>
                <w:szCs w:val="22"/>
                <w:color w:val="auto"/>
              </w:rPr>
              <w:t>”</w:t>
            </w:r>
          </w:p>
        </w:tc>
        <w:tc>
          <w:tcPr>
            <w:tcW w:w="7660" w:type="dxa"/>
            <w:vAlign w:val="bottom"/>
          </w:tcPr>
          <w:p>
            <w:pPr>
              <w:ind w:left="1000"/>
              <w:spacing w:after="0"/>
              <w:rPr>
                <w:sz w:val="20"/>
                <w:szCs w:val="20"/>
                <w:color w:val="auto"/>
              </w:rPr>
            </w:pPr>
            <w:r>
              <w:rPr>
                <w:rFonts w:ascii="Arial" w:cs="Arial" w:eastAsia="Arial" w:hAnsi="Arial"/>
                <w:sz w:val="22"/>
                <w:szCs w:val="22"/>
                <w:color w:val="auto"/>
              </w:rPr>
              <w:t>shall have the meaning given thereto in Section 6.4(e);</w:t>
            </w:r>
          </w:p>
        </w:tc>
      </w:tr>
      <w:tr>
        <w:trPr>
          <w:trHeight w:val="561"/>
        </w:trPr>
        <w:tc>
          <w:tcPr>
            <w:tcW w:w="3600" w:type="dxa"/>
            <w:vAlign w:val="bottom"/>
          </w:tcPr>
          <w:p>
            <w:pPr>
              <w:spacing w:after="0"/>
              <w:rPr>
                <w:sz w:val="24"/>
                <w:szCs w:val="24"/>
                <w:color w:val="auto"/>
              </w:rPr>
            </w:pPr>
          </w:p>
        </w:tc>
        <w:tc>
          <w:tcPr>
            <w:tcW w:w="7660" w:type="dxa"/>
            <w:vAlign w:val="bottom"/>
          </w:tcPr>
          <w:p>
            <w:pPr>
              <w:ind w:left="1980"/>
              <w:spacing w:after="0"/>
              <w:rPr>
                <w:sz w:val="20"/>
                <w:szCs w:val="20"/>
                <w:color w:val="auto"/>
              </w:rPr>
            </w:pPr>
            <w:r>
              <w:rPr>
                <w:rFonts w:ascii="Arial" w:cs="Arial" w:eastAsia="Arial" w:hAnsi="Arial"/>
                <w:sz w:val="20"/>
                <w:szCs w:val="20"/>
                <w:color w:val="auto"/>
              </w:rPr>
              <w:t>3</w:t>
            </w:r>
          </w:p>
        </w:tc>
      </w:tr>
      <w:tr>
        <w:trPr>
          <w:trHeight w:val="327"/>
        </w:trPr>
        <w:tc>
          <w:tcPr>
            <w:tcW w:w="3600" w:type="dxa"/>
            <w:vAlign w:val="bottom"/>
            <w:tcBorders>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36" w:right="319" w:bottom="1440" w:gutter="0" w:footer="0" w:header="0"/>
          <w:type w:val="continuous"/>
        </w:sectPr>
      </w:pPr>
    </w:p>
    <w:bookmarkStart w:id="141" w:name="page142"/>
    <w:bookmarkEnd w:id="141"/>
    <w:tbl>
      <w:tblPr>
        <w:tblLayout w:type="fixed"/>
        <w:tblInd w:w="100" w:type="dxa"/>
        <w:tblCellMar>
          <w:top w:w="0" w:type="dxa"/>
          <w:left w:w="0" w:type="dxa"/>
          <w:bottom w:w="0" w:type="dxa"/>
          <w:right w:w="0" w:type="dxa"/>
        </w:tblCellMar>
      </w:tblPr>
      <w:tr>
        <w:trPr>
          <w:trHeight w:val="280"/>
        </w:trPr>
        <w:tc>
          <w:tcPr>
            <w:tcW w:w="4060" w:type="dxa"/>
            <w:vAlign w:val="bottom"/>
          </w:tcPr>
          <w:p>
            <w:pPr>
              <w:spacing w:after="0"/>
              <w:rPr>
                <w:sz w:val="20"/>
                <w:szCs w:val="20"/>
                <w:color w:val="auto"/>
              </w:rPr>
            </w:pPr>
            <w:r>
              <w:rPr>
                <w:rFonts w:ascii="Arial" w:cs="Arial" w:eastAsia="Arial" w:hAnsi="Arial"/>
                <w:sz w:val="22"/>
                <w:szCs w:val="22"/>
                <w:color w:val="auto"/>
                <w:w w:val="99"/>
              </w:rPr>
              <w:t>“</w:t>
            </w:r>
            <w:r>
              <w:rPr>
                <w:rFonts w:ascii="Arial" w:cs="Arial" w:eastAsia="Arial" w:hAnsi="Arial"/>
                <w:sz w:val="22"/>
                <w:szCs w:val="22"/>
                <w:b w:val="1"/>
                <w:bCs w:val="1"/>
                <w:color w:val="auto"/>
                <w:w w:val="99"/>
              </w:rPr>
              <w:t>Benchmark Replacement Adjustment</w:t>
            </w:r>
            <w:r>
              <w:rPr>
                <w:rFonts w:ascii="Arial" w:cs="Arial" w:eastAsia="Arial" w:hAnsi="Arial"/>
                <w:sz w:val="22"/>
                <w:szCs w:val="22"/>
                <w:color w:val="auto"/>
                <w:w w:val="99"/>
              </w:rPr>
              <w:t>”</w:t>
            </w:r>
          </w:p>
        </w:tc>
        <w:tc>
          <w:tcPr>
            <w:tcW w:w="7080" w:type="dxa"/>
            <w:vAlign w:val="bottom"/>
            <w:gridSpan w:val="5"/>
          </w:tcPr>
          <w:p>
            <w:pPr>
              <w:ind w:left="440"/>
              <w:spacing w:after="0"/>
              <w:rPr>
                <w:sz w:val="20"/>
                <w:szCs w:val="20"/>
                <w:color w:val="auto"/>
              </w:rPr>
            </w:pPr>
            <w:r>
              <w:rPr>
                <w:rFonts w:ascii="Arial" w:cs="Arial" w:eastAsia="Arial" w:hAnsi="Arial"/>
                <w:sz w:val="22"/>
                <w:szCs w:val="22"/>
                <w:color w:val="auto"/>
              </w:rPr>
              <w:t>shall have the meaning given thereto in Section 6.4(e);</w:t>
            </w:r>
          </w:p>
        </w:tc>
      </w:tr>
      <w:tr>
        <w:trPr>
          <w:trHeight w:val="716"/>
        </w:trPr>
        <w:tc>
          <w:tcPr>
            <w:tcW w:w="40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Replacement Date</w:t>
            </w:r>
            <w:r>
              <w:rPr>
                <w:rFonts w:ascii="Arial" w:cs="Arial" w:eastAsia="Arial" w:hAnsi="Arial"/>
                <w:sz w:val="22"/>
                <w:szCs w:val="22"/>
                <w:color w:val="auto"/>
              </w:rPr>
              <w:t>”</w:t>
            </w:r>
          </w:p>
        </w:tc>
        <w:tc>
          <w:tcPr>
            <w:tcW w:w="7080" w:type="dxa"/>
            <w:vAlign w:val="bottom"/>
            <w:gridSpan w:val="5"/>
          </w:tcPr>
          <w:p>
            <w:pPr>
              <w:ind w:left="440"/>
              <w:spacing w:after="0"/>
              <w:rPr>
                <w:sz w:val="20"/>
                <w:szCs w:val="20"/>
                <w:color w:val="auto"/>
              </w:rPr>
            </w:pPr>
            <w:r>
              <w:rPr>
                <w:rFonts w:ascii="Arial" w:cs="Arial" w:eastAsia="Arial" w:hAnsi="Arial"/>
                <w:sz w:val="22"/>
                <w:szCs w:val="22"/>
                <w:color w:val="auto"/>
              </w:rPr>
              <w:t>shall have the meaning given thereto in Section 6.4(e);</w:t>
            </w:r>
          </w:p>
        </w:tc>
      </w:tr>
      <w:tr>
        <w:trPr>
          <w:trHeight w:val="445"/>
        </w:trPr>
        <w:tc>
          <w:tcPr>
            <w:tcW w:w="40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Transition Event</w:t>
            </w:r>
            <w:r>
              <w:rPr>
                <w:rFonts w:ascii="Arial" w:cs="Arial" w:eastAsia="Arial" w:hAnsi="Arial"/>
                <w:sz w:val="22"/>
                <w:szCs w:val="22"/>
                <w:color w:val="auto"/>
              </w:rPr>
              <w:t>”</w:t>
            </w:r>
          </w:p>
        </w:tc>
        <w:tc>
          <w:tcPr>
            <w:tcW w:w="7080" w:type="dxa"/>
            <w:vAlign w:val="bottom"/>
            <w:gridSpan w:val="5"/>
          </w:tcPr>
          <w:p>
            <w:pPr>
              <w:ind w:left="440"/>
              <w:spacing w:after="0"/>
              <w:rPr>
                <w:sz w:val="20"/>
                <w:szCs w:val="20"/>
                <w:color w:val="auto"/>
              </w:rPr>
            </w:pPr>
            <w:r>
              <w:rPr>
                <w:rFonts w:ascii="Arial" w:cs="Arial" w:eastAsia="Arial" w:hAnsi="Arial"/>
                <w:sz w:val="22"/>
                <w:szCs w:val="22"/>
                <w:color w:val="auto"/>
              </w:rPr>
              <w:t>shall have the meaning given thereto in Section 6.4(e);</w:t>
            </w:r>
          </w:p>
        </w:tc>
      </w:tr>
      <w:tr>
        <w:trPr>
          <w:trHeight w:val="486"/>
        </w:trPr>
        <w:tc>
          <w:tcPr>
            <w:tcW w:w="40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Transition Start Date</w:t>
            </w:r>
            <w:r>
              <w:rPr>
                <w:rFonts w:ascii="Arial" w:cs="Arial" w:eastAsia="Arial" w:hAnsi="Arial"/>
                <w:sz w:val="22"/>
                <w:szCs w:val="22"/>
                <w:color w:val="auto"/>
              </w:rPr>
              <w:t>”</w:t>
            </w:r>
          </w:p>
        </w:tc>
        <w:tc>
          <w:tcPr>
            <w:tcW w:w="7080" w:type="dxa"/>
            <w:vAlign w:val="bottom"/>
            <w:gridSpan w:val="5"/>
          </w:tcPr>
          <w:p>
            <w:pPr>
              <w:ind w:left="440"/>
              <w:spacing w:after="0"/>
              <w:rPr>
                <w:sz w:val="20"/>
                <w:szCs w:val="20"/>
                <w:color w:val="auto"/>
              </w:rPr>
            </w:pPr>
            <w:r>
              <w:rPr>
                <w:rFonts w:ascii="Arial" w:cs="Arial" w:eastAsia="Arial" w:hAnsi="Arial"/>
                <w:sz w:val="22"/>
                <w:szCs w:val="22"/>
                <w:color w:val="auto"/>
              </w:rPr>
              <w:t>shall have the meaning given thereto in Section 6.4(e);</w:t>
            </w:r>
          </w:p>
        </w:tc>
      </w:tr>
      <w:tr>
        <w:trPr>
          <w:trHeight w:val="689"/>
        </w:trPr>
        <w:tc>
          <w:tcPr>
            <w:tcW w:w="40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Unavailability Period</w:t>
            </w:r>
            <w:r>
              <w:rPr>
                <w:rFonts w:ascii="Arial" w:cs="Arial" w:eastAsia="Arial" w:hAnsi="Arial"/>
                <w:sz w:val="22"/>
                <w:szCs w:val="22"/>
                <w:color w:val="auto"/>
              </w:rPr>
              <w:t>”</w:t>
            </w:r>
          </w:p>
        </w:tc>
        <w:tc>
          <w:tcPr>
            <w:tcW w:w="7080" w:type="dxa"/>
            <w:vAlign w:val="bottom"/>
            <w:gridSpan w:val="5"/>
          </w:tcPr>
          <w:p>
            <w:pPr>
              <w:ind w:left="440"/>
              <w:spacing w:after="0"/>
              <w:rPr>
                <w:sz w:val="20"/>
                <w:szCs w:val="20"/>
                <w:color w:val="auto"/>
              </w:rPr>
            </w:pPr>
            <w:r>
              <w:rPr>
                <w:rFonts w:ascii="Arial" w:cs="Arial" w:eastAsia="Arial" w:hAnsi="Arial"/>
                <w:sz w:val="22"/>
                <w:szCs w:val="22"/>
                <w:color w:val="auto"/>
              </w:rPr>
              <w:t>shall have the meaning given thereto in Section 6.4(e);</w:t>
            </w:r>
          </w:p>
        </w:tc>
      </w:tr>
      <w:tr>
        <w:trPr>
          <w:trHeight w:val="684"/>
        </w:trPr>
        <w:tc>
          <w:tcPr>
            <w:tcW w:w="40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Ownership Certification</w:t>
            </w:r>
            <w:r>
              <w:rPr>
                <w:rFonts w:ascii="Arial" w:cs="Arial" w:eastAsia="Arial" w:hAnsi="Arial"/>
                <w:sz w:val="22"/>
                <w:szCs w:val="22"/>
                <w:color w:val="auto"/>
              </w:rPr>
              <w:t>”</w:t>
            </w:r>
          </w:p>
        </w:tc>
        <w:tc>
          <w:tcPr>
            <w:tcW w:w="7080" w:type="dxa"/>
            <w:vAlign w:val="bottom"/>
            <w:gridSpan w:val="5"/>
          </w:tcPr>
          <w:p>
            <w:pPr>
              <w:ind w:left="440"/>
              <w:spacing w:after="0"/>
              <w:rPr>
                <w:sz w:val="20"/>
                <w:szCs w:val="20"/>
                <w:color w:val="auto"/>
              </w:rPr>
            </w:pPr>
            <w:r>
              <w:rPr>
                <w:rFonts w:ascii="Arial" w:cs="Arial" w:eastAsia="Arial" w:hAnsi="Arial"/>
                <w:sz w:val="22"/>
                <w:szCs w:val="22"/>
                <w:color w:val="auto"/>
                <w:w w:val="90"/>
              </w:rPr>
              <w:t>shall mean a certification regarding beneficial ownership as required by the</w:t>
            </w:r>
          </w:p>
        </w:tc>
      </w:tr>
      <w:tr>
        <w:trPr>
          <w:trHeight w:val="274"/>
        </w:trPr>
        <w:tc>
          <w:tcPr>
            <w:tcW w:w="4060" w:type="dxa"/>
            <w:vAlign w:val="bottom"/>
          </w:tcPr>
          <w:p>
            <w:pPr>
              <w:spacing w:after="0"/>
              <w:rPr>
                <w:sz w:val="23"/>
                <w:szCs w:val="23"/>
                <w:color w:val="auto"/>
              </w:rPr>
            </w:pPr>
          </w:p>
        </w:tc>
        <w:tc>
          <w:tcPr>
            <w:tcW w:w="7080" w:type="dxa"/>
            <w:vAlign w:val="bottom"/>
            <w:gridSpan w:val="5"/>
          </w:tcPr>
          <w:p>
            <w:pPr>
              <w:ind w:left="440"/>
              <w:spacing w:after="0"/>
              <w:rPr>
                <w:sz w:val="20"/>
                <w:szCs w:val="20"/>
                <w:color w:val="auto"/>
              </w:rPr>
            </w:pPr>
            <w:r>
              <w:rPr>
                <w:rFonts w:ascii="Arial" w:cs="Arial" w:eastAsia="Arial" w:hAnsi="Arial"/>
                <w:sz w:val="22"/>
                <w:szCs w:val="22"/>
                <w:color w:val="auto"/>
              </w:rPr>
              <w:t>Beneficial Ownership Regulation.</w:t>
            </w:r>
          </w:p>
        </w:tc>
      </w:tr>
      <w:tr>
        <w:trPr>
          <w:trHeight w:val="473"/>
        </w:trPr>
        <w:tc>
          <w:tcPr>
            <w:tcW w:w="40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Ownership Regulation</w:t>
            </w:r>
            <w:r>
              <w:rPr>
                <w:rFonts w:ascii="Arial" w:cs="Arial" w:eastAsia="Arial" w:hAnsi="Arial"/>
                <w:sz w:val="22"/>
                <w:szCs w:val="22"/>
                <w:color w:val="auto"/>
              </w:rPr>
              <w:t>”</w:t>
            </w:r>
          </w:p>
        </w:tc>
        <w:tc>
          <w:tcPr>
            <w:tcW w:w="7080" w:type="dxa"/>
            <w:vAlign w:val="bottom"/>
            <w:gridSpan w:val="5"/>
          </w:tcPr>
          <w:p>
            <w:pPr>
              <w:ind w:left="440"/>
              <w:spacing w:after="0"/>
              <w:rPr>
                <w:sz w:val="20"/>
                <w:szCs w:val="20"/>
                <w:color w:val="auto"/>
              </w:rPr>
            </w:pPr>
            <w:r>
              <w:rPr>
                <w:rFonts w:ascii="Arial" w:cs="Arial" w:eastAsia="Arial" w:hAnsi="Arial"/>
                <w:sz w:val="22"/>
                <w:szCs w:val="22"/>
                <w:color w:val="auto"/>
              </w:rPr>
              <w:t>shall mean 31 C.F.R. § 1010.230.</w:t>
            </w:r>
          </w:p>
        </w:tc>
      </w:tr>
      <w:tr>
        <w:trPr>
          <w:trHeight w:val="684"/>
        </w:trPr>
        <w:tc>
          <w:tcPr>
            <w:tcW w:w="40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Blocked Person</w:t>
            </w:r>
            <w:r>
              <w:rPr>
                <w:rFonts w:ascii="Arial" w:cs="Arial" w:eastAsia="Arial" w:hAnsi="Arial"/>
                <w:sz w:val="22"/>
                <w:szCs w:val="22"/>
                <w:color w:val="auto"/>
              </w:rPr>
              <w:t>”</w:t>
            </w:r>
          </w:p>
        </w:tc>
        <w:tc>
          <w:tcPr>
            <w:tcW w:w="7080" w:type="dxa"/>
            <w:vAlign w:val="bottom"/>
            <w:gridSpan w:val="5"/>
          </w:tcPr>
          <w:p>
            <w:pPr>
              <w:ind w:left="440"/>
              <w:spacing w:after="0"/>
              <w:rPr>
                <w:sz w:val="20"/>
                <w:szCs w:val="20"/>
                <w:color w:val="auto"/>
              </w:rPr>
            </w:pPr>
            <w:r>
              <w:rPr>
                <w:rFonts w:ascii="Arial" w:cs="Arial" w:eastAsia="Arial" w:hAnsi="Arial"/>
                <w:sz w:val="22"/>
                <w:szCs w:val="22"/>
                <w:color w:val="auto"/>
                <w:w w:val="93"/>
              </w:rPr>
              <w:t>shall mean any of the following currently or in the future: (i) an individual,</w:t>
            </w:r>
          </w:p>
        </w:tc>
      </w:tr>
      <w:tr>
        <w:trPr>
          <w:trHeight w:val="243"/>
        </w:trPr>
        <w:tc>
          <w:tcPr>
            <w:tcW w:w="4060" w:type="dxa"/>
            <w:vAlign w:val="bottom"/>
          </w:tcPr>
          <w:p>
            <w:pPr>
              <w:spacing w:after="0"/>
              <w:rPr>
                <w:sz w:val="21"/>
                <w:szCs w:val="21"/>
                <w:color w:val="auto"/>
              </w:rPr>
            </w:pPr>
          </w:p>
        </w:tc>
        <w:tc>
          <w:tcPr>
            <w:tcW w:w="7080" w:type="dxa"/>
            <w:vAlign w:val="bottom"/>
            <w:gridSpan w:val="5"/>
          </w:tcPr>
          <w:p>
            <w:pPr>
              <w:ind w:left="440"/>
              <w:spacing w:after="0" w:line="243" w:lineRule="exact"/>
              <w:rPr>
                <w:sz w:val="20"/>
                <w:szCs w:val="20"/>
                <w:color w:val="auto"/>
              </w:rPr>
            </w:pPr>
            <w:r>
              <w:rPr>
                <w:rFonts w:ascii="Arial" w:cs="Arial" w:eastAsia="Arial" w:hAnsi="Arial"/>
                <w:sz w:val="22"/>
                <w:szCs w:val="22"/>
                <w:color w:val="auto"/>
                <w:w w:val="93"/>
              </w:rPr>
              <w:t>entity or vessel named on a Blocked Persons List, or any entity owned or</w:t>
            </w:r>
          </w:p>
        </w:tc>
      </w:tr>
      <w:tr>
        <w:trPr>
          <w:trHeight w:val="243"/>
        </w:trPr>
        <w:tc>
          <w:tcPr>
            <w:tcW w:w="4060" w:type="dxa"/>
            <w:vAlign w:val="bottom"/>
          </w:tcPr>
          <w:p>
            <w:pPr>
              <w:spacing w:after="0"/>
              <w:rPr>
                <w:sz w:val="21"/>
                <w:szCs w:val="21"/>
                <w:color w:val="auto"/>
              </w:rPr>
            </w:pPr>
          </w:p>
        </w:tc>
        <w:tc>
          <w:tcPr>
            <w:tcW w:w="7080" w:type="dxa"/>
            <w:vAlign w:val="bottom"/>
            <w:gridSpan w:val="5"/>
          </w:tcPr>
          <w:p>
            <w:pPr>
              <w:ind w:left="440"/>
              <w:spacing w:after="0" w:line="243" w:lineRule="exact"/>
              <w:rPr>
                <w:sz w:val="20"/>
                <w:szCs w:val="20"/>
                <w:color w:val="auto"/>
              </w:rPr>
            </w:pPr>
            <w:r>
              <w:rPr>
                <w:rFonts w:ascii="Arial" w:cs="Arial" w:eastAsia="Arial" w:hAnsi="Arial"/>
                <w:sz w:val="22"/>
                <w:szCs w:val="22"/>
                <w:color w:val="auto"/>
                <w:w w:val="94"/>
              </w:rPr>
              <w:t>controlled by, directly or indirectly, such individual, entity or vessel, or (ii)</w:t>
            </w:r>
          </w:p>
        </w:tc>
      </w:tr>
      <w:tr>
        <w:trPr>
          <w:trHeight w:val="243"/>
        </w:trPr>
        <w:tc>
          <w:tcPr>
            <w:tcW w:w="4060" w:type="dxa"/>
            <w:vAlign w:val="bottom"/>
          </w:tcPr>
          <w:p>
            <w:pPr>
              <w:spacing w:after="0"/>
              <w:rPr>
                <w:sz w:val="21"/>
                <w:szCs w:val="21"/>
                <w:color w:val="auto"/>
              </w:rPr>
            </w:pPr>
          </w:p>
        </w:tc>
        <w:tc>
          <w:tcPr>
            <w:tcW w:w="7080" w:type="dxa"/>
            <w:vAlign w:val="bottom"/>
            <w:gridSpan w:val="5"/>
          </w:tcPr>
          <w:p>
            <w:pPr>
              <w:ind w:left="440"/>
              <w:spacing w:after="0" w:line="243" w:lineRule="exact"/>
              <w:rPr>
                <w:sz w:val="20"/>
                <w:szCs w:val="20"/>
                <w:color w:val="auto"/>
              </w:rPr>
            </w:pPr>
            <w:r>
              <w:rPr>
                <w:rFonts w:ascii="Arial" w:cs="Arial" w:eastAsia="Arial" w:hAnsi="Arial"/>
                <w:sz w:val="22"/>
                <w:szCs w:val="22"/>
                <w:color w:val="auto"/>
                <w:w w:val="92"/>
              </w:rPr>
              <w:t>(A) an agency or instrumentality of, or an entity owned or controlled by, or</w:t>
            </w:r>
          </w:p>
        </w:tc>
      </w:tr>
      <w:tr>
        <w:trPr>
          <w:trHeight w:val="243"/>
        </w:trPr>
        <w:tc>
          <w:tcPr>
            <w:tcW w:w="4060" w:type="dxa"/>
            <w:vAlign w:val="bottom"/>
          </w:tcPr>
          <w:p>
            <w:pPr>
              <w:spacing w:after="0"/>
              <w:rPr>
                <w:sz w:val="21"/>
                <w:szCs w:val="21"/>
                <w:color w:val="auto"/>
              </w:rPr>
            </w:pPr>
          </w:p>
        </w:tc>
        <w:tc>
          <w:tcPr>
            <w:tcW w:w="7080" w:type="dxa"/>
            <w:vAlign w:val="bottom"/>
            <w:gridSpan w:val="5"/>
          </w:tcPr>
          <w:p>
            <w:pPr>
              <w:ind w:left="440"/>
              <w:spacing w:after="0" w:line="243" w:lineRule="exact"/>
              <w:rPr>
                <w:sz w:val="20"/>
                <w:szCs w:val="20"/>
                <w:color w:val="auto"/>
              </w:rPr>
            </w:pPr>
            <w:r>
              <w:rPr>
                <w:rFonts w:ascii="Arial" w:cs="Arial" w:eastAsia="Arial" w:hAnsi="Arial"/>
                <w:sz w:val="22"/>
                <w:szCs w:val="22"/>
                <w:color w:val="auto"/>
              </w:rPr>
              <w:t>acting on behalf of or at the direction of, directly or indirectly, the</w:t>
            </w:r>
          </w:p>
        </w:tc>
      </w:tr>
      <w:tr>
        <w:trPr>
          <w:trHeight w:val="243"/>
        </w:trPr>
        <w:tc>
          <w:tcPr>
            <w:tcW w:w="4060" w:type="dxa"/>
            <w:vAlign w:val="bottom"/>
          </w:tcPr>
          <w:p>
            <w:pPr>
              <w:spacing w:after="0"/>
              <w:rPr>
                <w:sz w:val="21"/>
                <w:szCs w:val="21"/>
                <w:color w:val="auto"/>
              </w:rPr>
            </w:pPr>
          </w:p>
        </w:tc>
        <w:tc>
          <w:tcPr>
            <w:tcW w:w="7080" w:type="dxa"/>
            <w:vAlign w:val="bottom"/>
            <w:gridSpan w:val="5"/>
          </w:tcPr>
          <w:p>
            <w:pPr>
              <w:ind w:left="440"/>
              <w:spacing w:after="0" w:line="243" w:lineRule="exact"/>
              <w:rPr>
                <w:sz w:val="20"/>
                <w:szCs w:val="20"/>
                <w:color w:val="auto"/>
              </w:rPr>
            </w:pPr>
            <w:r>
              <w:rPr>
                <w:rFonts w:ascii="Arial" w:cs="Arial" w:eastAsia="Arial" w:hAnsi="Arial"/>
                <w:sz w:val="22"/>
                <w:szCs w:val="22"/>
                <w:color w:val="auto"/>
                <w:w w:val="92"/>
              </w:rPr>
              <w:t>government of a Sanctioned Country, (B) an entity located in or organized</w:t>
            </w:r>
          </w:p>
        </w:tc>
      </w:tr>
      <w:tr>
        <w:trPr>
          <w:trHeight w:val="243"/>
        </w:trPr>
        <w:tc>
          <w:tcPr>
            <w:tcW w:w="4060" w:type="dxa"/>
            <w:vAlign w:val="bottom"/>
          </w:tcPr>
          <w:p>
            <w:pPr>
              <w:spacing w:after="0"/>
              <w:rPr>
                <w:sz w:val="21"/>
                <w:szCs w:val="21"/>
                <w:color w:val="auto"/>
              </w:rPr>
            </w:pPr>
          </w:p>
        </w:tc>
        <w:tc>
          <w:tcPr>
            <w:tcW w:w="7080" w:type="dxa"/>
            <w:vAlign w:val="bottom"/>
            <w:gridSpan w:val="5"/>
          </w:tcPr>
          <w:p>
            <w:pPr>
              <w:ind w:left="440"/>
              <w:spacing w:after="0" w:line="243" w:lineRule="exact"/>
              <w:rPr>
                <w:sz w:val="20"/>
                <w:szCs w:val="20"/>
                <w:color w:val="auto"/>
              </w:rPr>
            </w:pPr>
            <w:r>
              <w:rPr>
                <w:rFonts w:ascii="Arial" w:cs="Arial" w:eastAsia="Arial" w:hAnsi="Arial"/>
                <w:sz w:val="22"/>
                <w:szCs w:val="22"/>
                <w:color w:val="auto"/>
                <w:w w:val="95"/>
              </w:rPr>
              <w:t>under the laws of a Sanctioned Country, or (C) a national or permanent</w:t>
            </w:r>
          </w:p>
        </w:tc>
      </w:tr>
      <w:tr>
        <w:trPr>
          <w:trHeight w:val="243"/>
        </w:trPr>
        <w:tc>
          <w:tcPr>
            <w:tcW w:w="4060" w:type="dxa"/>
            <w:vAlign w:val="bottom"/>
          </w:tcPr>
          <w:p>
            <w:pPr>
              <w:spacing w:after="0"/>
              <w:rPr>
                <w:sz w:val="21"/>
                <w:szCs w:val="21"/>
                <w:color w:val="auto"/>
              </w:rPr>
            </w:pPr>
          </w:p>
        </w:tc>
        <w:tc>
          <w:tcPr>
            <w:tcW w:w="7080" w:type="dxa"/>
            <w:vAlign w:val="bottom"/>
            <w:gridSpan w:val="5"/>
          </w:tcPr>
          <w:p>
            <w:pPr>
              <w:ind w:left="440"/>
              <w:spacing w:after="0" w:line="243" w:lineRule="exact"/>
              <w:rPr>
                <w:sz w:val="20"/>
                <w:szCs w:val="20"/>
                <w:color w:val="auto"/>
              </w:rPr>
            </w:pPr>
            <w:r>
              <w:rPr>
                <w:rFonts w:ascii="Arial" w:cs="Arial" w:eastAsia="Arial" w:hAnsi="Arial"/>
                <w:sz w:val="22"/>
                <w:szCs w:val="22"/>
                <w:color w:val="auto"/>
                <w:w w:val="98"/>
              </w:rPr>
              <w:t>resident of a Sanctioned Country, or a person located or residing in a</w:t>
            </w:r>
          </w:p>
        </w:tc>
      </w:tr>
      <w:tr>
        <w:trPr>
          <w:trHeight w:val="243"/>
        </w:trPr>
        <w:tc>
          <w:tcPr>
            <w:tcW w:w="4060" w:type="dxa"/>
            <w:vAlign w:val="bottom"/>
          </w:tcPr>
          <w:p>
            <w:pPr>
              <w:spacing w:after="0"/>
              <w:rPr>
                <w:sz w:val="21"/>
                <w:szCs w:val="21"/>
                <w:color w:val="auto"/>
              </w:rPr>
            </w:pPr>
          </w:p>
        </w:tc>
        <w:tc>
          <w:tcPr>
            <w:tcW w:w="7080" w:type="dxa"/>
            <w:vAlign w:val="bottom"/>
            <w:gridSpan w:val="5"/>
          </w:tcPr>
          <w:p>
            <w:pPr>
              <w:ind w:left="440"/>
              <w:spacing w:after="0" w:line="243" w:lineRule="exact"/>
              <w:rPr>
                <w:sz w:val="20"/>
                <w:szCs w:val="20"/>
                <w:color w:val="auto"/>
              </w:rPr>
            </w:pPr>
            <w:r>
              <w:rPr>
                <w:rFonts w:ascii="Arial" w:cs="Arial" w:eastAsia="Arial" w:hAnsi="Arial"/>
                <w:sz w:val="22"/>
                <w:szCs w:val="22"/>
                <w:color w:val="auto"/>
                <w:w w:val="93"/>
              </w:rPr>
              <w:t>Sanctioned Country, to the extent such agency, instrumentality, entity, or</w:t>
            </w:r>
          </w:p>
        </w:tc>
      </w:tr>
      <w:tr>
        <w:trPr>
          <w:trHeight w:val="243"/>
        </w:trPr>
        <w:tc>
          <w:tcPr>
            <w:tcW w:w="4060" w:type="dxa"/>
            <w:vAlign w:val="bottom"/>
          </w:tcPr>
          <w:p>
            <w:pPr>
              <w:spacing w:after="0"/>
              <w:rPr>
                <w:sz w:val="21"/>
                <w:szCs w:val="21"/>
                <w:color w:val="auto"/>
              </w:rPr>
            </w:pPr>
          </w:p>
        </w:tc>
        <w:tc>
          <w:tcPr>
            <w:tcW w:w="7080" w:type="dxa"/>
            <w:vAlign w:val="bottom"/>
            <w:gridSpan w:val="5"/>
          </w:tcPr>
          <w:p>
            <w:pPr>
              <w:ind w:left="440"/>
              <w:spacing w:after="0" w:line="243" w:lineRule="exact"/>
              <w:rPr>
                <w:sz w:val="20"/>
                <w:szCs w:val="20"/>
                <w:color w:val="auto"/>
              </w:rPr>
            </w:pPr>
            <w:r>
              <w:rPr>
                <w:rFonts w:ascii="Arial" w:cs="Arial" w:eastAsia="Arial" w:hAnsi="Arial"/>
                <w:sz w:val="22"/>
                <w:szCs w:val="22"/>
                <w:color w:val="auto"/>
                <w:w w:val="96"/>
              </w:rPr>
              <w:t>person is targeted by Sanctions Laws, or (iii) without duplication of any</w:t>
            </w:r>
          </w:p>
        </w:tc>
      </w:tr>
      <w:tr>
        <w:trPr>
          <w:trHeight w:val="243"/>
        </w:trPr>
        <w:tc>
          <w:tcPr>
            <w:tcW w:w="4060" w:type="dxa"/>
            <w:vAlign w:val="bottom"/>
          </w:tcPr>
          <w:p>
            <w:pPr>
              <w:spacing w:after="0"/>
              <w:rPr>
                <w:sz w:val="21"/>
                <w:szCs w:val="21"/>
                <w:color w:val="auto"/>
              </w:rPr>
            </w:pPr>
          </w:p>
        </w:tc>
        <w:tc>
          <w:tcPr>
            <w:tcW w:w="7080" w:type="dxa"/>
            <w:vAlign w:val="bottom"/>
            <w:gridSpan w:val="5"/>
          </w:tcPr>
          <w:p>
            <w:pPr>
              <w:ind w:left="440"/>
              <w:spacing w:after="0" w:line="243" w:lineRule="exact"/>
              <w:rPr>
                <w:sz w:val="20"/>
                <w:szCs w:val="20"/>
                <w:color w:val="auto"/>
              </w:rPr>
            </w:pPr>
            <w:r>
              <w:rPr>
                <w:rFonts w:ascii="Arial" w:cs="Arial" w:eastAsia="Arial" w:hAnsi="Arial"/>
                <w:sz w:val="22"/>
                <w:szCs w:val="22"/>
                <w:color w:val="auto"/>
                <w:w w:val="98"/>
              </w:rPr>
              <w:t>Person set forth in clause (i) or (ii), any Person located or residing in,</w:t>
            </w:r>
          </w:p>
        </w:tc>
      </w:tr>
      <w:tr>
        <w:trPr>
          <w:trHeight w:val="243"/>
        </w:trPr>
        <w:tc>
          <w:tcPr>
            <w:tcW w:w="4060" w:type="dxa"/>
            <w:vAlign w:val="bottom"/>
          </w:tcPr>
          <w:p>
            <w:pPr>
              <w:spacing w:after="0"/>
              <w:rPr>
                <w:sz w:val="21"/>
                <w:szCs w:val="21"/>
                <w:color w:val="auto"/>
              </w:rPr>
            </w:pPr>
          </w:p>
        </w:tc>
        <w:tc>
          <w:tcPr>
            <w:tcW w:w="7080" w:type="dxa"/>
            <w:vAlign w:val="bottom"/>
            <w:gridSpan w:val="5"/>
          </w:tcPr>
          <w:p>
            <w:pPr>
              <w:ind w:left="440"/>
              <w:spacing w:after="0" w:line="243" w:lineRule="exact"/>
              <w:rPr>
                <w:sz w:val="20"/>
                <w:szCs w:val="20"/>
                <w:color w:val="auto"/>
              </w:rPr>
            </w:pPr>
            <w:r>
              <w:rPr>
                <w:rFonts w:ascii="Arial" w:cs="Arial" w:eastAsia="Arial" w:hAnsi="Arial"/>
                <w:sz w:val="22"/>
                <w:szCs w:val="22"/>
                <w:color w:val="auto"/>
                <w:w w:val="91"/>
              </w:rPr>
              <w:t>organized under the laws of, or operating in, Cuba, Iran, Myanmar, Sudan,</w:t>
            </w:r>
          </w:p>
        </w:tc>
      </w:tr>
      <w:tr>
        <w:trPr>
          <w:trHeight w:val="224"/>
        </w:trPr>
        <w:tc>
          <w:tcPr>
            <w:tcW w:w="4060" w:type="dxa"/>
            <w:vAlign w:val="bottom"/>
          </w:tcPr>
          <w:p>
            <w:pPr>
              <w:spacing w:after="0"/>
              <w:rPr>
                <w:sz w:val="19"/>
                <w:szCs w:val="19"/>
                <w:color w:val="auto"/>
              </w:rPr>
            </w:pPr>
          </w:p>
        </w:tc>
        <w:tc>
          <w:tcPr>
            <w:tcW w:w="7080" w:type="dxa"/>
            <w:vAlign w:val="bottom"/>
            <w:gridSpan w:val="5"/>
          </w:tcPr>
          <w:p>
            <w:pPr>
              <w:ind w:left="440"/>
              <w:spacing w:after="0" w:line="224" w:lineRule="exact"/>
              <w:rPr>
                <w:sz w:val="20"/>
                <w:szCs w:val="20"/>
                <w:color w:val="auto"/>
              </w:rPr>
            </w:pPr>
            <w:r>
              <w:rPr>
                <w:rFonts w:ascii="Arial" w:cs="Arial" w:eastAsia="Arial" w:hAnsi="Arial"/>
                <w:sz w:val="22"/>
                <w:szCs w:val="22"/>
                <w:color w:val="auto"/>
              </w:rPr>
              <w:t>Syria or North Korea; provided, however, that to the extent that any</w:t>
            </w:r>
          </w:p>
        </w:tc>
      </w:tr>
      <w:tr>
        <w:trPr>
          <w:trHeight w:val="20"/>
        </w:trPr>
        <w:tc>
          <w:tcPr>
            <w:tcW w:w="40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42"/>
        </w:trPr>
        <w:tc>
          <w:tcPr>
            <w:tcW w:w="4060" w:type="dxa"/>
            <w:vAlign w:val="bottom"/>
          </w:tcPr>
          <w:p>
            <w:pPr>
              <w:spacing w:after="0"/>
              <w:rPr>
                <w:sz w:val="21"/>
                <w:szCs w:val="21"/>
                <w:color w:val="auto"/>
              </w:rPr>
            </w:pPr>
          </w:p>
        </w:tc>
        <w:tc>
          <w:tcPr>
            <w:tcW w:w="7080" w:type="dxa"/>
            <w:vAlign w:val="bottom"/>
            <w:gridSpan w:val="5"/>
          </w:tcPr>
          <w:p>
            <w:pPr>
              <w:ind w:left="440"/>
              <w:spacing w:after="0" w:line="242" w:lineRule="exact"/>
              <w:rPr>
                <w:sz w:val="20"/>
                <w:szCs w:val="20"/>
                <w:color w:val="auto"/>
              </w:rPr>
            </w:pPr>
            <w:r>
              <w:rPr>
                <w:rFonts w:ascii="Arial" w:cs="Arial" w:eastAsia="Arial" w:hAnsi="Arial"/>
                <w:sz w:val="22"/>
                <w:szCs w:val="22"/>
                <w:color w:val="auto"/>
                <w:w w:val="98"/>
              </w:rPr>
              <w:t>individual, entity or vessel is operating in Myanmar pursuant to and in</w:t>
            </w:r>
          </w:p>
        </w:tc>
      </w:tr>
      <w:tr>
        <w:trPr>
          <w:trHeight w:val="243"/>
        </w:trPr>
        <w:tc>
          <w:tcPr>
            <w:tcW w:w="4060" w:type="dxa"/>
            <w:vAlign w:val="bottom"/>
          </w:tcPr>
          <w:p>
            <w:pPr>
              <w:spacing w:after="0"/>
              <w:rPr>
                <w:sz w:val="21"/>
                <w:szCs w:val="21"/>
                <w:color w:val="auto"/>
              </w:rPr>
            </w:pPr>
          </w:p>
        </w:tc>
        <w:tc>
          <w:tcPr>
            <w:tcW w:w="7080" w:type="dxa"/>
            <w:vAlign w:val="bottom"/>
            <w:gridSpan w:val="5"/>
          </w:tcPr>
          <w:p>
            <w:pPr>
              <w:ind w:left="440"/>
              <w:spacing w:after="0" w:line="243" w:lineRule="exact"/>
              <w:rPr>
                <w:sz w:val="20"/>
                <w:szCs w:val="20"/>
                <w:color w:val="auto"/>
              </w:rPr>
            </w:pPr>
            <w:r>
              <w:rPr>
                <w:rFonts w:ascii="Arial" w:cs="Arial" w:eastAsia="Arial" w:hAnsi="Arial"/>
                <w:sz w:val="22"/>
                <w:szCs w:val="22"/>
                <w:color w:val="auto"/>
                <w:w w:val="99"/>
              </w:rPr>
              <w:t>compliance with a valid OFAC License for operations in Myanmar or</w:t>
            </w:r>
          </w:p>
        </w:tc>
      </w:tr>
      <w:tr>
        <w:trPr>
          <w:trHeight w:val="243"/>
        </w:trPr>
        <w:tc>
          <w:tcPr>
            <w:tcW w:w="4060" w:type="dxa"/>
            <w:vAlign w:val="bottom"/>
          </w:tcPr>
          <w:p>
            <w:pPr>
              <w:spacing w:after="0"/>
              <w:rPr>
                <w:sz w:val="21"/>
                <w:szCs w:val="21"/>
                <w:color w:val="auto"/>
              </w:rPr>
            </w:pPr>
          </w:p>
        </w:tc>
        <w:tc>
          <w:tcPr>
            <w:tcW w:w="7080" w:type="dxa"/>
            <w:vAlign w:val="bottom"/>
            <w:gridSpan w:val="5"/>
          </w:tcPr>
          <w:p>
            <w:pPr>
              <w:ind w:left="440"/>
              <w:spacing w:after="0" w:line="243" w:lineRule="exact"/>
              <w:rPr>
                <w:sz w:val="20"/>
                <w:szCs w:val="20"/>
                <w:color w:val="auto"/>
              </w:rPr>
            </w:pPr>
            <w:r>
              <w:rPr>
                <w:rFonts w:ascii="Arial" w:cs="Arial" w:eastAsia="Arial" w:hAnsi="Arial"/>
                <w:sz w:val="22"/>
                <w:szCs w:val="22"/>
                <w:color w:val="auto"/>
                <w:w w:val="89"/>
              </w:rPr>
              <w:t>otherwise in compliance with the OFAC Sanctions Program, such individual,</w:t>
            </w:r>
          </w:p>
        </w:tc>
      </w:tr>
      <w:tr>
        <w:trPr>
          <w:trHeight w:val="243"/>
        </w:trPr>
        <w:tc>
          <w:tcPr>
            <w:tcW w:w="4060" w:type="dxa"/>
            <w:vAlign w:val="bottom"/>
          </w:tcPr>
          <w:p>
            <w:pPr>
              <w:spacing w:after="0"/>
              <w:rPr>
                <w:sz w:val="21"/>
                <w:szCs w:val="21"/>
                <w:color w:val="auto"/>
              </w:rPr>
            </w:pPr>
          </w:p>
        </w:tc>
        <w:tc>
          <w:tcPr>
            <w:tcW w:w="7080" w:type="dxa"/>
            <w:vAlign w:val="bottom"/>
            <w:gridSpan w:val="5"/>
          </w:tcPr>
          <w:p>
            <w:pPr>
              <w:ind w:left="440"/>
              <w:spacing w:after="0" w:line="243" w:lineRule="exact"/>
              <w:rPr>
                <w:sz w:val="20"/>
                <w:szCs w:val="20"/>
                <w:color w:val="auto"/>
              </w:rPr>
            </w:pPr>
            <w:r>
              <w:rPr>
                <w:rFonts w:ascii="Arial" w:cs="Arial" w:eastAsia="Arial" w:hAnsi="Arial"/>
                <w:sz w:val="22"/>
                <w:szCs w:val="22"/>
                <w:color w:val="auto"/>
                <w:w w:val="88"/>
              </w:rPr>
              <w:t>entity or vessel shall not be deemed to be a “Blocked Person” based on such</w:t>
            </w:r>
          </w:p>
        </w:tc>
      </w:tr>
      <w:tr>
        <w:trPr>
          <w:trHeight w:val="274"/>
        </w:trPr>
        <w:tc>
          <w:tcPr>
            <w:tcW w:w="4060" w:type="dxa"/>
            <w:vAlign w:val="bottom"/>
          </w:tcPr>
          <w:p>
            <w:pPr>
              <w:spacing w:after="0"/>
              <w:rPr>
                <w:sz w:val="23"/>
                <w:szCs w:val="23"/>
                <w:color w:val="auto"/>
              </w:rPr>
            </w:pPr>
          </w:p>
        </w:tc>
        <w:tc>
          <w:tcPr>
            <w:tcW w:w="7080" w:type="dxa"/>
            <w:vAlign w:val="bottom"/>
            <w:gridSpan w:val="5"/>
          </w:tcPr>
          <w:p>
            <w:pPr>
              <w:ind w:left="440"/>
              <w:spacing w:after="0"/>
              <w:rPr>
                <w:sz w:val="20"/>
                <w:szCs w:val="20"/>
                <w:color w:val="auto"/>
              </w:rPr>
            </w:pPr>
            <w:r>
              <w:rPr>
                <w:rFonts w:ascii="Arial" w:cs="Arial" w:eastAsia="Arial" w:hAnsi="Arial"/>
                <w:sz w:val="22"/>
                <w:szCs w:val="22"/>
                <w:color w:val="auto"/>
              </w:rPr>
              <w:t>operations in Myanmar;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Blocked Persons List</w:t>
            </w:r>
            <w:r>
              <w:rPr>
                <w:rFonts w:ascii="Arial" w:cs="Arial" w:eastAsia="Arial" w:hAnsi="Arial"/>
                <w:sz w:val="22"/>
                <w:szCs w:val="22"/>
                <w:color w:val="auto"/>
              </w:rPr>
              <w:t>”</w:t>
            </w:r>
          </w:p>
        </w:tc>
        <w:tc>
          <w:tcPr>
            <w:tcW w:w="7860" w:type="dxa"/>
            <w:vAlign w:val="bottom"/>
          </w:tcPr>
          <w:p>
            <w:pPr>
              <w:ind w:left="1200"/>
              <w:spacing w:after="0"/>
              <w:rPr>
                <w:sz w:val="20"/>
                <w:szCs w:val="20"/>
                <w:color w:val="auto"/>
              </w:rPr>
            </w:pPr>
            <w:r>
              <w:rPr>
                <w:rFonts w:ascii="Arial" w:cs="Arial" w:eastAsia="Arial" w:hAnsi="Arial"/>
                <w:sz w:val="22"/>
                <w:szCs w:val="22"/>
                <w:color w:val="auto"/>
                <w:w w:val="92"/>
              </w:rPr>
              <w:t>shall mean the "Specially Designated Nationals List and Blocked Persons</w:t>
            </w:r>
          </w:p>
        </w:tc>
      </w:tr>
      <w:tr>
        <w:trPr>
          <w:trHeight w:val="243"/>
        </w:trPr>
        <w:tc>
          <w:tcPr>
            <w:tcW w:w="3400" w:type="dxa"/>
            <w:vAlign w:val="bottom"/>
          </w:tcPr>
          <w:p>
            <w:pPr>
              <w:spacing w:after="0"/>
              <w:rPr>
                <w:sz w:val="21"/>
                <w:szCs w:val="21"/>
                <w:color w:val="auto"/>
              </w:rPr>
            </w:pPr>
          </w:p>
        </w:tc>
        <w:tc>
          <w:tcPr>
            <w:tcW w:w="7860" w:type="dxa"/>
            <w:vAlign w:val="bottom"/>
          </w:tcPr>
          <w:p>
            <w:pPr>
              <w:ind w:left="1200"/>
              <w:spacing w:after="0" w:line="243" w:lineRule="exact"/>
              <w:rPr>
                <w:sz w:val="20"/>
                <w:szCs w:val="20"/>
                <w:color w:val="auto"/>
              </w:rPr>
            </w:pPr>
            <w:r>
              <w:rPr>
                <w:rFonts w:ascii="Arial" w:cs="Arial" w:eastAsia="Arial" w:hAnsi="Arial"/>
                <w:sz w:val="22"/>
                <w:szCs w:val="22"/>
                <w:color w:val="auto"/>
                <w:w w:val="91"/>
              </w:rPr>
              <w:t>List" maintained by OFAC and any other similar or equivalent published list</w:t>
            </w:r>
          </w:p>
        </w:tc>
      </w:tr>
      <w:tr>
        <w:trPr>
          <w:trHeight w:val="243"/>
        </w:trPr>
        <w:tc>
          <w:tcPr>
            <w:tcW w:w="3400" w:type="dxa"/>
            <w:vAlign w:val="bottom"/>
          </w:tcPr>
          <w:p>
            <w:pPr>
              <w:spacing w:after="0"/>
              <w:rPr>
                <w:sz w:val="21"/>
                <w:szCs w:val="21"/>
                <w:color w:val="auto"/>
              </w:rPr>
            </w:pPr>
          </w:p>
        </w:tc>
        <w:tc>
          <w:tcPr>
            <w:tcW w:w="7860" w:type="dxa"/>
            <w:vAlign w:val="bottom"/>
          </w:tcPr>
          <w:p>
            <w:pPr>
              <w:ind w:left="1200"/>
              <w:spacing w:after="0" w:line="243" w:lineRule="exact"/>
              <w:rPr>
                <w:sz w:val="20"/>
                <w:szCs w:val="20"/>
                <w:color w:val="auto"/>
              </w:rPr>
            </w:pPr>
            <w:r>
              <w:rPr>
                <w:rFonts w:ascii="Arial" w:cs="Arial" w:eastAsia="Arial" w:hAnsi="Arial"/>
                <w:sz w:val="22"/>
                <w:szCs w:val="22"/>
                <w:color w:val="auto"/>
                <w:w w:val="94"/>
              </w:rPr>
              <w:t>of individuals or entities maintained by a Governmental Authority, as the</w:t>
            </w:r>
          </w:p>
        </w:tc>
      </w:tr>
      <w:tr>
        <w:trPr>
          <w:trHeight w:val="274"/>
        </w:trPr>
        <w:tc>
          <w:tcPr>
            <w:tcW w:w="3400" w:type="dxa"/>
            <w:vAlign w:val="bottom"/>
          </w:tcPr>
          <w:p>
            <w:pPr>
              <w:spacing w:after="0"/>
              <w:rPr>
                <w:sz w:val="23"/>
                <w:szCs w:val="23"/>
                <w:color w:val="auto"/>
              </w:rPr>
            </w:pPr>
          </w:p>
        </w:tc>
        <w:tc>
          <w:tcPr>
            <w:tcW w:w="7860" w:type="dxa"/>
            <w:vAlign w:val="bottom"/>
          </w:tcPr>
          <w:p>
            <w:pPr>
              <w:ind w:left="1200"/>
              <w:spacing w:after="0"/>
              <w:rPr>
                <w:sz w:val="20"/>
                <w:szCs w:val="20"/>
                <w:color w:val="auto"/>
              </w:rPr>
            </w:pPr>
            <w:r>
              <w:rPr>
                <w:rFonts w:ascii="Arial" w:cs="Arial" w:eastAsia="Arial" w:hAnsi="Arial"/>
                <w:sz w:val="22"/>
                <w:szCs w:val="22"/>
                <w:color w:val="auto"/>
                <w:w w:val="95"/>
              </w:rPr>
              <w:t>same may be amended, supplemented or substituted from time to time;</w:t>
            </w:r>
          </w:p>
        </w:tc>
      </w:tr>
      <w:tr>
        <w:trPr>
          <w:trHeight w:val="729"/>
        </w:trPr>
        <w:tc>
          <w:tcPr>
            <w:tcW w:w="34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Bookrunner</w:t>
            </w:r>
            <w:r>
              <w:rPr>
                <w:rFonts w:ascii="Arial" w:cs="Arial" w:eastAsia="Arial" w:hAnsi="Arial"/>
                <w:sz w:val="22"/>
                <w:szCs w:val="22"/>
                <w:color w:val="auto"/>
              </w:rPr>
              <w:t>”</w:t>
            </w:r>
          </w:p>
        </w:tc>
        <w:tc>
          <w:tcPr>
            <w:tcW w:w="7860" w:type="dxa"/>
            <w:vAlign w:val="bottom"/>
          </w:tcPr>
          <w:p>
            <w:pPr>
              <w:ind w:left="1200"/>
              <w:spacing w:after="0"/>
              <w:rPr>
                <w:sz w:val="20"/>
                <w:szCs w:val="20"/>
                <w:color w:val="auto"/>
              </w:rPr>
            </w:pPr>
            <w:r>
              <w:rPr>
                <w:rFonts w:ascii="Arial" w:cs="Arial" w:eastAsia="Arial" w:hAnsi="Arial"/>
                <w:sz w:val="22"/>
                <w:szCs w:val="22"/>
                <w:color w:val="auto"/>
              </w:rPr>
              <w:t>shall have the meaning ascribed thereto in the preamble;</w:t>
            </w:r>
          </w:p>
        </w:tc>
      </w:tr>
      <w:tr>
        <w:trPr>
          <w:trHeight w:val="561"/>
        </w:trPr>
        <w:tc>
          <w:tcPr>
            <w:tcW w:w="3400" w:type="dxa"/>
            <w:vAlign w:val="bottom"/>
          </w:tcPr>
          <w:p>
            <w:pPr>
              <w:spacing w:after="0"/>
              <w:rPr>
                <w:sz w:val="24"/>
                <w:szCs w:val="24"/>
                <w:color w:val="auto"/>
              </w:rPr>
            </w:pPr>
          </w:p>
        </w:tc>
        <w:tc>
          <w:tcPr>
            <w:tcW w:w="7860" w:type="dxa"/>
            <w:vAlign w:val="bottom"/>
          </w:tcPr>
          <w:p>
            <w:pPr>
              <w:ind w:left="2180"/>
              <w:spacing w:after="0"/>
              <w:rPr>
                <w:sz w:val="20"/>
                <w:szCs w:val="20"/>
                <w:color w:val="auto"/>
              </w:rPr>
            </w:pPr>
            <w:r>
              <w:rPr>
                <w:rFonts w:ascii="Arial" w:cs="Arial" w:eastAsia="Arial" w:hAnsi="Arial"/>
                <w:sz w:val="20"/>
                <w:szCs w:val="20"/>
                <w:color w:val="auto"/>
              </w:rPr>
              <w:t>4</w:t>
            </w:r>
          </w:p>
        </w:tc>
      </w:tr>
      <w:tr>
        <w:trPr>
          <w:trHeight w:val="327"/>
        </w:trPr>
        <w:tc>
          <w:tcPr>
            <w:tcW w:w="3400" w:type="dxa"/>
            <w:vAlign w:val="bottom"/>
            <w:tcBorders>
              <w:bottom w:val="single" w:sz="8" w:color="9A9A9A"/>
            </w:tcBorders>
          </w:tcPr>
          <w:p>
            <w:pPr>
              <w:spacing w:after="0"/>
              <w:rPr>
                <w:sz w:val="24"/>
                <w:szCs w:val="24"/>
                <w:color w:val="auto"/>
              </w:rPr>
            </w:pPr>
          </w:p>
        </w:tc>
        <w:tc>
          <w:tcPr>
            <w:tcW w:w="7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36" w:right="319" w:bottom="1440" w:gutter="0" w:footer="0" w:header="0"/>
        </w:sectPr>
      </w:pPr>
    </w:p>
    <w:bookmarkStart w:id="142" w:name="page143"/>
    <w:bookmarkEnd w:id="142"/>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Borrower(s)</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Builder</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Carlyle Note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Cash and Cash Equivalents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CEA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Classification Society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Collateral</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Commitment(s)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Compliance Certificate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ind w:right="1780"/>
        <w:spacing w:after="0" w:line="422" w:lineRule="auto"/>
        <w:rPr>
          <w:sz w:val="20"/>
          <w:szCs w:val="20"/>
          <w:color w:val="auto"/>
        </w:rPr>
      </w:pPr>
      <w:r>
        <w:rPr>
          <w:rFonts w:ascii="Arial" w:cs="Arial" w:eastAsia="Arial" w:hAnsi="Arial"/>
          <w:sz w:val="22"/>
          <w:szCs w:val="22"/>
          <w:color w:val="auto"/>
        </w:rPr>
        <w:t>shall have the meaning ascribed thereto in the preamble; shall mean Master Boat Builders, Inc.;</w:t>
      </w:r>
    </w:p>
    <w:p>
      <w:pPr>
        <w:spacing w:after="0" w:line="1" w:lineRule="exact"/>
        <w:rPr>
          <w:sz w:val="20"/>
          <w:szCs w:val="20"/>
          <w:color w:val="auto"/>
        </w:rPr>
      </w:pPr>
    </w:p>
    <w:p>
      <w:pPr>
        <w:jc w:val="both"/>
        <w:spacing w:after="0"/>
        <w:rPr>
          <w:sz w:val="20"/>
          <w:szCs w:val="20"/>
          <w:color w:val="auto"/>
        </w:rPr>
      </w:pPr>
      <w:r>
        <w:rPr>
          <w:rFonts w:ascii="Arial" w:cs="Arial" w:eastAsia="Arial" w:hAnsi="Arial"/>
          <w:sz w:val="22"/>
          <w:szCs w:val="22"/>
          <w:color w:val="auto"/>
        </w:rPr>
        <w:t>shall mean the notes issued under that certain $175,000,000 note purchase agreement entered into as of November 30, 2015 among (i) the Guarantor, as issuer, and (ii) investment</w:t>
      </w:r>
    </w:p>
    <w:p>
      <w:pPr>
        <w:spacing w:after="0" w:line="267"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funds managed and controlled by The Carlyle Group, as purchasers (as amended from time to time);</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shall mean (i) cash, (ii) marketable securities and (iii) time deposits, certificates of deposit or deposits in the interbank market of any commercial bank of recognized standing organized under the laws of the United States of America, any state thereof or any foreign jurisdiction and rated at least A or the equivalent thereof by S&amp;P;</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shall have the meaning ascribed thereto in Section 17.10;</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shall mean a member of the International Association of Classification Societies acceptable to the Lenders with whom a Vessel is entered and who conducts periodic physical surveys and/or inspections of such Vessel;</w:t>
      </w:r>
    </w:p>
    <w:p>
      <w:pPr>
        <w:spacing w:after="0" w:line="200" w:lineRule="exact"/>
        <w:rPr>
          <w:sz w:val="20"/>
          <w:szCs w:val="20"/>
          <w:color w:val="auto"/>
        </w:rPr>
      </w:pP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shall mean the Internal Revenue Code of 1986, as amended, and any successor statute and regulation promulgated thereunder;</w:t>
      </w:r>
    </w:p>
    <w:p>
      <w:pPr>
        <w:spacing w:after="0" w:line="200" w:lineRule="exact"/>
        <w:rPr>
          <w:sz w:val="20"/>
          <w:szCs w:val="20"/>
          <w:color w:val="auto"/>
        </w:rPr>
      </w:pP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shall mean, all property or other assets, real or personal, tangible or intangible, whether now owned or hereafter acquired in which the Security Trustee or any Lender has been granted a security interest pursuant to a Security Document or this Agreement;</w:t>
      </w:r>
    </w:p>
    <w:p>
      <w:pPr>
        <w:spacing w:after="0" w:line="200" w:lineRule="exact"/>
        <w:rPr>
          <w:sz w:val="20"/>
          <w:szCs w:val="20"/>
          <w:color w:val="auto"/>
        </w:rPr>
      </w:pPr>
    </w:p>
    <w:p>
      <w:pPr>
        <w:spacing w:after="0" w:line="25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shall mean in relation to a Lender, the portion of the Facility set out opposite its name in Schedule I hereto or, as the case may be, in any relevant Assignment and Assumption Agreement, as changed from time to time pursuant to the terms of this Agreement;</w:t>
      </w:r>
    </w:p>
    <w:p>
      <w:pPr>
        <w:spacing w:after="0" w:line="200" w:lineRule="exact"/>
        <w:rPr>
          <w:sz w:val="20"/>
          <w:szCs w:val="20"/>
          <w:color w:val="auto"/>
        </w:rPr>
      </w:pPr>
    </w:p>
    <w:p>
      <w:pPr>
        <w:spacing w:after="0" w:line="25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shall mean a certificate certifying the compliance by each of the Security Parties with all of its covenants contained herein and showing the calculations thereof in reasonable detail, delivered by the Holding Company and the Guarantor to the Administrative Agent from time to time pursuant to Section 9.1(d) in the form set out in Exhibit C or in such other form as the Administrative Agent may agree;</w:t>
      </w:r>
    </w:p>
    <w:p>
      <w:pPr>
        <w:spacing w:after="0" w:line="200" w:lineRule="exact"/>
        <w:rPr>
          <w:sz w:val="20"/>
          <w:szCs w:val="20"/>
          <w:color w:val="auto"/>
        </w:rPr>
      </w:pPr>
    </w:p>
    <w:p>
      <w:pPr>
        <w:spacing w:after="0" w:line="38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203200</wp:posOffset>
            </wp:positionV>
            <wp:extent cx="71748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3780" w:space="720"/>
            <w:col w:w="6640"/>
          </w:cols>
          <w:pgMar w:left="420" w:top="436" w:right="339" w:bottom="1440" w:gutter="0" w:footer="0" w:header="0"/>
        </w:sectPr>
      </w:pPr>
    </w:p>
    <w:bookmarkStart w:id="143" w:name="page144"/>
    <w:bookmarkEnd w:id="143"/>
    <w:tbl>
      <w:tblPr>
        <w:tblLayout w:type="fixed"/>
        <w:tblInd w:w="100" w:type="dxa"/>
        <w:tblCellMar>
          <w:top w:w="0" w:type="dxa"/>
          <w:left w:w="0" w:type="dxa"/>
          <w:bottom w:w="0" w:type="dxa"/>
          <w:right w:w="0" w:type="dxa"/>
        </w:tblCellMar>
      </w:tblPr>
      <w:tr>
        <w:trPr>
          <w:trHeight w:val="253"/>
        </w:trPr>
        <w:tc>
          <w:tcPr>
            <w:tcW w:w="332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Conforming Changes</w:t>
            </w:r>
            <w:r>
              <w:rPr>
                <w:rFonts w:ascii="Arial" w:cs="Arial" w:eastAsia="Arial" w:hAnsi="Arial"/>
                <w:sz w:val="22"/>
                <w:szCs w:val="22"/>
                <w:color w:val="auto"/>
              </w:rPr>
              <w:t>”</w:t>
            </w:r>
          </w:p>
        </w:tc>
        <w:tc>
          <w:tcPr>
            <w:tcW w:w="7820" w:type="dxa"/>
            <w:vAlign w:val="bottom"/>
          </w:tcPr>
          <w:p>
            <w:pPr>
              <w:ind w:left="1180"/>
              <w:spacing w:after="0"/>
              <w:rPr>
                <w:sz w:val="20"/>
                <w:szCs w:val="20"/>
                <w:color w:val="auto"/>
              </w:rPr>
            </w:pPr>
            <w:r>
              <w:rPr>
                <w:rFonts w:ascii="Arial" w:cs="Arial" w:eastAsia="Arial" w:hAnsi="Arial"/>
                <w:sz w:val="22"/>
                <w:szCs w:val="22"/>
                <w:color w:val="auto"/>
                <w:w w:val="89"/>
              </w:rPr>
              <w:t>means, with respect to either the use or administration of Term SOFR or the</w:t>
            </w:r>
          </w:p>
        </w:tc>
      </w:tr>
      <w:tr>
        <w:trPr>
          <w:trHeight w:val="243"/>
        </w:trPr>
        <w:tc>
          <w:tcPr>
            <w:tcW w:w="3320" w:type="dxa"/>
            <w:vAlign w:val="bottom"/>
          </w:tcPr>
          <w:p>
            <w:pPr>
              <w:spacing w:after="0"/>
              <w:rPr>
                <w:sz w:val="21"/>
                <w:szCs w:val="21"/>
                <w:color w:val="auto"/>
              </w:rPr>
            </w:pPr>
          </w:p>
        </w:tc>
        <w:tc>
          <w:tcPr>
            <w:tcW w:w="7820" w:type="dxa"/>
            <w:vAlign w:val="bottom"/>
          </w:tcPr>
          <w:p>
            <w:pPr>
              <w:ind w:left="1180"/>
              <w:spacing w:after="0" w:line="243" w:lineRule="exact"/>
              <w:rPr>
                <w:sz w:val="20"/>
                <w:szCs w:val="20"/>
                <w:color w:val="auto"/>
              </w:rPr>
            </w:pPr>
            <w:r>
              <w:rPr>
                <w:rFonts w:ascii="Arial" w:cs="Arial" w:eastAsia="Arial" w:hAnsi="Arial"/>
                <w:sz w:val="22"/>
                <w:szCs w:val="22"/>
                <w:color w:val="auto"/>
                <w:w w:val="96"/>
              </w:rPr>
              <w:t>use,  administration,  adoption  or  implementation  of  any  Benchmark</w:t>
            </w:r>
          </w:p>
        </w:tc>
      </w:tr>
      <w:tr>
        <w:trPr>
          <w:trHeight w:val="243"/>
        </w:trPr>
        <w:tc>
          <w:tcPr>
            <w:tcW w:w="3320" w:type="dxa"/>
            <w:vAlign w:val="bottom"/>
          </w:tcPr>
          <w:p>
            <w:pPr>
              <w:spacing w:after="0"/>
              <w:rPr>
                <w:sz w:val="21"/>
                <w:szCs w:val="21"/>
                <w:color w:val="auto"/>
              </w:rPr>
            </w:pPr>
          </w:p>
        </w:tc>
        <w:tc>
          <w:tcPr>
            <w:tcW w:w="7820" w:type="dxa"/>
            <w:vAlign w:val="bottom"/>
          </w:tcPr>
          <w:p>
            <w:pPr>
              <w:ind w:left="1180"/>
              <w:spacing w:after="0" w:line="243" w:lineRule="exact"/>
              <w:rPr>
                <w:sz w:val="20"/>
                <w:szCs w:val="20"/>
                <w:color w:val="auto"/>
              </w:rPr>
            </w:pPr>
            <w:r>
              <w:rPr>
                <w:rFonts w:ascii="Arial" w:cs="Arial" w:eastAsia="Arial" w:hAnsi="Arial"/>
                <w:sz w:val="22"/>
                <w:szCs w:val="22"/>
                <w:color w:val="auto"/>
                <w:w w:val="96"/>
              </w:rPr>
              <w:t>Replacement,  any  technical,  administrative  or  operational  changes</w:t>
            </w:r>
          </w:p>
        </w:tc>
      </w:tr>
      <w:tr>
        <w:trPr>
          <w:trHeight w:val="243"/>
        </w:trPr>
        <w:tc>
          <w:tcPr>
            <w:tcW w:w="3320" w:type="dxa"/>
            <w:vAlign w:val="bottom"/>
          </w:tcPr>
          <w:p>
            <w:pPr>
              <w:spacing w:after="0"/>
              <w:rPr>
                <w:sz w:val="21"/>
                <w:szCs w:val="21"/>
                <w:color w:val="auto"/>
              </w:rPr>
            </w:pPr>
          </w:p>
        </w:tc>
        <w:tc>
          <w:tcPr>
            <w:tcW w:w="7820" w:type="dxa"/>
            <w:vAlign w:val="bottom"/>
          </w:tcPr>
          <w:p>
            <w:pPr>
              <w:ind w:left="1180"/>
              <w:spacing w:after="0" w:line="243" w:lineRule="exact"/>
              <w:rPr>
                <w:sz w:val="20"/>
                <w:szCs w:val="20"/>
                <w:color w:val="auto"/>
              </w:rPr>
            </w:pPr>
            <w:r>
              <w:rPr>
                <w:rFonts w:ascii="Arial" w:cs="Arial" w:eastAsia="Arial" w:hAnsi="Arial"/>
                <w:sz w:val="22"/>
                <w:szCs w:val="22"/>
                <w:color w:val="auto"/>
                <w:w w:val="91"/>
              </w:rPr>
              <w:t>(including changes to the definition of “Banking Day,” the definition of “U.S.</w:t>
            </w:r>
          </w:p>
        </w:tc>
      </w:tr>
      <w:tr>
        <w:trPr>
          <w:trHeight w:val="243"/>
        </w:trPr>
        <w:tc>
          <w:tcPr>
            <w:tcW w:w="3320" w:type="dxa"/>
            <w:vAlign w:val="bottom"/>
          </w:tcPr>
          <w:p>
            <w:pPr>
              <w:spacing w:after="0"/>
              <w:rPr>
                <w:sz w:val="21"/>
                <w:szCs w:val="21"/>
                <w:color w:val="auto"/>
              </w:rPr>
            </w:pPr>
          </w:p>
        </w:tc>
        <w:tc>
          <w:tcPr>
            <w:tcW w:w="7820" w:type="dxa"/>
            <w:vAlign w:val="bottom"/>
          </w:tcPr>
          <w:p>
            <w:pPr>
              <w:ind w:left="1180"/>
              <w:spacing w:after="0" w:line="243" w:lineRule="exact"/>
              <w:rPr>
                <w:sz w:val="20"/>
                <w:szCs w:val="20"/>
                <w:color w:val="auto"/>
              </w:rPr>
            </w:pPr>
            <w:r>
              <w:rPr>
                <w:rFonts w:ascii="Arial" w:cs="Arial" w:eastAsia="Arial" w:hAnsi="Arial"/>
                <w:sz w:val="22"/>
                <w:szCs w:val="22"/>
                <w:color w:val="auto"/>
                <w:w w:val="92"/>
              </w:rPr>
              <w:t>Government Securities Banking Day,” the definition of “Interest Period” or</w:t>
            </w:r>
          </w:p>
        </w:tc>
      </w:tr>
      <w:tr>
        <w:trPr>
          <w:trHeight w:val="243"/>
        </w:trPr>
        <w:tc>
          <w:tcPr>
            <w:tcW w:w="3320" w:type="dxa"/>
            <w:vAlign w:val="bottom"/>
          </w:tcPr>
          <w:p>
            <w:pPr>
              <w:spacing w:after="0"/>
              <w:rPr>
                <w:sz w:val="21"/>
                <w:szCs w:val="21"/>
                <w:color w:val="auto"/>
              </w:rPr>
            </w:pPr>
          </w:p>
        </w:tc>
        <w:tc>
          <w:tcPr>
            <w:tcW w:w="7820" w:type="dxa"/>
            <w:vAlign w:val="bottom"/>
          </w:tcPr>
          <w:p>
            <w:pPr>
              <w:ind w:left="1180"/>
              <w:spacing w:after="0" w:line="243" w:lineRule="exact"/>
              <w:rPr>
                <w:sz w:val="20"/>
                <w:szCs w:val="20"/>
                <w:color w:val="auto"/>
              </w:rPr>
            </w:pPr>
            <w:r>
              <w:rPr>
                <w:rFonts w:ascii="Arial" w:cs="Arial" w:eastAsia="Arial" w:hAnsi="Arial"/>
                <w:sz w:val="22"/>
                <w:szCs w:val="22"/>
                <w:color w:val="auto"/>
                <w:w w:val="91"/>
              </w:rPr>
              <w:t>any similar or analogous definition (or the addition of a concept of “interest</w:t>
            </w:r>
          </w:p>
        </w:tc>
      </w:tr>
      <w:tr>
        <w:trPr>
          <w:trHeight w:val="243"/>
        </w:trPr>
        <w:tc>
          <w:tcPr>
            <w:tcW w:w="3320" w:type="dxa"/>
            <w:vAlign w:val="bottom"/>
          </w:tcPr>
          <w:p>
            <w:pPr>
              <w:spacing w:after="0"/>
              <w:rPr>
                <w:sz w:val="21"/>
                <w:szCs w:val="21"/>
                <w:color w:val="auto"/>
              </w:rPr>
            </w:pPr>
          </w:p>
        </w:tc>
        <w:tc>
          <w:tcPr>
            <w:tcW w:w="7820" w:type="dxa"/>
            <w:vAlign w:val="bottom"/>
          </w:tcPr>
          <w:p>
            <w:pPr>
              <w:ind w:left="1180"/>
              <w:spacing w:after="0" w:line="243" w:lineRule="exact"/>
              <w:rPr>
                <w:sz w:val="20"/>
                <w:szCs w:val="20"/>
                <w:color w:val="auto"/>
              </w:rPr>
            </w:pPr>
            <w:r>
              <w:rPr>
                <w:rFonts w:ascii="Arial" w:cs="Arial" w:eastAsia="Arial" w:hAnsi="Arial"/>
                <w:sz w:val="22"/>
                <w:szCs w:val="22"/>
                <w:color w:val="auto"/>
              </w:rPr>
              <w:t>period”),  timing  and  frequency  of  determining  rates  and  making</w:t>
            </w:r>
          </w:p>
        </w:tc>
      </w:tr>
      <w:tr>
        <w:trPr>
          <w:trHeight w:val="274"/>
        </w:trPr>
        <w:tc>
          <w:tcPr>
            <w:tcW w:w="3320" w:type="dxa"/>
            <w:vAlign w:val="bottom"/>
          </w:tcPr>
          <w:p>
            <w:pPr>
              <w:spacing w:after="0"/>
              <w:rPr>
                <w:sz w:val="23"/>
                <w:szCs w:val="23"/>
                <w:color w:val="auto"/>
              </w:rPr>
            </w:pPr>
          </w:p>
        </w:tc>
        <w:tc>
          <w:tcPr>
            <w:tcW w:w="7820" w:type="dxa"/>
            <w:vAlign w:val="bottom"/>
          </w:tcPr>
          <w:p>
            <w:pPr>
              <w:ind w:left="1180"/>
              <w:spacing w:after="0"/>
              <w:rPr>
                <w:sz w:val="20"/>
                <w:szCs w:val="20"/>
                <w:color w:val="auto"/>
              </w:rPr>
            </w:pPr>
            <w:r>
              <w:rPr>
                <w:rFonts w:ascii="Arial" w:cs="Arial" w:eastAsia="Arial" w:hAnsi="Arial"/>
                <w:sz w:val="22"/>
                <w:szCs w:val="22"/>
                <w:color w:val="auto"/>
              </w:rPr>
              <w:t>payments of</w:t>
            </w:r>
          </w:p>
        </w:tc>
      </w:tr>
      <w:tr>
        <w:trPr>
          <w:trHeight w:val="779"/>
        </w:trPr>
        <w:tc>
          <w:tcPr>
            <w:tcW w:w="3320" w:type="dxa"/>
            <w:vAlign w:val="bottom"/>
          </w:tcPr>
          <w:p>
            <w:pPr>
              <w:spacing w:after="0"/>
              <w:rPr>
                <w:sz w:val="24"/>
                <w:szCs w:val="24"/>
                <w:color w:val="auto"/>
              </w:rPr>
            </w:pPr>
          </w:p>
        </w:tc>
        <w:tc>
          <w:tcPr>
            <w:tcW w:w="7820" w:type="dxa"/>
            <w:vAlign w:val="bottom"/>
          </w:tcPr>
          <w:p>
            <w:pPr>
              <w:ind w:left="1180"/>
              <w:spacing w:after="0"/>
              <w:rPr>
                <w:sz w:val="20"/>
                <w:szCs w:val="20"/>
                <w:color w:val="auto"/>
              </w:rPr>
            </w:pPr>
            <w:r>
              <w:rPr>
                <w:rFonts w:ascii="Arial" w:cs="Arial" w:eastAsia="Arial" w:hAnsi="Arial"/>
                <w:sz w:val="22"/>
                <w:szCs w:val="22"/>
                <w:color w:val="auto"/>
                <w:w w:val="94"/>
              </w:rPr>
              <w:t>interest,  timing  of  borrowing  requests  or  prepayment,  conversion  or</w:t>
            </w:r>
          </w:p>
        </w:tc>
      </w:tr>
      <w:tr>
        <w:trPr>
          <w:trHeight w:val="243"/>
        </w:trPr>
        <w:tc>
          <w:tcPr>
            <w:tcW w:w="3320" w:type="dxa"/>
            <w:vAlign w:val="bottom"/>
          </w:tcPr>
          <w:p>
            <w:pPr>
              <w:spacing w:after="0"/>
              <w:rPr>
                <w:sz w:val="21"/>
                <w:szCs w:val="21"/>
                <w:color w:val="auto"/>
              </w:rPr>
            </w:pPr>
          </w:p>
        </w:tc>
        <w:tc>
          <w:tcPr>
            <w:tcW w:w="7820" w:type="dxa"/>
            <w:vAlign w:val="bottom"/>
          </w:tcPr>
          <w:p>
            <w:pPr>
              <w:ind w:left="1180"/>
              <w:spacing w:after="0" w:line="243" w:lineRule="exact"/>
              <w:rPr>
                <w:sz w:val="20"/>
                <w:szCs w:val="20"/>
                <w:color w:val="auto"/>
              </w:rPr>
            </w:pPr>
            <w:r>
              <w:rPr>
                <w:rFonts w:ascii="Arial" w:cs="Arial" w:eastAsia="Arial" w:hAnsi="Arial"/>
                <w:sz w:val="22"/>
                <w:szCs w:val="22"/>
                <w:color w:val="auto"/>
                <w:w w:val="93"/>
              </w:rPr>
              <w:t>continuation notices, the applicability and length of lookback periods, the</w:t>
            </w:r>
          </w:p>
        </w:tc>
      </w:tr>
      <w:tr>
        <w:trPr>
          <w:trHeight w:val="243"/>
        </w:trPr>
        <w:tc>
          <w:tcPr>
            <w:tcW w:w="3320" w:type="dxa"/>
            <w:vAlign w:val="bottom"/>
          </w:tcPr>
          <w:p>
            <w:pPr>
              <w:spacing w:after="0"/>
              <w:rPr>
                <w:sz w:val="21"/>
                <w:szCs w:val="21"/>
                <w:color w:val="auto"/>
              </w:rPr>
            </w:pPr>
          </w:p>
        </w:tc>
        <w:tc>
          <w:tcPr>
            <w:tcW w:w="7820" w:type="dxa"/>
            <w:vAlign w:val="bottom"/>
          </w:tcPr>
          <w:p>
            <w:pPr>
              <w:ind w:left="1180"/>
              <w:spacing w:after="0" w:line="243" w:lineRule="exact"/>
              <w:rPr>
                <w:sz w:val="20"/>
                <w:szCs w:val="20"/>
                <w:color w:val="auto"/>
              </w:rPr>
            </w:pPr>
            <w:r>
              <w:rPr>
                <w:rFonts w:ascii="Arial" w:cs="Arial" w:eastAsia="Arial" w:hAnsi="Arial"/>
                <w:sz w:val="22"/>
                <w:szCs w:val="22"/>
                <w:color w:val="auto"/>
                <w:w w:val="90"/>
              </w:rPr>
              <w:t>applicability of Section 6.4 and other technical, administrative or operational</w:t>
            </w:r>
          </w:p>
        </w:tc>
      </w:tr>
      <w:tr>
        <w:trPr>
          <w:trHeight w:val="243"/>
        </w:trPr>
        <w:tc>
          <w:tcPr>
            <w:tcW w:w="3320" w:type="dxa"/>
            <w:vAlign w:val="bottom"/>
          </w:tcPr>
          <w:p>
            <w:pPr>
              <w:spacing w:after="0"/>
              <w:rPr>
                <w:sz w:val="21"/>
                <w:szCs w:val="21"/>
                <w:color w:val="auto"/>
              </w:rPr>
            </w:pPr>
          </w:p>
        </w:tc>
        <w:tc>
          <w:tcPr>
            <w:tcW w:w="7820" w:type="dxa"/>
            <w:vAlign w:val="bottom"/>
          </w:tcPr>
          <w:p>
            <w:pPr>
              <w:ind w:left="1180"/>
              <w:spacing w:after="0" w:line="243" w:lineRule="exact"/>
              <w:rPr>
                <w:sz w:val="20"/>
                <w:szCs w:val="20"/>
                <w:color w:val="auto"/>
              </w:rPr>
            </w:pPr>
            <w:r>
              <w:rPr>
                <w:rFonts w:ascii="Arial" w:cs="Arial" w:eastAsia="Arial" w:hAnsi="Arial"/>
                <w:sz w:val="22"/>
                <w:szCs w:val="22"/>
                <w:color w:val="auto"/>
                <w:w w:val="89"/>
              </w:rPr>
              <w:t>matters) that the Administrative Agent decides may be appropriate to reflect</w:t>
            </w:r>
          </w:p>
        </w:tc>
      </w:tr>
      <w:tr>
        <w:trPr>
          <w:trHeight w:val="243"/>
        </w:trPr>
        <w:tc>
          <w:tcPr>
            <w:tcW w:w="3320" w:type="dxa"/>
            <w:vAlign w:val="bottom"/>
          </w:tcPr>
          <w:p>
            <w:pPr>
              <w:spacing w:after="0"/>
              <w:rPr>
                <w:sz w:val="21"/>
                <w:szCs w:val="21"/>
                <w:color w:val="auto"/>
              </w:rPr>
            </w:pPr>
          </w:p>
        </w:tc>
        <w:tc>
          <w:tcPr>
            <w:tcW w:w="7820" w:type="dxa"/>
            <w:vAlign w:val="bottom"/>
          </w:tcPr>
          <w:p>
            <w:pPr>
              <w:ind w:left="1180"/>
              <w:spacing w:after="0" w:line="243" w:lineRule="exact"/>
              <w:rPr>
                <w:sz w:val="20"/>
                <w:szCs w:val="20"/>
                <w:color w:val="auto"/>
              </w:rPr>
            </w:pPr>
            <w:r>
              <w:rPr>
                <w:rFonts w:ascii="Arial" w:cs="Arial" w:eastAsia="Arial" w:hAnsi="Arial"/>
                <w:sz w:val="22"/>
                <w:szCs w:val="22"/>
                <w:color w:val="auto"/>
                <w:w w:val="91"/>
              </w:rPr>
              <w:t>the adoption and implementation of any such rate or to permit the use and</w:t>
            </w:r>
          </w:p>
        </w:tc>
      </w:tr>
      <w:tr>
        <w:trPr>
          <w:trHeight w:val="243"/>
        </w:trPr>
        <w:tc>
          <w:tcPr>
            <w:tcW w:w="3320" w:type="dxa"/>
            <w:vAlign w:val="bottom"/>
          </w:tcPr>
          <w:p>
            <w:pPr>
              <w:spacing w:after="0"/>
              <w:rPr>
                <w:sz w:val="21"/>
                <w:szCs w:val="21"/>
                <w:color w:val="auto"/>
              </w:rPr>
            </w:pPr>
          </w:p>
        </w:tc>
        <w:tc>
          <w:tcPr>
            <w:tcW w:w="7820" w:type="dxa"/>
            <w:vAlign w:val="bottom"/>
          </w:tcPr>
          <w:p>
            <w:pPr>
              <w:ind w:left="1180"/>
              <w:spacing w:after="0" w:line="243" w:lineRule="exact"/>
              <w:rPr>
                <w:sz w:val="20"/>
                <w:szCs w:val="20"/>
                <w:color w:val="auto"/>
              </w:rPr>
            </w:pPr>
            <w:r>
              <w:rPr>
                <w:rFonts w:ascii="Arial" w:cs="Arial" w:eastAsia="Arial" w:hAnsi="Arial"/>
                <w:sz w:val="22"/>
                <w:szCs w:val="22"/>
                <w:color w:val="auto"/>
              </w:rPr>
              <w:t>administration  thereof  by  the  Administrative  Agent  in  a  manner</w:t>
            </w:r>
          </w:p>
        </w:tc>
      </w:tr>
      <w:tr>
        <w:trPr>
          <w:trHeight w:val="243"/>
        </w:trPr>
        <w:tc>
          <w:tcPr>
            <w:tcW w:w="3320" w:type="dxa"/>
            <w:vAlign w:val="bottom"/>
          </w:tcPr>
          <w:p>
            <w:pPr>
              <w:spacing w:after="0"/>
              <w:rPr>
                <w:sz w:val="21"/>
                <w:szCs w:val="21"/>
                <w:color w:val="auto"/>
              </w:rPr>
            </w:pPr>
          </w:p>
        </w:tc>
        <w:tc>
          <w:tcPr>
            <w:tcW w:w="7820" w:type="dxa"/>
            <w:vAlign w:val="bottom"/>
          </w:tcPr>
          <w:p>
            <w:pPr>
              <w:ind w:left="1180"/>
              <w:spacing w:after="0" w:line="243" w:lineRule="exact"/>
              <w:rPr>
                <w:sz w:val="20"/>
                <w:szCs w:val="20"/>
                <w:color w:val="auto"/>
              </w:rPr>
            </w:pPr>
            <w:r>
              <w:rPr>
                <w:rFonts w:ascii="Arial" w:cs="Arial" w:eastAsia="Arial" w:hAnsi="Arial"/>
                <w:sz w:val="22"/>
                <w:szCs w:val="22"/>
                <w:color w:val="auto"/>
                <w:w w:val="90"/>
              </w:rPr>
              <w:t>substantially consistent with market practice (or, if the Administrative Agent</w:t>
            </w:r>
          </w:p>
        </w:tc>
      </w:tr>
      <w:tr>
        <w:trPr>
          <w:trHeight w:val="243"/>
        </w:trPr>
        <w:tc>
          <w:tcPr>
            <w:tcW w:w="3320" w:type="dxa"/>
            <w:vAlign w:val="bottom"/>
          </w:tcPr>
          <w:p>
            <w:pPr>
              <w:spacing w:after="0"/>
              <w:rPr>
                <w:sz w:val="21"/>
                <w:szCs w:val="21"/>
                <w:color w:val="auto"/>
              </w:rPr>
            </w:pPr>
          </w:p>
        </w:tc>
        <w:tc>
          <w:tcPr>
            <w:tcW w:w="7820" w:type="dxa"/>
            <w:vAlign w:val="bottom"/>
          </w:tcPr>
          <w:p>
            <w:pPr>
              <w:ind w:left="1180"/>
              <w:spacing w:after="0" w:line="243" w:lineRule="exact"/>
              <w:rPr>
                <w:sz w:val="20"/>
                <w:szCs w:val="20"/>
                <w:color w:val="auto"/>
              </w:rPr>
            </w:pPr>
            <w:r>
              <w:rPr>
                <w:rFonts w:ascii="Arial" w:cs="Arial" w:eastAsia="Arial" w:hAnsi="Arial"/>
                <w:sz w:val="22"/>
                <w:szCs w:val="22"/>
                <w:color w:val="auto"/>
                <w:w w:val="94"/>
              </w:rPr>
              <w:t>decides that  adoption  of  any  portion  of  such  market  practice  is  not</w:t>
            </w:r>
          </w:p>
        </w:tc>
      </w:tr>
      <w:tr>
        <w:trPr>
          <w:trHeight w:val="243"/>
        </w:trPr>
        <w:tc>
          <w:tcPr>
            <w:tcW w:w="3320" w:type="dxa"/>
            <w:vAlign w:val="bottom"/>
          </w:tcPr>
          <w:p>
            <w:pPr>
              <w:spacing w:after="0"/>
              <w:rPr>
                <w:sz w:val="21"/>
                <w:szCs w:val="21"/>
                <w:color w:val="auto"/>
              </w:rPr>
            </w:pPr>
          </w:p>
        </w:tc>
        <w:tc>
          <w:tcPr>
            <w:tcW w:w="7820" w:type="dxa"/>
            <w:vAlign w:val="bottom"/>
          </w:tcPr>
          <w:p>
            <w:pPr>
              <w:ind w:left="1180"/>
              <w:spacing w:after="0" w:line="243" w:lineRule="exact"/>
              <w:rPr>
                <w:sz w:val="20"/>
                <w:szCs w:val="20"/>
                <w:color w:val="auto"/>
              </w:rPr>
            </w:pPr>
            <w:r>
              <w:rPr>
                <w:rFonts w:ascii="Arial" w:cs="Arial" w:eastAsia="Arial" w:hAnsi="Arial"/>
                <w:sz w:val="22"/>
                <w:szCs w:val="22"/>
                <w:color w:val="auto"/>
                <w:w w:val="93"/>
              </w:rPr>
              <w:t>administratively feasible or if the Administrative Agent determines that no</w:t>
            </w:r>
          </w:p>
        </w:tc>
      </w:tr>
      <w:tr>
        <w:trPr>
          <w:trHeight w:val="243"/>
        </w:trPr>
        <w:tc>
          <w:tcPr>
            <w:tcW w:w="3320" w:type="dxa"/>
            <w:vAlign w:val="bottom"/>
          </w:tcPr>
          <w:p>
            <w:pPr>
              <w:spacing w:after="0"/>
              <w:rPr>
                <w:sz w:val="21"/>
                <w:szCs w:val="21"/>
                <w:color w:val="auto"/>
              </w:rPr>
            </w:pPr>
          </w:p>
        </w:tc>
        <w:tc>
          <w:tcPr>
            <w:tcW w:w="7820" w:type="dxa"/>
            <w:vAlign w:val="bottom"/>
          </w:tcPr>
          <w:p>
            <w:pPr>
              <w:ind w:left="1180"/>
              <w:spacing w:after="0" w:line="243" w:lineRule="exact"/>
              <w:rPr>
                <w:sz w:val="20"/>
                <w:szCs w:val="20"/>
                <w:color w:val="auto"/>
              </w:rPr>
            </w:pPr>
            <w:r>
              <w:rPr>
                <w:rFonts w:ascii="Arial" w:cs="Arial" w:eastAsia="Arial" w:hAnsi="Arial"/>
                <w:sz w:val="22"/>
                <w:szCs w:val="22"/>
                <w:color w:val="auto"/>
                <w:w w:val="91"/>
              </w:rPr>
              <w:t>market practice for the administration of any such rate exists, in such other</w:t>
            </w:r>
          </w:p>
        </w:tc>
      </w:tr>
      <w:tr>
        <w:trPr>
          <w:trHeight w:val="243"/>
        </w:trPr>
        <w:tc>
          <w:tcPr>
            <w:tcW w:w="3320" w:type="dxa"/>
            <w:vAlign w:val="bottom"/>
          </w:tcPr>
          <w:p>
            <w:pPr>
              <w:spacing w:after="0"/>
              <w:rPr>
                <w:sz w:val="21"/>
                <w:szCs w:val="21"/>
                <w:color w:val="auto"/>
              </w:rPr>
            </w:pPr>
          </w:p>
        </w:tc>
        <w:tc>
          <w:tcPr>
            <w:tcW w:w="7820" w:type="dxa"/>
            <w:vAlign w:val="bottom"/>
          </w:tcPr>
          <w:p>
            <w:pPr>
              <w:ind w:left="1180"/>
              <w:spacing w:after="0" w:line="243" w:lineRule="exact"/>
              <w:rPr>
                <w:sz w:val="20"/>
                <w:szCs w:val="20"/>
                <w:color w:val="auto"/>
              </w:rPr>
            </w:pPr>
            <w:r>
              <w:rPr>
                <w:rFonts w:ascii="Arial" w:cs="Arial" w:eastAsia="Arial" w:hAnsi="Arial"/>
                <w:sz w:val="22"/>
                <w:szCs w:val="22"/>
                <w:color w:val="auto"/>
                <w:w w:val="90"/>
              </w:rPr>
              <w:t>manner of administration as the Administrative Agent decides is reasonably</w:t>
            </w:r>
          </w:p>
        </w:tc>
      </w:tr>
      <w:tr>
        <w:trPr>
          <w:trHeight w:val="243"/>
        </w:trPr>
        <w:tc>
          <w:tcPr>
            <w:tcW w:w="3320" w:type="dxa"/>
            <w:vAlign w:val="bottom"/>
          </w:tcPr>
          <w:p>
            <w:pPr>
              <w:spacing w:after="0"/>
              <w:rPr>
                <w:sz w:val="21"/>
                <w:szCs w:val="21"/>
                <w:color w:val="auto"/>
              </w:rPr>
            </w:pPr>
          </w:p>
        </w:tc>
        <w:tc>
          <w:tcPr>
            <w:tcW w:w="7820" w:type="dxa"/>
            <w:vAlign w:val="bottom"/>
          </w:tcPr>
          <w:p>
            <w:pPr>
              <w:ind w:left="1180"/>
              <w:spacing w:after="0" w:line="243" w:lineRule="exact"/>
              <w:rPr>
                <w:sz w:val="20"/>
                <w:szCs w:val="20"/>
                <w:color w:val="auto"/>
              </w:rPr>
            </w:pPr>
            <w:r>
              <w:rPr>
                <w:rFonts w:ascii="Arial" w:cs="Arial" w:eastAsia="Arial" w:hAnsi="Arial"/>
                <w:sz w:val="22"/>
                <w:szCs w:val="22"/>
                <w:color w:val="auto"/>
                <w:w w:val="92"/>
              </w:rPr>
              <w:t>necessary in connection with the administration of this Agreement and the</w:t>
            </w:r>
          </w:p>
        </w:tc>
      </w:tr>
      <w:tr>
        <w:trPr>
          <w:trHeight w:val="274"/>
        </w:trPr>
        <w:tc>
          <w:tcPr>
            <w:tcW w:w="3320" w:type="dxa"/>
            <w:vAlign w:val="bottom"/>
          </w:tcPr>
          <w:p>
            <w:pPr>
              <w:spacing w:after="0"/>
              <w:rPr>
                <w:sz w:val="23"/>
                <w:szCs w:val="23"/>
                <w:color w:val="auto"/>
              </w:rPr>
            </w:pPr>
          </w:p>
        </w:tc>
        <w:tc>
          <w:tcPr>
            <w:tcW w:w="7820" w:type="dxa"/>
            <w:vAlign w:val="bottom"/>
          </w:tcPr>
          <w:p>
            <w:pPr>
              <w:ind w:left="1180"/>
              <w:spacing w:after="0"/>
              <w:rPr>
                <w:sz w:val="20"/>
                <w:szCs w:val="20"/>
                <w:color w:val="auto"/>
              </w:rPr>
            </w:pPr>
            <w:r>
              <w:rPr>
                <w:rFonts w:ascii="Arial" w:cs="Arial" w:eastAsia="Arial" w:hAnsi="Arial"/>
                <w:sz w:val="22"/>
                <w:szCs w:val="22"/>
                <w:color w:val="auto"/>
              </w:rPr>
              <w:t>other Transaction Documents);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32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Credit Party(ies)</w:t>
            </w:r>
            <w:r>
              <w:rPr>
                <w:rFonts w:ascii="Arial" w:cs="Arial" w:eastAsia="Arial" w:hAnsi="Arial"/>
                <w:sz w:val="22"/>
                <w:szCs w:val="22"/>
                <w:color w:val="auto"/>
              </w:rPr>
              <w:t>”</w:t>
            </w:r>
          </w:p>
        </w:tc>
        <w:tc>
          <w:tcPr>
            <w:tcW w:w="7940" w:type="dxa"/>
            <w:vAlign w:val="bottom"/>
          </w:tcPr>
          <w:p>
            <w:pPr>
              <w:ind w:left="1280"/>
              <w:spacing w:after="0"/>
              <w:rPr>
                <w:sz w:val="20"/>
                <w:szCs w:val="20"/>
                <w:color w:val="auto"/>
              </w:rPr>
            </w:pPr>
            <w:r>
              <w:rPr>
                <w:rFonts w:ascii="Arial" w:cs="Arial" w:eastAsia="Arial" w:hAnsi="Arial"/>
                <w:sz w:val="22"/>
                <w:szCs w:val="22"/>
                <w:color w:val="auto"/>
              </w:rPr>
              <w:t>shall mean the Borrowers and the Guarantor;</w:t>
            </w:r>
          </w:p>
        </w:tc>
      </w:tr>
      <w:tr>
        <w:trPr>
          <w:trHeight w:val="422"/>
        </w:trPr>
        <w:tc>
          <w:tcPr>
            <w:tcW w:w="332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Creditor(s)</w:t>
            </w:r>
            <w:r>
              <w:rPr>
                <w:rFonts w:ascii="Arial" w:cs="Arial" w:eastAsia="Arial" w:hAnsi="Arial"/>
                <w:sz w:val="22"/>
                <w:szCs w:val="22"/>
                <w:color w:val="auto"/>
              </w:rPr>
              <w:t>”</w:t>
            </w:r>
          </w:p>
        </w:tc>
        <w:tc>
          <w:tcPr>
            <w:tcW w:w="7940" w:type="dxa"/>
            <w:vAlign w:val="bottom"/>
          </w:tcPr>
          <w:p>
            <w:pPr>
              <w:ind w:left="1280"/>
              <w:spacing w:after="0"/>
              <w:rPr>
                <w:sz w:val="20"/>
                <w:szCs w:val="20"/>
                <w:color w:val="auto"/>
              </w:rPr>
            </w:pPr>
            <w:r>
              <w:rPr>
                <w:rFonts w:ascii="Arial" w:cs="Arial" w:eastAsia="Arial" w:hAnsi="Arial"/>
                <w:sz w:val="22"/>
                <w:szCs w:val="22"/>
                <w:color w:val="auto"/>
                <w:w w:val="95"/>
              </w:rPr>
              <w:t>shall mean, together, the Mandated Lead Arranger, the Bookrunner, the</w:t>
            </w:r>
          </w:p>
        </w:tc>
      </w:tr>
      <w:tr>
        <w:trPr>
          <w:trHeight w:val="280"/>
        </w:trPr>
        <w:tc>
          <w:tcPr>
            <w:tcW w:w="3320" w:type="dxa"/>
            <w:vAlign w:val="bottom"/>
          </w:tcPr>
          <w:p>
            <w:pPr>
              <w:spacing w:after="0"/>
              <w:rPr>
                <w:sz w:val="24"/>
                <w:szCs w:val="24"/>
                <w:color w:val="auto"/>
              </w:rPr>
            </w:pPr>
          </w:p>
        </w:tc>
        <w:tc>
          <w:tcPr>
            <w:tcW w:w="7940" w:type="dxa"/>
            <w:vAlign w:val="bottom"/>
          </w:tcPr>
          <w:p>
            <w:pPr>
              <w:ind w:left="1280"/>
              <w:spacing w:after="0"/>
              <w:rPr>
                <w:sz w:val="20"/>
                <w:szCs w:val="20"/>
                <w:color w:val="auto"/>
              </w:rPr>
            </w:pPr>
            <w:r>
              <w:rPr>
                <w:rFonts w:ascii="Arial" w:cs="Arial" w:eastAsia="Arial" w:hAnsi="Arial"/>
                <w:sz w:val="22"/>
                <w:szCs w:val="22"/>
                <w:color w:val="auto"/>
              </w:rPr>
              <w:t>Agents, the Lenders and any Hedging Bank, each a “</w:t>
            </w:r>
            <w:r>
              <w:rPr>
                <w:rFonts w:ascii="Arial" w:cs="Arial" w:eastAsia="Arial" w:hAnsi="Arial"/>
                <w:sz w:val="22"/>
                <w:szCs w:val="22"/>
                <w:b w:val="1"/>
                <w:bCs w:val="1"/>
                <w:color w:val="auto"/>
              </w:rPr>
              <w:t>Creditor</w:t>
            </w:r>
            <w:r>
              <w:rPr>
                <w:rFonts w:ascii="Arial" w:cs="Arial" w:eastAsia="Arial" w:hAnsi="Arial"/>
                <w:sz w:val="22"/>
                <w:szCs w:val="22"/>
                <w:color w:val="auto"/>
              </w:rPr>
              <w:t>”;</w:t>
            </w:r>
          </w:p>
        </w:tc>
      </w:tr>
      <w:tr>
        <w:trPr>
          <w:trHeight w:val="684"/>
        </w:trPr>
        <w:tc>
          <w:tcPr>
            <w:tcW w:w="332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w:t>
            </w:r>
            <w:r>
              <w:rPr>
                <w:rFonts w:ascii="Arial" w:cs="Arial" w:eastAsia="Arial" w:hAnsi="Arial"/>
                <w:sz w:val="22"/>
                <w:szCs w:val="22"/>
                <w:color w:val="auto"/>
              </w:rPr>
              <w:t>”</w:t>
            </w:r>
          </w:p>
        </w:tc>
        <w:tc>
          <w:tcPr>
            <w:tcW w:w="7940" w:type="dxa"/>
            <w:vAlign w:val="bottom"/>
          </w:tcPr>
          <w:p>
            <w:pPr>
              <w:ind w:left="1280"/>
              <w:spacing w:after="0"/>
              <w:rPr>
                <w:sz w:val="20"/>
                <w:szCs w:val="20"/>
                <w:color w:val="auto"/>
              </w:rPr>
            </w:pPr>
            <w:r>
              <w:rPr>
                <w:rFonts w:ascii="Arial" w:cs="Arial" w:eastAsia="Arial" w:hAnsi="Arial"/>
                <w:sz w:val="22"/>
                <w:szCs w:val="22"/>
                <w:color w:val="auto"/>
                <w:w w:val="93"/>
              </w:rPr>
              <w:t>shall mean any event that would, with the giving of notice, the passage of</w:t>
            </w:r>
          </w:p>
        </w:tc>
      </w:tr>
      <w:tr>
        <w:trPr>
          <w:trHeight w:val="243"/>
        </w:trPr>
        <w:tc>
          <w:tcPr>
            <w:tcW w:w="3320" w:type="dxa"/>
            <w:vAlign w:val="bottom"/>
          </w:tcPr>
          <w:p>
            <w:pPr>
              <w:spacing w:after="0"/>
              <w:rPr>
                <w:sz w:val="21"/>
                <w:szCs w:val="21"/>
                <w:color w:val="auto"/>
              </w:rPr>
            </w:pPr>
          </w:p>
        </w:tc>
        <w:tc>
          <w:tcPr>
            <w:tcW w:w="7940" w:type="dxa"/>
            <w:vAlign w:val="bottom"/>
          </w:tcPr>
          <w:p>
            <w:pPr>
              <w:ind w:left="1280"/>
              <w:spacing w:after="0" w:line="243" w:lineRule="exact"/>
              <w:rPr>
                <w:sz w:val="20"/>
                <w:szCs w:val="20"/>
                <w:color w:val="auto"/>
              </w:rPr>
            </w:pPr>
            <w:r>
              <w:rPr>
                <w:rFonts w:ascii="Arial" w:cs="Arial" w:eastAsia="Arial" w:hAnsi="Arial"/>
                <w:sz w:val="22"/>
                <w:szCs w:val="22"/>
                <w:color w:val="auto"/>
                <w:w w:val="94"/>
              </w:rPr>
              <w:t>time or the making of any determination hereunder or under the Security</w:t>
            </w:r>
          </w:p>
        </w:tc>
      </w:tr>
      <w:tr>
        <w:trPr>
          <w:trHeight w:val="274"/>
        </w:trPr>
        <w:tc>
          <w:tcPr>
            <w:tcW w:w="3320" w:type="dxa"/>
            <w:vAlign w:val="bottom"/>
          </w:tcPr>
          <w:p>
            <w:pPr>
              <w:spacing w:after="0"/>
              <w:rPr>
                <w:sz w:val="23"/>
                <w:szCs w:val="23"/>
                <w:color w:val="auto"/>
              </w:rPr>
            </w:pPr>
          </w:p>
        </w:tc>
        <w:tc>
          <w:tcPr>
            <w:tcW w:w="7940" w:type="dxa"/>
            <w:vAlign w:val="bottom"/>
          </w:tcPr>
          <w:p>
            <w:pPr>
              <w:ind w:left="1280"/>
              <w:spacing w:after="0"/>
              <w:rPr>
                <w:sz w:val="20"/>
                <w:szCs w:val="20"/>
                <w:color w:val="auto"/>
              </w:rPr>
            </w:pPr>
            <w:r>
              <w:rPr>
                <w:rFonts w:ascii="Arial" w:cs="Arial" w:eastAsia="Arial" w:hAnsi="Arial"/>
                <w:sz w:val="22"/>
                <w:szCs w:val="22"/>
                <w:color w:val="auto"/>
              </w:rPr>
              <w:t>Documents, or any or all thereof, be an Event of Default;</w:t>
            </w:r>
          </w:p>
        </w:tc>
      </w:tr>
      <w:tr>
        <w:trPr>
          <w:trHeight w:val="698"/>
        </w:trPr>
        <w:tc>
          <w:tcPr>
            <w:tcW w:w="332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 Rate</w:t>
            </w:r>
            <w:r>
              <w:rPr>
                <w:rFonts w:ascii="Arial" w:cs="Arial" w:eastAsia="Arial" w:hAnsi="Arial"/>
                <w:sz w:val="22"/>
                <w:szCs w:val="22"/>
                <w:color w:val="auto"/>
              </w:rPr>
              <w:t>”</w:t>
            </w:r>
          </w:p>
        </w:tc>
        <w:tc>
          <w:tcPr>
            <w:tcW w:w="7940" w:type="dxa"/>
            <w:vAlign w:val="bottom"/>
          </w:tcPr>
          <w:p>
            <w:pPr>
              <w:ind w:left="1280"/>
              <w:spacing w:after="0"/>
              <w:rPr>
                <w:sz w:val="20"/>
                <w:szCs w:val="20"/>
                <w:color w:val="auto"/>
              </w:rPr>
            </w:pPr>
            <w:r>
              <w:rPr>
                <w:rFonts w:ascii="Arial" w:cs="Arial" w:eastAsia="Arial" w:hAnsi="Arial"/>
                <w:sz w:val="22"/>
                <w:szCs w:val="22"/>
                <w:color w:val="auto"/>
                <w:w w:val="90"/>
              </w:rPr>
              <w:t>shall mean a rate per annum equal to two percent (2%) over the Applicable</w:t>
            </w:r>
          </w:p>
        </w:tc>
      </w:tr>
      <w:tr>
        <w:trPr>
          <w:trHeight w:val="274"/>
        </w:trPr>
        <w:tc>
          <w:tcPr>
            <w:tcW w:w="3320" w:type="dxa"/>
            <w:vAlign w:val="bottom"/>
          </w:tcPr>
          <w:p>
            <w:pPr>
              <w:spacing w:after="0"/>
              <w:rPr>
                <w:sz w:val="23"/>
                <w:szCs w:val="23"/>
                <w:color w:val="auto"/>
              </w:rPr>
            </w:pPr>
          </w:p>
        </w:tc>
        <w:tc>
          <w:tcPr>
            <w:tcW w:w="7940" w:type="dxa"/>
            <w:vAlign w:val="bottom"/>
          </w:tcPr>
          <w:p>
            <w:pPr>
              <w:ind w:left="1280"/>
              <w:spacing w:after="0"/>
              <w:rPr>
                <w:sz w:val="20"/>
                <w:szCs w:val="20"/>
                <w:color w:val="auto"/>
              </w:rPr>
            </w:pPr>
            <w:r>
              <w:rPr>
                <w:rFonts w:ascii="Arial" w:cs="Arial" w:eastAsia="Arial" w:hAnsi="Arial"/>
                <w:sz w:val="22"/>
                <w:szCs w:val="22"/>
                <w:color w:val="auto"/>
              </w:rPr>
              <w:t>Rate then in effect;</w:t>
            </w:r>
          </w:p>
        </w:tc>
      </w:tr>
      <w:tr>
        <w:trPr>
          <w:trHeight w:val="441"/>
        </w:trPr>
        <w:tc>
          <w:tcPr>
            <w:tcW w:w="332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 Vessel Profit</w:t>
            </w:r>
            <w:r>
              <w:rPr>
                <w:rFonts w:ascii="Arial" w:cs="Arial" w:eastAsia="Arial" w:hAnsi="Arial"/>
                <w:sz w:val="22"/>
                <w:szCs w:val="22"/>
                <w:color w:val="auto"/>
              </w:rPr>
              <w:t>”</w:t>
            </w:r>
          </w:p>
        </w:tc>
        <w:tc>
          <w:tcPr>
            <w:tcW w:w="7940" w:type="dxa"/>
            <w:vAlign w:val="bottom"/>
          </w:tcPr>
          <w:p>
            <w:pPr>
              <w:ind w:left="1280"/>
              <w:spacing w:after="0"/>
              <w:rPr>
                <w:sz w:val="20"/>
                <w:szCs w:val="20"/>
                <w:color w:val="auto"/>
              </w:rPr>
            </w:pPr>
            <w:r>
              <w:rPr>
                <w:rFonts w:ascii="Arial" w:cs="Arial" w:eastAsia="Arial" w:hAnsi="Arial"/>
                <w:sz w:val="22"/>
                <w:szCs w:val="22"/>
                <w:color w:val="auto"/>
                <w:w w:val="89"/>
              </w:rPr>
              <w:t>shall mean, with respect to each calendar year, the aggregate amount of the</w:t>
            </w:r>
          </w:p>
        </w:tc>
      </w:tr>
      <w:tr>
        <w:trPr>
          <w:trHeight w:val="243"/>
        </w:trPr>
        <w:tc>
          <w:tcPr>
            <w:tcW w:w="3320" w:type="dxa"/>
            <w:vAlign w:val="bottom"/>
          </w:tcPr>
          <w:p>
            <w:pPr>
              <w:spacing w:after="0"/>
              <w:rPr>
                <w:sz w:val="21"/>
                <w:szCs w:val="21"/>
                <w:color w:val="auto"/>
              </w:rPr>
            </w:pPr>
          </w:p>
        </w:tc>
        <w:tc>
          <w:tcPr>
            <w:tcW w:w="7940" w:type="dxa"/>
            <w:vAlign w:val="bottom"/>
          </w:tcPr>
          <w:p>
            <w:pPr>
              <w:ind w:left="1280"/>
              <w:spacing w:after="0" w:line="243" w:lineRule="exact"/>
              <w:rPr>
                <w:sz w:val="20"/>
                <w:szCs w:val="20"/>
                <w:color w:val="auto"/>
              </w:rPr>
            </w:pPr>
            <w:r>
              <w:rPr>
                <w:rFonts w:ascii="Arial" w:cs="Arial" w:eastAsia="Arial" w:hAnsi="Arial"/>
                <w:sz w:val="22"/>
                <w:szCs w:val="22"/>
                <w:color w:val="auto"/>
                <w:w w:val="93"/>
              </w:rPr>
              <w:t>Borrowers’ (x) operating revenues less (y) operating expenses (excluding</w:t>
            </w:r>
          </w:p>
        </w:tc>
      </w:tr>
      <w:tr>
        <w:trPr>
          <w:trHeight w:val="274"/>
        </w:trPr>
        <w:tc>
          <w:tcPr>
            <w:tcW w:w="3320" w:type="dxa"/>
            <w:vAlign w:val="bottom"/>
          </w:tcPr>
          <w:p>
            <w:pPr>
              <w:spacing w:after="0"/>
              <w:rPr>
                <w:sz w:val="23"/>
                <w:szCs w:val="23"/>
                <w:color w:val="auto"/>
              </w:rPr>
            </w:pPr>
          </w:p>
        </w:tc>
        <w:tc>
          <w:tcPr>
            <w:tcW w:w="7940" w:type="dxa"/>
            <w:vAlign w:val="bottom"/>
          </w:tcPr>
          <w:p>
            <w:pPr>
              <w:ind w:left="1280"/>
              <w:spacing w:after="0"/>
              <w:rPr>
                <w:sz w:val="20"/>
                <w:szCs w:val="20"/>
                <w:color w:val="auto"/>
              </w:rPr>
            </w:pPr>
            <w:r>
              <w:rPr>
                <w:rFonts w:ascii="Arial" w:cs="Arial" w:eastAsia="Arial" w:hAnsi="Arial"/>
                <w:sz w:val="22"/>
                <w:szCs w:val="22"/>
                <w:color w:val="auto"/>
              </w:rPr>
              <w:t>leased-in equipment);</w:t>
            </w:r>
          </w:p>
        </w:tc>
      </w:tr>
      <w:tr>
        <w:trPr>
          <w:trHeight w:val="441"/>
        </w:trPr>
        <w:tc>
          <w:tcPr>
            <w:tcW w:w="332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DOC</w:t>
            </w:r>
            <w:r>
              <w:rPr>
                <w:rFonts w:ascii="Arial" w:cs="Arial" w:eastAsia="Arial" w:hAnsi="Arial"/>
                <w:sz w:val="22"/>
                <w:szCs w:val="22"/>
                <w:color w:val="auto"/>
              </w:rPr>
              <w:t>”</w:t>
            </w:r>
          </w:p>
        </w:tc>
        <w:tc>
          <w:tcPr>
            <w:tcW w:w="7940" w:type="dxa"/>
            <w:vAlign w:val="bottom"/>
          </w:tcPr>
          <w:p>
            <w:pPr>
              <w:ind w:left="1280"/>
              <w:spacing w:after="0"/>
              <w:rPr>
                <w:sz w:val="20"/>
                <w:szCs w:val="20"/>
                <w:color w:val="auto"/>
              </w:rPr>
            </w:pPr>
            <w:r>
              <w:rPr>
                <w:rFonts w:ascii="Arial" w:cs="Arial" w:eastAsia="Arial" w:hAnsi="Arial"/>
                <w:sz w:val="22"/>
                <w:szCs w:val="22"/>
                <w:color w:val="auto"/>
                <w:w w:val="90"/>
              </w:rPr>
              <w:t>shall mean a document of compliance issued to an Operator in accordance</w:t>
            </w:r>
          </w:p>
        </w:tc>
      </w:tr>
      <w:tr>
        <w:trPr>
          <w:trHeight w:val="274"/>
        </w:trPr>
        <w:tc>
          <w:tcPr>
            <w:tcW w:w="3320" w:type="dxa"/>
            <w:vAlign w:val="bottom"/>
          </w:tcPr>
          <w:p>
            <w:pPr>
              <w:spacing w:after="0"/>
              <w:rPr>
                <w:sz w:val="23"/>
                <w:szCs w:val="23"/>
                <w:color w:val="auto"/>
              </w:rPr>
            </w:pPr>
          </w:p>
        </w:tc>
        <w:tc>
          <w:tcPr>
            <w:tcW w:w="7940" w:type="dxa"/>
            <w:vAlign w:val="bottom"/>
          </w:tcPr>
          <w:p>
            <w:pPr>
              <w:ind w:left="1280"/>
              <w:spacing w:after="0"/>
              <w:rPr>
                <w:sz w:val="20"/>
                <w:szCs w:val="20"/>
                <w:color w:val="auto"/>
              </w:rPr>
            </w:pPr>
            <w:r>
              <w:rPr>
                <w:rFonts w:ascii="Arial" w:cs="Arial" w:eastAsia="Arial" w:hAnsi="Arial"/>
                <w:sz w:val="22"/>
                <w:szCs w:val="22"/>
                <w:color w:val="auto"/>
              </w:rPr>
              <w:t>with rule 13 of the ISM Code;</w:t>
            </w:r>
          </w:p>
        </w:tc>
      </w:tr>
      <w:tr>
        <w:trPr>
          <w:trHeight w:val="574"/>
        </w:trPr>
        <w:tc>
          <w:tcPr>
            <w:tcW w:w="3320" w:type="dxa"/>
            <w:vAlign w:val="bottom"/>
          </w:tcPr>
          <w:p>
            <w:pPr>
              <w:spacing w:after="0"/>
              <w:rPr>
                <w:sz w:val="24"/>
                <w:szCs w:val="24"/>
                <w:color w:val="auto"/>
              </w:rPr>
            </w:pPr>
          </w:p>
        </w:tc>
        <w:tc>
          <w:tcPr>
            <w:tcW w:w="7940" w:type="dxa"/>
            <w:vAlign w:val="bottom"/>
          </w:tcPr>
          <w:p>
            <w:pPr>
              <w:ind w:left="2260"/>
              <w:spacing w:after="0"/>
              <w:rPr>
                <w:sz w:val="20"/>
                <w:szCs w:val="20"/>
                <w:color w:val="auto"/>
              </w:rPr>
            </w:pPr>
            <w:r>
              <w:rPr>
                <w:rFonts w:ascii="Arial" w:cs="Arial" w:eastAsia="Arial" w:hAnsi="Arial"/>
                <w:sz w:val="20"/>
                <w:szCs w:val="20"/>
                <w:color w:val="auto"/>
              </w:rPr>
              <w:t>6</w:t>
            </w:r>
          </w:p>
        </w:tc>
      </w:tr>
      <w:tr>
        <w:trPr>
          <w:trHeight w:val="327"/>
        </w:trPr>
        <w:tc>
          <w:tcPr>
            <w:tcW w:w="3320" w:type="dxa"/>
            <w:vAlign w:val="bottom"/>
            <w:tcBorders>
              <w:bottom w:val="single" w:sz="8" w:color="9A9A9A"/>
            </w:tcBorders>
          </w:tcPr>
          <w:p>
            <w:pPr>
              <w:spacing w:after="0"/>
              <w:rPr>
                <w:sz w:val="24"/>
                <w:szCs w:val="24"/>
                <w:color w:val="auto"/>
              </w:rPr>
            </w:pPr>
          </w:p>
        </w:tc>
        <w:tc>
          <w:tcPr>
            <w:tcW w:w="7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05" w:right="319" w:bottom="1440" w:gutter="0" w:footer="0" w:header="0"/>
        </w:sectPr>
      </w:pPr>
    </w:p>
    <w:bookmarkStart w:id="144" w:name="page145"/>
    <w:bookmarkEnd w:id="144"/>
    <w:p>
      <w:pPr>
        <w:ind w:left="100"/>
        <w:spacing w:after="0"/>
        <w:tabs>
          <w:tab w:leader="none" w:pos="458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Dollars</w:t>
      </w:r>
      <w:r>
        <w:rPr>
          <w:rFonts w:ascii="Arial" w:cs="Arial" w:eastAsia="Arial" w:hAnsi="Arial"/>
          <w:sz w:val="22"/>
          <w:szCs w:val="22"/>
          <w:color w:val="auto"/>
        </w:rPr>
        <w:t>” and the sign “</w:t>
      </w:r>
      <w:r>
        <w:rPr>
          <w:rFonts w:ascii="Arial" w:cs="Arial" w:eastAsia="Arial" w:hAnsi="Arial"/>
          <w:sz w:val="22"/>
          <w:szCs w:val="22"/>
          <w:b w:val="1"/>
          <w:bCs w:val="1"/>
          <w:color w:val="auto"/>
        </w:rPr>
        <w:t>$</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shall mean the legal currency, at any relevant time hereunder, of the United</w:t>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22"/>
          <w:szCs w:val="22"/>
          <w:color w:val="auto"/>
        </w:rPr>
        <w:t>States of America and, in relation to all payments hereunder, in same day</w:t>
      </w:r>
    </w:p>
    <w:p>
      <w:pPr>
        <w:ind w:left="4600"/>
        <w:spacing w:after="0"/>
        <w:rPr>
          <w:sz w:val="20"/>
          <w:szCs w:val="20"/>
          <w:color w:val="auto"/>
        </w:rPr>
      </w:pPr>
      <w:r>
        <w:rPr>
          <w:rFonts w:ascii="Arial" w:cs="Arial" w:eastAsia="Arial" w:hAnsi="Arial"/>
          <w:sz w:val="19"/>
          <w:szCs w:val="19"/>
          <w:color w:val="auto"/>
        </w:rPr>
        <w:t>funds settled through the New York Clearing House Interbank Payments</w:t>
      </w:r>
    </w:p>
    <w:p>
      <w:pPr>
        <w:spacing w:after="0" w:line="25"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System  (or  such  other  Dollar  funds  as  may  be  determined  by  the</w:t>
      </w:r>
    </w:p>
    <w:p>
      <w:pPr>
        <w:spacing w:after="0" w:line="25"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Administrative Agent to be customary for the settlement in New York City</w:t>
      </w:r>
    </w:p>
    <w:p>
      <w:pPr>
        <w:spacing w:after="0" w:line="25"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of banking transactions of the type herein involved);</w:t>
      </w:r>
    </w:p>
    <w:p>
      <w:pPr>
        <w:sectPr>
          <w:pgSz w:w="11900" w:h="16838" w:orient="portrait"/>
          <w:cols w:equalWidth="0" w:num="1">
            <w:col w:w="11260"/>
          </w:cols>
          <w:pgMar w:left="320" w:top="43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Earnings Assignment(s)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EEA Financial Institution</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7" w:right="20"/>
        <w:spacing w:after="0"/>
        <w:rPr>
          <w:sz w:val="20"/>
          <w:szCs w:val="20"/>
          <w:color w:val="auto"/>
        </w:rPr>
      </w:pPr>
      <w:r>
        <w:rPr>
          <w:rFonts w:ascii="Arial" w:cs="Arial" w:eastAsia="Arial" w:hAnsi="Arial"/>
          <w:sz w:val="22"/>
          <w:szCs w:val="22"/>
          <w:color w:val="auto"/>
        </w:rPr>
        <w:t>shall mean each of the amended and restated first priority assignments of earnings, charterparties and requisition compensation in respect of (i) the earnings of a Vessel from</w:t>
      </w:r>
    </w:p>
    <w:p>
      <w:pPr>
        <w:spacing w:after="0" w:line="262" w:lineRule="exact"/>
        <w:rPr>
          <w:sz w:val="20"/>
          <w:szCs w:val="20"/>
          <w:color w:val="auto"/>
        </w:rPr>
      </w:pPr>
    </w:p>
    <w:p>
      <w:pPr>
        <w:ind w:left="7"/>
        <w:spacing w:after="0"/>
        <w:rPr>
          <w:sz w:val="20"/>
          <w:szCs w:val="20"/>
          <w:color w:val="auto"/>
        </w:rPr>
      </w:pPr>
      <w:r>
        <w:rPr>
          <w:rFonts w:ascii="Arial" w:cs="Arial" w:eastAsia="Arial" w:hAnsi="Arial"/>
          <w:sz w:val="22"/>
          <w:szCs w:val="22"/>
          <w:color w:val="auto"/>
        </w:rPr>
        <w:t>any and all sources (including requisition compensation) and</w:t>
      </w:r>
    </w:p>
    <w:p>
      <w:pPr>
        <w:jc w:val="both"/>
        <w:ind w:left="7" w:right="20" w:hanging="7"/>
        <w:spacing w:after="0" w:line="234" w:lineRule="auto"/>
        <w:tabs>
          <w:tab w:leader="none" w:pos="379"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any charter or other contract relating to a Vessel, executed by the relevant Borrower in favor of the Security Trustee, substantially in the form set out in Exhibit E;</w:t>
      </w:r>
    </w:p>
    <w:p>
      <w:pPr>
        <w:spacing w:after="0" w:line="201" w:lineRule="exact"/>
        <w:rPr>
          <w:sz w:val="20"/>
          <w:szCs w:val="20"/>
          <w:color w:val="auto"/>
        </w:rPr>
      </w:pPr>
    </w:p>
    <w:p>
      <w:pPr>
        <w:jc w:val="both"/>
        <w:ind w:left="7" w:right="20"/>
        <w:spacing w:after="0" w:line="271" w:lineRule="auto"/>
        <w:rPr>
          <w:sz w:val="20"/>
          <w:szCs w:val="20"/>
          <w:color w:val="auto"/>
        </w:rPr>
      </w:pPr>
      <w:r>
        <w:rPr>
          <w:rFonts w:ascii="Arial" w:cs="Arial" w:eastAsia="Arial" w:hAnsi="Arial"/>
          <w:sz w:val="19"/>
          <w:szCs w:val="19"/>
          <w:color w:val="auto"/>
        </w:rPr>
        <w:t>shall mean (a) any credit institution or investment firm established in any EEA Member Country that is subject to the supervision of an EEA Resolution Authority, (b) any entity established in an EEA Member Country that is a parent of an institution described in clause (a) of this definition, or</w:t>
      </w:r>
    </w:p>
    <w:p>
      <w:pPr>
        <w:spacing w:after="0" w:line="3" w:lineRule="exact"/>
        <w:rPr>
          <w:sz w:val="20"/>
          <w:szCs w:val="20"/>
          <w:color w:val="auto"/>
        </w:rPr>
      </w:pPr>
    </w:p>
    <w:p>
      <w:pPr>
        <w:jc w:val="both"/>
        <w:ind w:left="7" w:right="20" w:hanging="7"/>
        <w:spacing w:after="0" w:line="248" w:lineRule="auto"/>
        <w:tabs>
          <w:tab w:leader="none" w:pos="304" w:val="left"/>
        </w:tabs>
        <w:numPr>
          <w:ilvl w:val="0"/>
          <w:numId w:val="104"/>
        </w:numPr>
        <w:rPr>
          <w:rFonts w:ascii="Arial" w:cs="Arial" w:eastAsia="Arial" w:hAnsi="Arial"/>
          <w:sz w:val="21"/>
          <w:szCs w:val="21"/>
          <w:color w:val="auto"/>
        </w:rPr>
      </w:pPr>
      <w:r>
        <w:rPr>
          <w:rFonts w:ascii="Arial" w:cs="Arial" w:eastAsia="Arial" w:hAnsi="Arial"/>
          <w:sz w:val="21"/>
          <w:szCs w:val="21"/>
          <w:color w:val="auto"/>
        </w:rPr>
        <w:t>any financial institution established in an EEA Member Country that is a subsidiary of an institution described in clauses (a) or (b) of this definition and is subject to consolidated supervision with its parent;</w:t>
      </w:r>
    </w:p>
    <w:p>
      <w:pPr>
        <w:spacing w:after="0" w:line="200" w:lineRule="exact"/>
        <w:rPr>
          <w:sz w:val="20"/>
          <w:szCs w:val="20"/>
          <w:color w:val="auto"/>
        </w:rPr>
      </w:pPr>
    </w:p>
    <w:p>
      <w:pPr>
        <w:sectPr>
          <w:pgSz w:w="11900" w:h="16838" w:orient="portrait"/>
          <w:cols w:equalWidth="0" w:num="2">
            <w:col w:w="3873" w:space="720"/>
            <w:col w:w="6667"/>
          </w:cols>
          <w:pgMar w:left="320" w:top="436" w:right="31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2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EEA Member Country</w:t>
            </w:r>
            <w:r>
              <w:rPr>
                <w:rFonts w:ascii="Arial" w:cs="Arial" w:eastAsia="Arial" w:hAnsi="Arial"/>
                <w:sz w:val="22"/>
                <w:szCs w:val="22"/>
                <w:color w:val="auto"/>
              </w:rPr>
              <w:t>”</w:t>
            </w:r>
          </w:p>
        </w:tc>
        <w:tc>
          <w:tcPr>
            <w:tcW w:w="7540" w:type="dxa"/>
            <w:vAlign w:val="bottom"/>
          </w:tcPr>
          <w:p>
            <w:pPr>
              <w:ind w:left="880"/>
              <w:spacing w:after="0"/>
              <w:rPr>
                <w:sz w:val="20"/>
                <w:szCs w:val="20"/>
                <w:color w:val="auto"/>
              </w:rPr>
            </w:pPr>
            <w:r>
              <w:rPr>
                <w:rFonts w:ascii="Arial" w:cs="Arial" w:eastAsia="Arial" w:hAnsi="Arial"/>
                <w:sz w:val="22"/>
                <w:szCs w:val="22"/>
                <w:color w:val="auto"/>
                <w:w w:val="98"/>
              </w:rPr>
              <w:t>shall mean any of the member states of the European Union, Iceland,</w:t>
            </w:r>
          </w:p>
        </w:tc>
      </w:tr>
      <w:tr>
        <w:trPr>
          <w:trHeight w:val="274"/>
        </w:trPr>
        <w:tc>
          <w:tcPr>
            <w:tcW w:w="3720" w:type="dxa"/>
            <w:vAlign w:val="bottom"/>
          </w:tcPr>
          <w:p>
            <w:pPr>
              <w:spacing w:after="0"/>
              <w:rPr>
                <w:sz w:val="23"/>
                <w:szCs w:val="23"/>
                <w:color w:val="auto"/>
              </w:rPr>
            </w:pPr>
          </w:p>
        </w:tc>
        <w:tc>
          <w:tcPr>
            <w:tcW w:w="7540" w:type="dxa"/>
            <w:vAlign w:val="bottom"/>
          </w:tcPr>
          <w:p>
            <w:pPr>
              <w:ind w:left="880"/>
              <w:spacing w:after="0"/>
              <w:rPr>
                <w:sz w:val="20"/>
                <w:szCs w:val="20"/>
                <w:color w:val="auto"/>
              </w:rPr>
            </w:pPr>
            <w:r>
              <w:rPr>
                <w:rFonts w:ascii="Arial" w:cs="Arial" w:eastAsia="Arial" w:hAnsi="Arial"/>
                <w:sz w:val="22"/>
                <w:szCs w:val="22"/>
                <w:color w:val="auto"/>
              </w:rPr>
              <w:t>Liechtenstein, and Norway;</w:t>
            </w:r>
          </w:p>
        </w:tc>
      </w:tr>
      <w:tr>
        <w:trPr>
          <w:trHeight w:val="441"/>
        </w:trPr>
        <w:tc>
          <w:tcPr>
            <w:tcW w:w="372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EEA Resolution Authority</w:t>
            </w:r>
            <w:r>
              <w:rPr>
                <w:rFonts w:ascii="Arial" w:cs="Arial" w:eastAsia="Arial" w:hAnsi="Arial"/>
                <w:sz w:val="22"/>
                <w:szCs w:val="22"/>
                <w:color w:val="auto"/>
              </w:rPr>
              <w:t>”</w:t>
            </w:r>
          </w:p>
        </w:tc>
        <w:tc>
          <w:tcPr>
            <w:tcW w:w="7540" w:type="dxa"/>
            <w:vAlign w:val="bottom"/>
          </w:tcPr>
          <w:p>
            <w:pPr>
              <w:ind w:left="880"/>
              <w:spacing w:after="0"/>
              <w:rPr>
                <w:sz w:val="20"/>
                <w:szCs w:val="20"/>
                <w:color w:val="auto"/>
              </w:rPr>
            </w:pPr>
            <w:r>
              <w:rPr>
                <w:rFonts w:ascii="Arial" w:cs="Arial" w:eastAsia="Arial" w:hAnsi="Arial"/>
                <w:sz w:val="22"/>
                <w:szCs w:val="22"/>
                <w:color w:val="auto"/>
                <w:w w:val="91"/>
              </w:rPr>
              <w:t>shall mean any public administrative authority or any person entrusted with</w:t>
            </w:r>
          </w:p>
        </w:tc>
      </w:tr>
      <w:tr>
        <w:trPr>
          <w:trHeight w:val="243"/>
        </w:trPr>
        <w:tc>
          <w:tcPr>
            <w:tcW w:w="3720" w:type="dxa"/>
            <w:vAlign w:val="bottom"/>
          </w:tcPr>
          <w:p>
            <w:pPr>
              <w:spacing w:after="0"/>
              <w:rPr>
                <w:sz w:val="21"/>
                <w:szCs w:val="21"/>
                <w:color w:val="auto"/>
              </w:rPr>
            </w:pPr>
          </w:p>
        </w:tc>
        <w:tc>
          <w:tcPr>
            <w:tcW w:w="7540" w:type="dxa"/>
            <w:vAlign w:val="bottom"/>
          </w:tcPr>
          <w:p>
            <w:pPr>
              <w:ind w:left="880"/>
              <w:spacing w:after="0" w:line="243" w:lineRule="exact"/>
              <w:rPr>
                <w:sz w:val="20"/>
                <w:szCs w:val="20"/>
                <w:color w:val="auto"/>
              </w:rPr>
            </w:pPr>
            <w:r>
              <w:rPr>
                <w:rFonts w:ascii="Arial" w:cs="Arial" w:eastAsia="Arial" w:hAnsi="Arial"/>
                <w:sz w:val="22"/>
                <w:szCs w:val="22"/>
                <w:color w:val="auto"/>
                <w:w w:val="92"/>
              </w:rPr>
              <w:t>public administrative authority of any EEA Member Country (including any</w:t>
            </w:r>
          </w:p>
        </w:tc>
      </w:tr>
      <w:tr>
        <w:trPr>
          <w:trHeight w:val="243"/>
        </w:trPr>
        <w:tc>
          <w:tcPr>
            <w:tcW w:w="3720" w:type="dxa"/>
            <w:vAlign w:val="bottom"/>
          </w:tcPr>
          <w:p>
            <w:pPr>
              <w:spacing w:after="0"/>
              <w:rPr>
                <w:sz w:val="21"/>
                <w:szCs w:val="21"/>
                <w:color w:val="auto"/>
              </w:rPr>
            </w:pPr>
          </w:p>
        </w:tc>
        <w:tc>
          <w:tcPr>
            <w:tcW w:w="7540" w:type="dxa"/>
            <w:vAlign w:val="bottom"/>
          </w:tcPr>
          <w:p>
            <w:pPr>
              <w:ind w:left="880"/>
              <w:spacing w:after="0" w:line="243" w:lineRule="exact"/>
              <w:rPr>
                <w:sz w:val="20"/>
                <w:szCs w:val="20"/>
                <w:color w:val="auto"/>
              </w:rPr>
            </w:pPr>
            <w:r>
              <w:rPr>
                <w:rFonts w:ascii="Arial" w:cs="Arial" w:eastAsia="Arial" w:hAnsi="Arial"/>
                <w:sz w:val="22"/>
                <w:szCs w:val="22"/>
                <w:color w:val="auto"/>
                <w:w w:val="99"/>
              </w:rPr>
              <w:t>delegee) having responsibility for the resolution of any EEA Financial</w:t>
            </w:r>
          </w:p>
        </w:tc>
      </w:tr>
      <w:tr>
        <w:trPr>
          <w:trHeight w:val="274"/>
        </w:trPr>
        <w:tc>
          <w:tcPr>
            <w:tcW w:w="3720" w:type="dxa"/>
            <w:vAlign w:val="bottom"/>
          </w:tcPr>
          <w:p>
            <w:pPr>
              <w:spacing w:after="0"/>
              <w:rPr>
                <w:sz w:val="23"/>
                <w:szCs w:val="23"/>
                <w:color w:val="auto"/>
              </w:rPr>
            </w:pPr>
          </w:p>
        </w:tc>
        <w:tc>
          <w:tcPr>
            <w:tcW w:w="7540" w:type="dxa"/>
            <w:vAlign w:val="bottom"/>
          </w:tcPr>
          <w:p>
            <w:pPr>
              <w:ind w:left="880"/>
              <w:spacing w:after="0"/>
              <w:rPr>
                <w:sz w:val="20"/>
                <w:szCs w:val="20"/>
                <w:color w:val="auto"/>
              </w:rPr>
            </w:pPr>
            <w:r>
              <w:rPr>
                <w:rFonts w:ascii="Arial" w:cs="Arial" w:eastAsia="Arial" w:hAnsi="Arial"/>
                <w:sz w:val="22"/>
                <w:szCs w:val="22"/>
                <w:color w:val="auto"/>
              </w:rPr>
              <w:t>Institution;</w:t>
            </w:r>
          </w:p>
        </w:tc>
      </w:tr>
      <w:tr>
        <w:trPr>
          <w:trHeight w:val="698"/>
        </w:trPr>
        <w:tc>
          <w:tcPr>
            <w:tcW w:w="372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Affiliate(s)</w:t>
            </w:r>
            <w:r>
              <w:rPr>
                <w:rFonts w:ascii="Arial" w:cs="Arial" w:eastAsia="Arial" w:hAnsi="Arial"/>
                <w:sz w:val="22"/>
                <w:szCs w:val="22"/>
                <w:color w:val="auto"/>
              </w:rPr>
              <w:t>”</w:t>
            </w:r>
          </w:p>
        </w:tc>
        <w:tc>
          <w:tcPr>
            <w:tcW w:w="7540" w:type="dxa"/>
            <w:vAlign w:val="bottom"/>
          </w:tcPr>
          <w:p>
            <w:pPr>
              <w:ind w:left="880"/>
              <w:spacing w:after="0"/>
              <w:rPr>
                <w:sz w:val="20"/>
                <w:szCs w:val="20"/>
                <w:color w:val="auto"/>
              </w:rPr>
            </w:pPr>
            <w:r>
              <w:rPr>
                <w:rFonts w:ascii="Arial" w:cs="Arial" w:eastAsia="Arial" w:hAnsi="Arial"/>
                <w:sz w:val="22"/>
                <w:szCs w:val="22"/>
                <w:color w:val="auto"/>
                <w:w w:val="98"/>
              </w:rPr>
              <w:t>shall mean, with respect to a Security Party, any Person or entity, the</w:t>
            </w:r>
          </w:p>
        </w:tc>
      </w:tr>
      <w:tr>
        <w:trPr>
          <w:trHeight w:val="243"/>
        </w:trPr>
        <w:tc>
          <w:tcPr>
            <w:tcW w:w="3720" w:type="dxa"/>
            <w:vAlign w:val="bottom"/>
          </w:tcPr>
          <w:p>
            <w:pPr>
              <w:spacing w:after="0"/>
              <w:rPr>
                <w:sz w:val="21"/>
                <w:szCs w:val="21"/>
                <w:color w:val="auto"/>
              </w:rPr>
            </w:pPr>
          </w:p>
        </w:tc>
        <w:tc>
          <w:tcPr>
            <w:tcW w:w="7540" w:type="dxa"/>
            <w:vAlign w:val="bottom"/>
          </w:tcPr>
          <w:p>
            <w:pPr>
              <w:ind w:left="880"/>
              <w:spacing w:after="0" w:line="243" w:lineRule="exact"/>
              <w:rPr>
                <w:sz w:val="20"/>
                <w:szCs w:val="20"/>
                <w:color w:val="auto"/>
              </w:rPr>
            </w:pPr>
            <w:r>
              <w:rPr>
                <w:rFonts w:ascii="Arial" w:cs="Arial" w:eastAsia="Arial" w:hAnsi="Arial"/>
                <w:sz w:val="22"/>
                <w:szCs w:val="22"/>
                <w:color w:val="auto"/>
                <w:w w:val="96"/>
              </w:rPr>
              <w:t>liability of which for Environmental Claims any Security Party may have</w:t>
            </w:r>
          </w:p>
        </w:tc>
      </w:tr>
      <w:tr>
        <w:trPr>
          <w:trHeight w:val="274"/>
        </w:trPr>
        <w:tc>
          <w:tcPr>
            <w:tcW w:w="3720" w:type="dxa"/>
            <w:vAlign w:val="bottom"/>
          </w:tcPr>
          <w:p>
            <w:pPr>
              <w:spacing w:after="0"/>
              <w:rPr>
                <w:sz w:val="23"/>
                <w:szCs w:val="23"/>
                <w:color w:val="auto"/>
              </w:rPr>
            </w:pPr>
          </w:p>
        </w:tc>
        <w:tc>
          <w:tcPr>
            <w:tcW w:w="7540" w:type="dxa"/>
            <w:vAlign w:val="bottom"/>
          </w:tcPr>
          <w:p>
            <w:pPr>
              <w:ind w:left="880"/>
              <w:spacing w:after="0"/>
              <w:rPr>
                <w:sz w:val="20"/>
                <w:szCs w:val="20"/>
                <w:color w:val="auto"/>
              </w:rPr>
            </w:pPr>
            <w:r>
              <w:rPr>
                <w:rFonts w:ascii="Arial" w:cs="Arial" w:eastAsia="Arial" w:hAnsi="Arial"/>
                <w:sz w:val="22"/>
                <w:szCs w:val="22"/>
                <w:color w:val="auto"/>
              </w:rPr>
              <w:t>assumed by contract or operation of law;</w:t>
            </w:r>
          </w:p>
        </w:tc>
      </w:tr>
      <w:tr>
        <w:trPr>
          <w:trHeight w:val="729"/>
        </w:trPr>
        <w:tc>
          <w:tcPr>
            <w:tcW w:w="372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Approval(s)</w:t>
            </w:r>
            <w:r>
              <w:rPr>
                <w:rFonts w:ascii="Arial" w:cs="Arial" w:eastAsia="Arial" w:hAnsi="Arial"/>
                <w:sz w:val="22"/>
                <w:szCs w:val="22"/>
                <w:color w:val="auto"/>
              </w:rPr>
              <w:t>”</w:t>
            </w:r>
          </w:p>
        </w:tc>
        <w:tc>
          <w:tcPr>
            <w:tcW w:w="7540" w:type="dxa"/>
            <w:vAlign w:val="bottom"/>
          </w:tcPr>
          <w:p>
            <w:pPr>
              <w:ind w:left="880"/>
              <w:spacing w:after="0"/>
              <w:rPr>
                <w:sz w:val="20"/>
                <w:szCs w:val="20"/>
                <w:color w:val="auto"/>
              </w:rPr>
            </w:pPr>
            <w:r>
              <w:rPr>
                <w:rFonts w:ascii="Arial" w:cs="Arial" w:eastAsia="Arial" w:hAnsi="Arial"/>
                <w:sz w:val="22"/>
                <w:szCs w:val="22"/>
                <w:color w:val="auto"/>
              </w:rPr>
              <w:t>shall have the meaning ascribed thereto in Section 2.1(p);</w:t>
            </w:r>
          </w:p>
        </w:tc>
      </w:tr>
      <w:tr>
        <w:trPr>
          <w:trHeight w:val="459"/>
        </w:trPr>
        <w:tc>
          <w:tcPr>
            <w:tcW w:w="372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Claim(s)</w:t>
            </w:r>
            <w:r>
              <w:rPr>
                <w:rFonts w:ascii="Arial" w:cs="Arial" w:eastAsia="Arial" w:hAnsi="Arial"/>
                <w:sz w:val="22"/>
                <w:szCs w:val="22"/>
                <w:color w:val="auto"/>
              </w:rPr>
              <w:t>”</w:t>
            </w:r>
          </w:p>
        </w:tc>
        <w:tc>
          <w:tcPr>
            <w:tcW w:w="7540" w:type="dxa"/>
            <w:vAlign w:val="bottom"/>
          </w:tcPr>
          <w:p>
            <w:pPr>
              <w:ind w:left="880"/>
              <w:spacing w:after="0"/>
              <w:rPr>
                <w:sz w:val="20"/>
                <w:szCs w:val="20"/>
                <w:color w:val="auto"/>
              </w:rPr>
            </w:pPr>
            <w:r>
              <w:rPr>
                <w:rFonts w:ascii="Arial" w:cs="Arial" w:eastAsia="Arial" w:hAnsi="Arial"/>
                <w:sz w:val="22"/>
                <w:szCs w:val="22"/>
                <w:color w:val="auto"/>
              </w:rPr>
              <w:t>shall have the meaning ascribed thereto in Section 2.1(p);</w:t>
            </w:r>
          </w:p>
        </w:tc>
      </w:tr>
      <w:tr>
        <w:trPr>
          <w:trHeight w:val="459"/>
        </w:trPr>
        <w:tc>
          <w:tcPr>
            <w:tcW w:w="372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Law(s)</w:t>
            </w:r>
            <w:r>
              <w:rPr>
                <w:rFonts w:ascii="Arial" w:cs="Arial" w:eastAsia="Arial" w:hAnsi="Arial"/>
                <w:sz w:val="22"/>
                <w:szCs w:val="22"/>
                <w:color w:val="auto"/>
              </w:rPr>
              <w:t>”</w:t>
            </w:r>
          </w:p>
        </w:tc>
        <w:tc>
          <w:tcPr>
            <w:tcW w:w="7540" w:type="dxa"/>
            <w:vAlign w:val="bottom"/>
          </w:tcPr>
          <w:p>
            <w:pPr>
              <w:ind w:left="880"/>
              <w:spacing w:after="0"/>
              <w:rPr>
                <w:sz w:val="20"/>
                <w:szCs w:val="20"/>
                <w:color w:val="auto"/>
              </w:rPr>
            </w:pPr>
            <w:r>
              <w:rPr>
                <w:rFonts w:ascii="Arial" w:cs="Arial" w:eastAsia="Arial" w:hAnsi="Arial"/>
                <w:sz w:val="22"/>
                <w:szCs w:val="22"/>
                <w:color w:val="auto"/>
              </w:rPr>
              <w:t>shall have the meaning ascribed thereto in Section 2.1(p);</w:t>
            </w:r>
          </w:p>
        </w:tc>
      </w:tr>
      <w:tr>
        <w:trPr>
          <w:trHeight w:val="561"/>
        </w:trPr>
        <w:tc>
          <w:tcPr>
            <w:tcW w:w="3720" w:type="dxa"/>
            <w:vAlign w:val="bottom"/>
          </w:tcPr>
          <w:p>
            <w:pPr>
              <w:spacing w:after="0"/>
              <w:rPr>
                <w:sz w:val="24"/>
                <w:szCs w:val="24"/>
                <w:color w:val="auto"/>
              </w:rPr>
            </w:pPr>
          </w:p>
        </w:tc>
        <w:tc>
          <w:tcPr>
            <w:tcW w:w="7540" w:type="dxa"/>
            <w:vAlign w:val="bottom"/>
          </w:tcPr>
          <w:p>
            <w:pPr>
              <w:ind w:left="1860"/>
              <w:spacing w:after="0"/>
              <w:rPr>
                <w:sz w:val="20"/>
                <w:szCs w:val="20"/>
                <w:color w:val="auto"/>
              </w:rPr>
            </w:pPr>
            <w:r>
              <w:rPr>
                <w:rFonts w:ascii="Arial" w:cs="Arial" w:eastAsia="Arial" w:hAnsi="Arial"/>
                <w:sz w:val="20"/>
                <w:szCs w:val="20"/>
                <w:color w:val="auto"/>
              </w:rPr>
              <w:t>7</w:t>
            </w:r>
          </w:p>
        </w:tc>
      </w:tr>
      <w:tr>
        <w:trPr>
          <w:trHeight w:val="327"/>
        </w:trPr>
        <w:tc>
          <w:tcPr>
            <w:tcW w:w="372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36" w:right="319" w:bottom="1440" w:gutter="0" w:footer="0" w:header="0"/>
          <w:type w:val="continuous"/>
        </w:sectPr>
      </w:pPr>
    </w:p>
    <w:bookmarkStart w:id="145" w:name="page146"/>
    <w:bookmarkEnd w:id="145"/>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328" w:lineRule="auto"/>
        <w:rPr>
          <w:sz w:val="20"/>
          <w:szCs w:val="20"/>
          <w:color w:val="auto"/>
        </w:rPr>
      </w:pPr>
      <w:r>
        <w:rPr>
          <w:rFonts w:ascii="Arial" w:cs="Arial" w:eastAsia="Arial" w:hAnsi="Arial"/>
          <w:sz w:val="19"/>
          <w:szCs w:val="19"/>
          <w:color w:val="auto"/>
        </w:rPr>
        <w:t>shall mean the Employee Retirement Income Security Act of 1974, as amended, and any successor statute and regulation promulgated thereunder;</w:t>
      </w:r>
    </w:p>
    <w:p>
      <w:pPr>
        <w:spacing w:after="0" w:line="200" w:lineRule="exact"/>
        <w:rPr>
          <w:sz w:val="20"/>
          <w:szCs w:val="20"/>
          <w:color w:val="auto"/>
        </w:rPr>
      </w:pPr>
    </w:p>
    <w:p>
      <w:pPr>
        <w:sectPr>
          <w:pgSz w:w="11900" w:h="16838" w:orient="portrait"/>
          <w:cols w:equalWidth="0" w:num="2">
            <w:col w:w="3780" w:space="720"/>
            <w:col w:w="6640"/>
          </w:cols>
          <w:pgMar w:left="420" w:top="436" w:right="339" w:bottom="1440" w:gutter="0" w:footer="0" w:header="0"/>
        </w:sectPr>
      </w:pP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ERISA Affiliate</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shall mean a trade or business (whether or not incorporated) which is under common control with the Borrowers within the meaning of Sections 414(b), (c), (m) or (o) of the Code or which would be considered a member of a “controlled group” with any Security Party or any Subsidiary thereof under Section 4001 of ERISA;</w:t>
      </w:r>
    </w:p>
    <w:p>
      <w:pPr>
        <w:spacing w:after="0" w:line="200" w:lineRule="exact"/>
        <w:rPr>
          <w:sz w:val="20"/>
          <w:szCs w:val="20"/>
          <w:color w:val="auto"/>
        </w:rPr>
      </w:pPr>
    </w:p>
    <w:p>
      <w:pPr>
        <w:sectPr>
          <w:pgSz w:w="11900" w:h="16838" w:orient="portrait"/>
          <w:cols w:equalWidth="0" w:num="2">
            <w:col w:w="3780" w:space="720"/>
            <w:col w:w="6640"/>
          </w:cols>
          <w:pgMar w:left="420" w:top="436" w:right="33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ERISA Funding Event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shall mean (i) any failure by any Plan to satisfy the minimum funding standards (for purposes of Section 412 of the Code or Section 302 of ERISA), whether or not waived; (ii) the filing pursuant to Section 412 of the Code or Section 302 of</w:t>
      </w:r>
    </w:p>
    <w:p>
      <w:pPr>
        <w:spacing w:after="0" w:line="200" w:lineRule="exact"/>
        <w:rPr>
          <w:sz w:val="20"/>
          <w:szCs w:val="20"/>
          <w:color w:val="auto"/>
        </w:rPr>
      </w:pPr>
    </w:p>
    <w:p>
      <w:pPr>
        <w:sectPr>
          <w:pgSz w:w="11900" w:h="16838" w:orient="portrait"/>
          <w:cols w:equalWidth="0" w:num="2">
            <w:col w:w="3780" w:space="720"/>
            <w:col w:w="6640"/>
          </w:cols>
          <w:pgMar w:left="420" w:top="436" w:right="339" w:bottom="1440" w:gutter="0" w:footer="0" w:header="0"/>
          <w:type w:val="continuous"/>
        </w:sectPr>
      </w:pPr>
    </w:p>
    <w:p>
      <w:pPr>
        <w:spacing w:after="0" w:line="52" w:lineRule="exact"/>
        <w:rPr>
          <w:sz w:val="20"/>
          <w:szCs w:val="20"/>
          <w:color w:val="auto"/>
        </w:rPr>
      </w:pPr>
    </w:p>
    <w:p>
      <w:pPr>
        <w:jc w:val="both"/>
        <w:ind w:left="4500"/>
        <w:spacing w:after="0" w:line="270" w:lineRule="auto"/>
        <w:rPr>
          <w:sz w:val="20"/>
          <w:szCs w:val="20"/>
          <w:color w:val="auto"/>
        </w:rPr>
      </w:pPr>
      <w:r>
        <w:rPr>
          <w:rFonts w:ascii="Arial" w:cs="Arial" w:eastAsia="Arial" w:hAnsi="Arial"/>
          <w:sz w:val="19"/>
          <w:szCs w:val="19"/>
          <w:color w:val="auto"/>
        </w:rPr>
        <w:t>ERISA of an application for a waiver of the minimum funding standard with respect to any Plan; (iii) the failure by any Security Party or ERISA Affiliate to make any required contribution to a Multiemployer Plan; (iv) a determination that any Plan is, or is expected to be, in “at risk” status (within the meaning of Section 430(i) of the Code); (v) the incurrence by any Security Party or ERISA Affiliate of any liability with respect to the withdrawal or partial withdrawal from any Plan or Multiemployer Plan; (vi) the receipt by any Security Party or ERISA Affiliate of any notice, or the receipt by any Multiemployer Plan from any Security Party or ERISA Affiliate of any notice, concerning the imposition of Withdrawal Liability or a determination that a Multiemployer Plan is, or is expected to be, insolvent within the meaning of Section 4245 of ERISA, or in endangered or critical status within the meaning of Section 432 of the Code or Section 305 of ERISA; (vii) any “reportable event”, as defined in Section 4043 of ERISA with respect to a Plan (other than an event for which the 30-day notice period to the PBGC is waived); or (viii) the existence with respect to any Plan of a “prohibited transaction” for purposes of Section 406 of ERISA or Section 4975 of the Code;</w:t>
      </w:r>
    </w:p>
    <w:p>
      <w:pPr>
        <w:sectPr>
          <w:pgSz w:w="11900" w:h="16838" w:orient="portrait"/>
          <w:cols w:equalWidth="0" w:num="1">
            <w:col w:w="11140"/>
          </w:cols>
          <w:pgMar w:left="420" w:top="43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232410</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436" w:right="339" w:bottom="1440" w:gutter="0" w:footer="0" w:header="0"/>
          <w:type w:val="continuous"/>
        </w:sectPr>
      </w:pPr>
    </w:p>
    <w:bookmarkStart w:id="146" w:name="page147"/>
    <w:bookmarkEnd w:id="146"/>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ERISA Termination Event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jc w:val="both"/>
        <w:spacing w:after="0" w:line="271" w:lineRule="auto"/>
        <w:rPr>
          <w:sz w:val="20"/>
          <w:szCs w:val="20"/>
          <w:color w:val="auto"/>
        </w:rPr>
      </w:pPr>
      <w:r>
        <w:rPr>
          <w:rFonts w:ascii="Arial" w:cs="Arial" w:eastAsia="Arial" w:hAnsi="Arial"/>
          <w:sz w:val="19"/>
          <w:szCs w:val="19"/>
          <w:color w:val="auto"/>
        </w:rPr>
        <w:t>shall mean (i) the imposition of any lien under Section 430(k) of the Code or any other lien in favor of the PBGC or any Plan or Multiemployer Plan on any asset of any Security Party or ERISA Affiliate thereof in connection with any Plan or Multiemployer Plan; (ii) the receipt by any Security Party or ERISA Affiliate from the PBGC or a plan administrator of any notice relating to an intention to terminate any Plan or Multiemployer Plan or to appoint a trustee to administer any Plan or Multiemployer Plan under Section 4042 of ERISA; (iii) the filing of a notice of intent to terminate a Plan under Section 4041 of ERISA; (iv) the institution of proceeding to terminate a Plan or a Multiemployer Plan; (v) the incurrence by any Security Party or ERISA Affiliate of any liability under Title IV of ERISA with respect to the termination of any Plan or Multiemployer Plan; or (vi) the occurrence of any other event or condition which might constitutes grounds under Section 4042 of ERISA for the termination of, or the appointment of a trustee to administer, any Plan or Multiemployer Plan;</w:t>
      </w:r>
    </w:p>
    <w:p>
      <w:pPr>
        <w:spacing w:after="0" w:line="200" w:lineRule="exact"/>
        <w:rPr>
          <w:sz w:val="20"/>
          <w:szCs w:val="20"/>
          <w:color w:val="auto"/>
        </w:rPr>
      </w:pPr>
    </w:p>
    <w:p>
      <w:pPr>
        <w:sectPr>
          <w:pgSz w:w="11900" w:h="16838" w:orient="portrait"/>
          <w:cols w:equalWidth="0" w:num="2">
            <w:col w:w="3780" w:space="720"/>
            <w:col w:w="6640"/>
          </w:cols>
          <w:pgMar w:left="420" w:top="4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EU Bail-In Legislation Schedule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shall mean the document described as such and published by the Loan Market Association (or any successor person) from time to time;</w:t>
      </w:r>
    </w:p>
    <w:p>
      <w:pPr>
        <w:spacing w:after="0" w:line="200" w:lineRule="exact"/>
        <w:rPr>
          <w:sz w:val="20"/>
          <w:szCs w:val="20"/>
          <w:color w:val="auto"/>
        </w:rPr>
      </w:pPr>
    </w:p>
    <w:p>
      <w:pPr>
        <w:sectPr>
          <w:pgSz w:w="11900" w:h="16838" w:orient="portrait"/>
          <w:cols w:equalWidth="0" w:num="2">
            <w:col w:w="3780" w:space="720"/>
            <w:col w:w="6640"/>
          </w:cols>
          <w:pgMar w:left="420" w:top="436" w:right="339"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Event(s) of Default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shall mean any of the events set out in Section 8.1;</w:t>
      </w:r>
    </w:p>
    <w:p>
      <w:pPr>
        <w:spacing w:after="0" w:line="200" w:lineRule="exact"/>
        <w:rPr>
          <w:sz w:val="20"/>
          <w:szCs w:val="20"/>
          <w:color w:val="auto"/>
        </w:rPr>
      </w:pPr>
    </w:p>
    <w:p>
      <w:pPr>
        <w:sectPr>
          <w:pgSz w:w="11900" w:h="16838" w:orient="portrait"/>
          <w:cols w:equalWidth="0" w:num="2">
            <w:col w:w="3780" w:space="720"/>
            <w:col w:w="6640"/>
          </w:cols>
          <w:pgMar w:left="420" w:top="436"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Exchange Act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shall mean the Securities and Exchange Act of 1934, as amended;</w:t>
      </w:r>
    </w:p>
    <w:p>
      <w:pPr>
        <w:spacing w:after="0" w:line="200" w:lineRule="exact"/>
        <w:rPr>
          <w:sz w:val="20"/>
          <w:szCs w:val="20"/>
          <w:color w:val="auto"/>
        </w:rPr>
      </w:pPr>
    </w:p>
    <w:p>
      <w:pPr>
        <w:sectPr>
          <w:pgSz w:w="11900" w:h="16838" w:orient="portrait"/>
          <w:cols w:equalWidth="0" w:num="2">
            <w:col w:w="3780" w:space="720"/>
            <w:col w:w="6640"/>
          </w:cols>
          <w:pgMar w:left="420" w:top="436" w:right="33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Cash”</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shall have the meaning ascribed thereto in Section 5.3;</w:t>
      </w:r>
    </w:p>
    <w:p>
      <w:pPr>
        <w:spacing w:after="0" w:line="200" w:lineRule="exact"/>
        <w:rPr>
          <w:sz w:val="20"/>
          <w:szCs w:val="20"/>
          <w:color w:val="auto"/>
        </w:rPr>
      </w:pPr>
    </w:p>
    <w:p>
      <w:pPr>
        <w:sectPr>
          <w:pgSz w:w="11900" w:h="16838" w:orient="portrait"/>
          <w:cols w:equalWidth="0" w:num="2">
            <w:col w:w="3780" w:space="720"/>
            <w:col w:w="6640"/>
          </w:cols>
          <w:pgMar w:left="420" w:top="436" w:right="3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Facility</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shall mean the facility made available by the Lenders to the Borrowers hereunder, on a joint and several basis, in the aggregate principal amount of up to Eighteen Million Fifty Two Thousand Three Hundred Eleven and Eighty Hundredths Dollars ($18,052,311.80) or the balance thereof from time to time outstanding;</w:t>
      </w:r>
    </w:p>
    <w:p>
      <w:pPr>
        <w:spacing w:after="0" w:line="200" w:lineRule="exact"/>
        <w:rPr>
          <w:sz w:val="20"/>
          <w:szCs w:val="20"/>
          <w:color w:val="auto"/>
        </w:rPr>
      </w:pPr>
    </w:p>
    <w:p>
      <w:pPr>
        <w:sectPr>
          <w:pgSz w:w="11900" w:h="16838" w:orient="portrait"/>
          <w:cols w:equalWidth="0" w:num="2">
            <w:col w:w="3780" w:space="720"/>
            <w:col w:w="6640"/>
          </w:cols>
          <w:pgMar w:left="420" w:top="436" w:right="339"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Facility Agent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shall have the meaning ascribed thereto in the preamble;</w:t>
      </w:r>
    </w:p>
    <w:p>
      <w:pPr>
        <w:spacing w:after="0" w:line="200" w:lineRule="exact"/>
        <w:rPr>
          <w:sz w:val="20"/>
          <w:szCs w:val="20"/>
          <w:color w:val="auto"/>
        </w:rPr>
      </w:pPr>
    </w:p>
    <w:p>
      <w:pPr>
        <w:sectPr>
          <w:pgSz w:w="11900" w:h="16838" w:orient="portrait"/>
          <w:cols w:equalWidth="0" w:num="2">
            <w:col w:w="3780" w:space="720"/>
            <w:col w:w="6640"/>
          </w:cols>
          <w:pgMar w:left="420" w:top="436" w:right="3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Fair Market Value</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shall mean, in respect of each Vessel, the value set forth in a desktop appraisal (measured in Dollars) on a “willing seller, willing buyer” basis of such Vessel free from any charterparty or other employment contract from ship brokers listed in Schedule II or such other independent ship brokers approved by the Majority Lenders, no such appraisal to be dated more than thirty (30) days prior to the date on which a determination of Fair Market Value is required pursuant to this Agreement;</w:t>
      </w:r>
    </w:p>
    <w:p>
      <w:pPr>
        <w:spacing w:after="0" w:line="200" w:lineRule="exact"/>
        <w:rPr>
          <w:sz w:val="20"/>
          <w:szCs w:val="20"/>
          <w:color w:val="auto"/>
        </w:rPr>
      </w:pPr>
    </w:p>
    <w:p>
      <w:pPr>
        <w:sectPr>
          <w:pgSz w:w="11900" w:h="16838" w:orient="portrait"/>
          <w:cols w:equalWidth="0" w:num="2">
            <w:col w:w="3780" w:space="720"/>
            <w:col w:w="6640"/>
          </w:cols>
          <w:pgMar w:left="420" w:top="43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232410</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436" w:right="339" w:bottom="1440" w:gutter="0" w:footer="0" w:header="0"/>
          <w:type w:val="continuous"/>
        </w:sectPr>
      </w:pPr>
    </w:p>
    <w:bookmarkStart w:id="147" w:name="page148"/>
    <w:bookmarkEnd w:id="147"/>
    <w:tbl>
      <w:tblPr>
        <w:tblLayout w:type="fixed"/>
        <w:tblInd w:w="0" w:type="dxa"/>
        <w:tblCellMar>
          <w:top w:w="0" w:type="dxa"/>
          <w:left w:w="0" w:type="dxa"/>
          <w:bottom w:w="0" w:type="dxa"/>
          <w:right w:w="0" w:type="dxa"/>
        </w:tblCellMar>
      </w:tblPr>
      <w:tr>
        <w:trPr>
          <w:trHeight w:val="253"/>
        </w:trPr>
        <w:tc>
          <w:tcPr>
            <w:tcW w:w="378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FATCA</w:t>
            </w:r>
            <w:r>
              <w:rPr>
                <w:rFonts w:ascii="Arial" w:cs="Arial" w:eastAsia="Arial" w:hAnsi="Arial"/>
                <w:sz w:val="22"/>
                <w:szCs w:val="22"/>
                <w:color w:val="auto"/>
              </w:rPr>
              <w:t>”</w:t>
            </w:r>
          </w:p>
        </w:tc>
        <w:tc>
          <w:tcPr>
            <w:tcW w:w="7480" w:type="dxa"/>
            <w:vAlign w:val="bottom"/>
          </w:tcPr>
          <w:p>
            <w:pPr>
              <w:ind w:left="820"/>
              <w:spacing w:after="0"/>
              <w:rPr>
                <w:sz w:val="20"/>
                <w:szCs w:val="20"/>
                <w:color w:val="auto"/>
              </w:rPr>
            </w:pPr>
            <w:r>
              <w:rPr>
                <w:rFonts w:ascii="Arial" w:cs="Arial" w:eastAsia="Arial" w:hAnsi="Arial"/>
                <w:sz w:val="22"/>
                <w:szCs w:val="22"/>
                <w:color w:val="auto"/>
                <w:w w:val="94"/>
              </w:rPr>
              <w:t>shall mean Sections 1471 through 1474 of the Code and any regulations</w:t>
            </w:r>
          </w:p>
        </w:tc>
      </w:tr>
      <w:tr>
        <w:trPr>
          <w:trHeight w:val="243"/>
        </w:trPr>
        <w:tc>
          <w:tcPr>
            <w:tcW w:w="3780" w:type="dxa"/>
            <w:vAlign w:val="bottom"/>
          </w:tcPr>
          <w:p>
            <w:pPr>
              <w:spacing w:after="0"/>
              <w:rPr>
                <w:sz w:val="21"/>
                <w:szCs w:val="21"/>
                <w:color w:val="auto"/>
              </w:rPr>
            </w:pPr>
          </w:p>
        </w:tc>
        <w:tc>
          <w:tcPr>
            <w:tcW w:w="7480" w:type="dxa"/>
            <w:vAlign w:val="bottom"/>
          </w:tcPr>
          <w:p>
            <w:pPr>
              <w:ind w:left="820"/>
              <w:spacing w:after="0" w:line="243" w:lineRule="exact"/>
              <w:rPr>
                <w:sz w:val="20"/>
                <w:szCs w:val="20"/>
                <w:color w:val="auto"/>
              </w:rPr>
            </w:pPr>
            <w:r>
              <w:rPr>
                <w:rFonts w:ascii="Arial" w:cs="Arial" w:eastAsia="Arial" w:hAnsi="Arial"/>
                <w:sz w:val="22"/>
                <w:szCs w:val="22"/>
                <w:color w:val="auto"/>
                <w:w w:val="99"/>
              </w:rPr>
              <w:t>thereunder  issued  by  the  United  States  Treasury  or  any  official</w:t>
            </w:r>
          </w:p>
        </w:tc>
      </w:tr>
      <w:tr>
        <w:trPr>
          <w:trHeight w:val="274"/>
        </w:trPr>
        <w:tc>
          <w:tcPr>
            <w:tcW w:w="3780" w:type="dxa"/>
            <w:vAlign w:val="bottom"/>
          </w:tcPr>
          <w:p>
            <w:pPr>
              <w:spacing w:after="0"/>
              <w:rPr>
                <w:sz w:val="23"/>
                <w:szCs w:val="23"/>
                <w:color w:val="auto"/>
              </w:rPr>
            </w:pPr>
          </w:p>
        </w:tc>
        <w:tc>
          <w:tcPr>
            <w:tcW w:w="7480" w:type="dxa"/>
            <w:vAlign w:val="bottom"/>
          </w:tcPr>
          <w:p>
            <w:pPr>
              <w:ind w:left="820"/>
              <w:spacing w:after="0"/>
              <w:rPr>
                <w:sz w:val="20"/>
                <w:szCs w:val="20"/>
                <w:color w:val="auto"/>
              </w:rPr>
            </w:pPr>
            <w:r>
              <w:rPr>
                <w:rFonts w:ascii="Arial" w:cs="Arial" w:eastAsia="Arial" w:hAnsi="Arial"/>
                <w:sz w:val="22"/>
                <w:szCs w:val="22"/>
                <w:color w:val="auto"/>
              </w:rPr>
              <w:t>interpretations or administrative guidance relating thereto;</w:t>
            </w:r>
          </w:p>
        </w:tc>
      </w:tr>
      <w:tr>
        <w:trPr>
          <w:trHeight w:val="698"/>
        </w:trPr>
        <w:tc>
          <w:tcPr>
            <w:tcW w:w="378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FATCA Deduction</w:t>
            </w:r>
            <w:r>
              <w:rPr>
                <w:rFonts w:ascii="Arial" w:cs="Arial" w:eastAsia="Arial" w:hAnsi="Arial"/>
                <w:sz w:val="22"/>
                <w:szCs w:val="22"/>
                <w:color w:val="auto"/>
              </w:rPr>
              <w:t>”</w:t>
            </w:r>
          </w:p>
        </w:tc>
        <w:tc>
          <w:tcPr>
            <w:tcW w:w="7480" w:type="dxa"/>
            <w:vAlign w:val="bottom"/>
          </w:tcPr>
          <w:p>
            <w:pPr>
              <w:ind w:left="820"/>
              <w:spacing w:after="0"/>
              <w:rPr>
                <w:sz w:val="20"/>
                <w:szCs w:val="20"/>
                <w:color w:val="auto"/>
              </w:rPr>
            </w:pPr>
            <w:r>
              <w:rPr>
                <w:rFonts w:ascii="Arial" w:cs="Arial" w:eastAsia="Arial" w:hAnsi="Arial"/>
                <w:sz w:val="22"/>
                <w:szCs w:val="22"/>
                <w:color w:val="auto"/>
                <w:w w:val="89"/>
              </w:rPr>
              <w:t>shall mean a deduction or withholding from a payment under this Agreement</w:t>
            </w:r>
          </w:p>
        </w:tc>
      </w:tr>
      <w:tr>
        <w:trPr>
          <w:trHeight w:val="274"/>
        </w:trPr>
        <w:tc>
          <w:tcPr>
            <w:tcW w:w="3780" w:type="dxa"/>
            <w:vAlign w:val="bottom"/>
          </w:tcPr>
          <w:p>
            <w:pPr>
              <w:spacing w:after="0"/>
              <w:rPr>
                <w:sz w:val="23"/>
                <w:szCs w:val="23"/>
                <w:color w:val="auto"/>
              </w:rPr>
            </w:pPr>
          </w:p>
        </w:tc>
        <w:tc>
          <w:tcPr>
            <w:tcW w:w="7480" w:type="dxa"/>
            <w:vAlign w:val="bottom"/>
          </w:tcPr>
          <w:p>
            <w:pPr>
              <w:ind w:left="820"/>
              <w:spacing w:after="0"/>
              <w:rPr>
                <w:sz w:val="20"/>
                <w:szCs w:val="20"/>
                <w:color w:val="auto"/>
              </w:rPr>
            </w:pPr>
            <w:r>
              <w:rPr>
                <w:rFonts w:ascii="Arial" w:cs="Arial" w:eastAsia="Arial" w:hAnsi="Arial"/>
                <w:sz w:val="22"/>
                <w:szCs w:val="22"/>
                <w:color w:val="auto"/>
              </w:rPr>
              <w:t>or any Security Document required by or under FATCA;</w:t>
            </w:r>
          </w:p>
        </w:tc>
      </w:tr>
      <w:tr>
        <w:trPr>
          <w:trHeight w:val="684"/>
        </w:trPr>
        <w:tc>
          <w:tcPr>
            <w:tcW w:w="378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FATCA Exempt Party</w:t>
            </w:r>
            <w:r>
              <w:rPr>
                <w:rFonts w:ascii="Arial" w:cs="Arial" w:eastAsia="Arial" w:hAnsi="Arial"/>
                <w:sz w:val="22"/>
                <w:szCs w:val="22"/>
                <w:color w:val="auto"/>
              </w:rPr>
              <w:t>”</w:t>
            </w:r>
          </w:p>
        </w:tc>
        <w:tc>
          <w:tcPr>
            <w:tcW w:w="7480" w:type="dxa"/>
            <w:vAlign w:val="bottom"/>
          </w:tcPr>
          <w:p>
            <w:pPr>
              <w:ind w:left="820"/>
              <w:spacing w:after="0"/>
              <w:rPr>
                <w:sz w:val="20"/>
                <w:szCs w:val="20"/>
                <w:color w:val="auto"/>
              </w:rPr>
            </w:pPr>
            <w:r>
              <w:rPr>
                <w:rFonts w:ascii="Arial" w:cs="Arial" w:eastAsia="Arial" w:hAnsi="Arial"/>
                <w:sz w:val="22"/>
                <w:szCs w:val="22"/>
                <w:color w:val="auto"/>
                <w:w w:val="89"/>
              </w:rPr>
              <w:t>shall mean a FATCA Relevant Party who is entitled under FATCA to receive</w:t>
            </w:r>
          </w:p>
        </w:tc>
      </w:tr>
      <w:tr>
        <w:trPr>
          <w:trHeight w:val="274"/>
        </w:trPr>
        <w:tc>
          <w:tcPr>
            <w:tcW w:w="3780" w:type="dxa"/>
            <w:vAlign w:val="bottom"/>
          </w:tcPr>
          <w:p>
            <w:pPr>
              <w:spacing w:after="0"/>
              <w:rPr>
                <w:sz w:val="23"/>
                <w:szCs w:val="23"/>
                <w:color w:val="auto"/>
              </w:rPr>
            </w:pPr>
          </w:p>
        </w:tc>
        <w:tc>
          <w:tcPr>
            <w:tcW w:w="7480" w:type="dxa"/>
            <w:vAlign w:val="bottom"/>
          </w:tcPr>
          <w:p>
            <w:pPr>
              <w:ind w:left="820"/>
              <w:spacing w:after="0"/>
              <w:rPr>
                <w:sz w:val="20"/>
                <w:szCs w:val="20"/>
                <w:color w:val="auto"/>
              </w:rPr>
            </w:pPr>
            <w:r>
              <w:rPr>
                <w:rFonts w:ascii="Arial" w:cs="Arial" w:eastAsia="Arial" w:hAnsi="Arial"/>
                <w:sz w:val="22"/>
                <w:szCs w:val="22"/>
                <w:color w:val="auto"/>
              </w:rPr>
              <w:t>payments free from any FATCA Deduction;</w:t>
            </w:r>
          </w:p>
        </w:tc>
      </w:tr>
      <w:tr>
        <w:trPr>
          <w:trHeight w:val="715"/>
        </w:trPr>
        <w:tc>
          <w:tcPr>
            <w:tcW w:w="378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FATCA Non-Exempt Party”</w:t>
            </w:r>
          </w:p>
        </w:tc>
        <w:tc>
          <w:tcPr>
            <w:tcW w:w="7480" w:type="dxa"/>
            <w:vAlign w:val="bottom"/>
          </w:tcPr>
          <w:p>
            <w:pPr>
              <w:ind w:left="820"/>
              <w:spacing w:after="0"/>
              <w:rPr>
                <w:sz w:val="20"/>
                <w:szCs w:val="20"/>
                <w:color w:val="auto"/>
              </w:rPr>
            </w:pPr>
            <w:r>
              <w:rPr>
                <w:rFonts w:ascii="Arial" w:cs="Arial" w:eastAsia="Arial" w:hAnsi="Arial"/>
                <w:sz w:val="22"/>
                <w:szCs w:val="22"/>
                <w:color w:val="auto"/>
                <w:w w:val="94"/>
              </w:rPr>
              <w:t>shall mean a FATCA Relevant Party who is not a FATCA Exempt Party;</w:t>
            </w:r>
          </w:p>
        </w:tc>
      </w:tr>
      <w:tr>
        <w:trPr>
          <w:trHeight w:val="716"/>
        </w:trPr>
        <w:tc>
          <w:tcPr>
            <w:tcW w:w="378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FATCA Non-Exempt Lender</w:t>
            </w:r>
            <w:r>
              <w:rPr>
                <w:rFonts w:ascii="Arial" w:cs="Arial" w:eastAsia="Arial" w:hAnsi="Arial"/>
                <w:sz w:val="22"/>
                <w:szCs w:val="22"/>
                <w:color w:val="auto"/>
              </w:rPr>
              <w:t>”</w:t>
            </w:r>
          </w:p>
        </w:tc>
        <w:tc>
          <w:tcPr>
            <w:tcW w:w="7480" w:type="dxa"/>
            <w:vAlign w:val="bottom"/>
          </w:tcPr>
          <w:p>
            <w:pPr>
              <w:ind w:left="820"/>
              <w:spacing w:after="0"/>
              <w:rPr>
                <w:sz w:val="20"/>
                <w:szCs w:val="20"/>
                <w:color w:val="auto"/>
              </w:rPr>
            </w:pPr>
            <w:r>
              <w:rPr>
                <w:rFonts w:ascii="Arial" w:cs="Arial" w:eastAsia="Arial" w:hAnsi="Arial"/>
                <w:sz w:val="22"/>
                <w:szCs w:val="22"/>
                <w:color w:val="auto"/>
              </w:rPr>
              <w:t>shall mean any Lender who is a FATCA Non-Exempt Party;</w:t>
            </w:r>
          </w:p>
        </w:tc>
      </w:tr>
      <w:tr>
        <w:trPr>
          <w:trHeight w:val="459"/>
        </w:trPr>
        <w:tc>
          <w:tcPr>
            <w:tcW w:w="378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FATCA Relevant Party</w:t>
            </w:r>
            <w:r>
              <w:rPr>
                <w:rFonts w:ascii="Arial" w:cs="Arial" w:eastAsia="Arial" w:hAnsi="Arial"/>
                <w:sz w:val="22"/>
                <w:szCs w:val="22"/>
                <w:color w:val="auto"/>
              </w:rPr>
              <w:t>”</w:t>
            </w:r>
          </w:p>
        </w:tc>
        <w:tc>
          <w:tcPr>
            <w:tcW w:w="7480" w:type="dxa"/>
            <w:vAlign w:val="bottom"/>
          </w:tcPr>
          <w:p>
            <w:pPr>
              <w:ind w:left="820"/>
              <w:spacing w:after="0"/>
              <w:rPr>
                <w:sz w:val="20"/>
                <w:szCs w:val="20"/>
                <w:color w:val="auto"/>
              </w:rPr>
            </w:pPr>
            <w:r>
              <w:rPr>
                <w:rFonts w:ascii="Arial" w:cs="Arial" w:eastAsia="Arial" w:hAnsi="Arial"/>
                <w:sz w:val="22"/>
                <w:szCs w:val="22"/>
                <w:color w:val="auto"/>
              </w:rPr>
              <w:t>shall mean each Creditor and each Security Party;</w:t>
            </w:r>
          </w:p>
        </w:tc>
      </w:tr>
      <w:tr>
        <w:trPr>
          <w:trHeight w:val="401"/>
        </w:trPr>
        <w:tc>
          <w:tcPr>
            <w:tcW w:w="378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Federal Funds Effective Rate</w:t>
            </w:r>
            <w:r>
              <w:rPr>
                <w:rFonts w:ascii="Arial" w:cs="Arial" w:eastAsia="Arial" w:hAnsi="Arial"/>
                <w:sz w:val="22"/>
                <w:szCs w:val="22"/>
                <w:color w:val="auto"/>
              </w:rPr>
              <w:t>”</w:t>
            </w:r>
          </w:p>
        </w:tc>
        <w:tc>
          <w:tcPr>
            <w:tcW w:w="7480" w:type="dxa"/>
            <w:vAlign w:val="bottom"/>
          </w:tcPr>
          <w:p>
            <w:pPr>
              <w:ind w:left="820"/>
              <w:spacing w:after="0"/>
              <w:rPr>
                <w:sz w:val="20"/>
                <w:szCs w:val="20"/>
                <w:color w:val="auto"/>
              </w:rPr>
            </w:pPr>
            <w:r>
              <w:rPr>
                <w:rFonts w:ascii="Arial" w:cs="Arial" w:eastAsia="Arial" w:hAnsi="Arial"/>
                <w:sz w:val="22"/>
                <w:szCs w:val="22"/>
                <w:color w:val="auto"/>
                <w:w w:val="95"/>
              </w:rPr>
              <w:t>shall mean, for any period, a fluctuating interest rate equal for each day</w:t>
            </w:r>
          </w:p>
        </w:tc>
      </w:tr>
      <w:tr>
        <w:trPr>
          <w:trHeight w:val="243"/>
        </w:trPr>
        <w:tc>
          <w:tcPr>
            <w:tcW w:w="3780" w:type="dxa"/>
            <w:vAlign w:val="bottom"/>
          </w:tcPr>
          <w:p>
            <w:pPr>
              <w:spacing w:after="0"/>
              <w:rPr>
                <w:sz w:val="21"/>
                <w:szCs w:val="21"/>
                <w:color w:val="auto"/>
              </w:rPr>
            </w:pPr>
          </w:p>
        </w:tc>
        <w:tc>
          <w:tcPr>
            <w:tcW w:w="7480" w:type="dxa"/>
            <w:vAlign w:val="bottom"/>
          </w:tcPr>
          <w:p>
            <w:pPr>
              <w:ind w:left="820"/>
              <w:spacing w:after="0" w:line="243" w:lineRule="exact"/>
              <w:rPr>
                <w:sz w:val="20"/>
                <w:szCs w:val="20"/>
                <w:color w:val="auto"/>
              </w:rPr>
            </w:pPr>
            <w:r>
              <w:rPr>
                <w:rFonts w:ascii="Arial" w:cs="Arial" w:eastAsia="Arial" w:hAnsi="Arial"/>
                <w:sz w:val="22"/>
                <w:szCs w:val="22"/>
                <w:color w:val="auto"/>
                <w:w w:val="89"/>
              </w:rPr>
              <w:t>during such period to the weighted average of the rates on overnight Federal</w:t>
            </w:r>
          </w:p>
        </w:tc>
      </w:tr>
      <w:tr>
        <w:trPr>
          <w:trHeight w:val="243"/>
        </w:trPr>
        <w:tc>
          <w:tcPr>
            <w:tcW w:w="3780" w:type="dxa"/>
            <w:vAlign w:val="bottom"/>
          </w:tcPr>
          <w:p>
            <w:pPr>
              <w:spacing w:after="0"/>
              <w:rPr>
                <w:sz w:val="21"/>
                <w:szCs w:val="21"/>
                <w:color w:val="auto"/>
              </w:rPr>
            </w:pPr>
          </w:p>
        </w:tc>
        <w:tc>
          <w:tcPr>
            <w:tcW w:w="7480" w:type="dxa"/>
            <w:vAlign w:val="bottom"/>
          </w:tcPr>
          <w:p>
            <w:pPr>
              <w:ind w:left="820"/>
              <w:spacing w:after="0" w:line="243" w:lineRule="exact"/>
              <w:rPr>
                <w:sz w:val="20"/>
                <w:szCs w:val="20"/>
                <w:color w:val="auto"/>
              </w:rPr>
            </w:pPr>
            <w:r>
              <w:rPr>
                <w:rFonts w:ascii="Arial" w:cs="Arial" w:eastAsia="Arial" w:hAnsi="Arial"/>
                <w:sz w:val="22"/>
                <w:szCs w:val="22"/>
                <w:color w:val="auto"/>
                <w:w w:val="87"/>
              </w:rPr>
              <w:t>Funds transactions with members of the Federal Reserve System arranged by</w:t>
            </w:r>
          </w:p>
        </w:tc>
      </w:tr>
      <w:tr>
        <w:trPr>
          <w:trHeight w:val="243"/>
        </w:trPr>
        <w:tc>
          <w:tcPr>
            <w:tcW w:w="3780" w:type="dxa"/>
            <w:vAlign w:val="bottom"/>
          </w:tcPr>
          <w:p>
            <w:pPr>
              <w:spacing w:after="0"/>
              <w:rPr>
                <w:sz w:val="21"/>
                <w:szCs w:val="21"/>
                <w:color w:val="auto"/>
              </w:rPr>
            </w:pPr>
          </w:p>
        </w:tc>
        <w:tc>
          <w:tcPr>
            <w:tcW w:w="7480" w:type="dxa"/>
            <w:vAlign w:val="bottom"/>
          </w:tcPr>
          <w:p>
            <w:pPr>
              <w:ind w:left="820"/>
              <w:spacing w:after="0" w:line="243" w:lineRule="exact"/>
              <w:rPr>
                <w:sz w:val="20"/>
                <w:szCs w:val="20"/>
                <w:color w:val="auto"/>
              </w:rPr>
            </w:pPr>
            <w:r>
              <w:rPr>
                <w:rFonts w:ascii="Arial" w:cs="Arial" w:eastAsia="Arial" w:hAnsi="Arial"/>
                <w:sz w:val="22"/>
                <w:szCs w:val="22"/>
                <w:color w:val="auto"/>
                <w:w w:val="93"/>
              </w:rPr>
              <w:t>Federal Funds brokers, as published for such day (or, if such day is not a</w:t>
            </w:r>
          </w:p>
        </w:tc>
      </w:tr>
      <w:tr>
        <w:trPr>
          <w:trHeight w:val="274"/>
        </w:trPr>
        <w:tc>
          <w:tcPr>
            <w:tcW w:w="3780" w:type="dxa"/>
            <w:vAlign w:val="bottom"/>
          </w:tcPr>
          <w:p>
            <w:pPr>
              <w:spacing w:after="0"/>
              <w:rPr>
                <w:sz w:val="23"/>
                <w:szCs w:val="23"/>
                <w:color w:val="auto"/>
              </w:rPr>
            </w:pPr>
          </w:p>
        </w:tc>
        <w:tc>
          <w:tcPr>
            <w:tcW w:w="7480" w:type="dxa"/>
            <w:vAlign w:val="bottom"/>
          </w:tcPr>
          <w:p>
            <w:pPr>
              <w:ind w:left="820"/>
              <w:spacing w:after="0"/>
              <w:rPr>
                <w:sz w:val="20"/>
                <w:szCs w:val="20"/>
                <w:color w:val="auto"/>
              </w:rPr>
            </w:pPr>
            <w:r>
              <w:rPr>
                <w:rFonts w:ascii="Arial" w:cs="Arial" w:eastAsia="Arial" w:hAnsi="Arial"/>
                <w:sz w:val="22"/>
                <w:szCs w:val="22"/>
                <w:color w:val="auto"/>
              </w:rPr>
              <w:t>Banking Day, for the next preceding Banking Day) by</w:t>
            </w:r>
          </w:p>
        </w:tc>
      </w:tr>
      <w:tr>
        <w:trPr>
          <w:trHeight w:val="765"/>
        </w:trPr>
        <w:tc>
          <w:tcPr>
            <w:tcW w:w="3780" w:type="dxa"/>
            <w:vAlign w:val="bottom"/>
          </w:tcPr>
          <w:p>
            <w:pPr>
              <w:spacing w:after="0"/>
              <w:rPr>
                <w:sz w:val="24"/>
                <w:szCs w:val="24"/>
                <w:color w:val="auto"/>
              </w:rPr>
            </w:pPr>
          </w:p>
        </w:tc>
        <w:tc>
          <w:tcPr>
            <w:tcW w:w="7480" w:type="dxa"/>
            <w:vAlign w:val="bottom"/>
          </w:tcPr>
          <w:p>
            <w:pPr>
              <w:ind w:left="820"/>
              <w:spacing w:after="0"/>
              <w:rPr>
                <w:sz w:val="20"/>
                <w:szCs w:val="20"/>
                <w:color w:val="auto"/>
              </w:rPr>
            </w:pPr>
            <w:r>
              <w:rPr>
                <w:rFonts w:ascii="Arial" w:cs="Arial" w:eastAsia="Arial" w:hAnsi="Arial"/>
                <w:sz w:val="22"/>
                <w:szCs w:val="22"/>
                <w:color w:val="auto"/>
                <w:w w:val="88"/>
              </w:rPr>
              <w:t>the Federal Reserve Bank of New York, or, if such rate is not so published for</w:t>
            </w:r>
          </w:p>
        </w:tc>
      </w:tr>
      <w:tr>
        <w:trPr>
          <w:trHeight w:val="243"/>
        </w:trPr>
        <w:tc>
          <w:tcPr>
            <w:tcW w:w="3780" w:type="dxa"/>
            <w:vAlign w:val="bottom"/>
          </w:tcPr>
          <w:p>
            <w:pPr>
              <w:spacing w:after="0"/>
              <w:rPr>
                <w:sz w:val="21"/>
                <w:szCs w:val="21"/>
                <w:color w:val="auto"/>
              </w:rPr>
            </w:pPr>
          </w:p>
        </w:tc>
        <w:tc>
          <w:tcPr>
            <w:tcW w:w="7480" w:type="dxa"/>
            <w:vAlign w:val="bottom"/>
          </w:tcPr>
          <w:p>
            <w:pPr>
              <w:ind w:left="820"/>
              <w:spacing w:after="0" w:line="243" w:lineRule="exact"/>
              <w:rPr>
                <w:sz w:val="20"/>
                <w:szCs w:val="20"/>
                <w:color w:val="auto"/>
              </w:rPr>
            </w:pPr>
            <w:r>
              <w:rPr>
                <w:rFonts w:ascii="Arial" w:cs="Arial" w:eastAsia="Arial" w:hAnsi="Arial"/>
                <w:sz w:val="22"/>
                <w:szCs w:val="22"/>
                <w:color w:val="auto"/>
                <w:w w:val="86"/>
              </w:rPr>
              <w:t>any day which is a Banking Day, the average of the quotations for such day on</w:t>
            </w:r>
          </w:p>
        </w:tc>
      </w:tr>
      <w:tr>
        <w:trPr>
          <w:trHeight w:val="243"/>
        </w:trPr>
        <w:tc>
          <w:tcPr>
            <w:tcW w:w="3780" w:type="dxa"/>
            <w:vAlign w:val="bottom"/>
          </w:tcPr>
          <w:p>
            <w:pPr>
              <w:spacing w:after="0"/>
              <w:rPr>
                <w:sz w:val="21"/>
                <w:szCs w:val="21"/>
                <w:color w:val="auto"/>
              </w:rPr>
            </w:pPr>
          </w:p>
        </w:tc>
        <w:tc>
          <w:tcPr>
            <w:tcW w:w="7480" w:type="dxa"/>
            <w:vAlign w:val="bottom"/>
          </w:tcPr>
          <w:p>
            <w:pPr>
              <w:ind w:left="820"/>
              <w:spacing w:after="0" w:line="243" w:lineRule="exact"/>
              <w:rPr>
                <w:sz w:val="20"/>
                <w:szCs w:val="20"/>
                <w:color w:val="auto"/>
              </w:rPr>
            </w:pPr>
            <w:r>
              <w:rPr>
                <w:rFonts w:ascii="Arial" w:cs="Arial" w:eastAsia="Arial" w:hAnsi="Arial"/>
                <w:sz w:val="22"/>
                <w:szCs w:val="22"/>
                <w:color w:val="auto"/>
                <w:w w:val="98"/>
              </w:rPr>
              <w:t>such transactions received by the Administrative Agent from three (3)</w:t>
            </w:r>
          </w:p>
        </w:tc>
      </w:tr>
      <w:tr>
        <w:trPr>
          <w:trHeight w:val="243"/>
        </w:trPr>
        <w:tc>
          <w:tcPr>
            <w:tcW w:w="3780" w:type="dxa"/>
            <w:vAlign w:val="bottom"/>
          </w:tcPr>
          <w:p>
            <w:pPr>
              <w:spacing w:after="0"/>
              <w:rPr>
                <w:sz w:val="21"/>
                <w:szCs w:val="21"/>
                <w:color w:val="auto"/>
              </w:rPr>
            </w:pPr>
          </w:p>
        </w:tc>
        <w:tc>
          <w:tcPr>
            <w:tcW w:w="7480" w:type="dxa"/>
            <w:vAlign w:val="bottom"/>
          </w:tcPr>
          <w:p>
            <w:pPr>
              <w:ind w:left="820"/>
              <w:spacing w:after="0" w:line="243" w:lineRule="exact"/>
              <w:rPr>
                <w:sz w:val="20"/>
                <w:szCs w:val="20"/>
                <w:color w:val="auto"/>
              </w:rPr>
            </w:pPr>
            <w:r>
              <w:rPr>
                <w:rFonts w:ascii="Arial" w:cs="Arial" w:eastAsia="Arial" w:hAnsi="Arial"/>
                <w:sz w:val="22"/>
                <w:szCs w:val="22"/>
                <w:color w:val="auto"/>
              </w:rPr>
              <w:t>Federal  Funds  brokers  of  recognized  standing  selected  by  the</w:t>
            </w:r>
          </w:p>
        </w:tc>
      </w:tr>
      <w:tr>
        <w:trPr>
          <w:trHeight w:val="274"/>
        </w:trPr>
        <w:tc>
          <w:tcPr>
            <w:tcW w:w="3780" w:type="dxa"/>
            <w:vAlign w:val="bottom"/>
          </w:tcPr>
          <w:p>
            <w:pPr>
              <w:spacing w:after="0"/>
              <w:rPr>
                <w:sz w:val="23"/>
                <w:szCs w:val="23"/>
                <w:color w:val="auto"/>
              </w:rPr>
            </w:pPr>
          </w:p>
        </w:tc>
        <w:tc>
          <w:tcPr>
            <w:tcW w:w="7480" w:type="dxa"/>
            <w:vAlign w:val="bottom"/>
          </w:tcPr>
          <w:p>
            <w:pPr>
              <w:ind w:left="820"/>
              <w:spacing w:after="0"/>
              <w:rPr>
                <w:sz w:val="20"/>
                <w:szCs w:val="20"/>
                <w:color w:val="auto"/>
              </w:rPr>
            </w:pPr>
            <w:r>
              <w:rPr>
                <w:rFonts w:ascii="Arial" w:cs="Arial" w:eastAsia="Arial" w:hAnsi="Arial"/>
                <w:sz w:val="22"/>
                <w:szCs w:val="22"/>
                <w:color w:val="auto"/>
              </w:rPr>
              <w:t>Administrative Agent;</w:t>
            </w:r>
          </w:p>
        </w:tc>
      </w:tr>
      <w:tr>
        <w:trPr>
          <w:trHeight w:val="684"/>
        </w:trPr>
        <w:tc>
          <w:tcPr>
            <w:tcW w:w="378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Final Payment</w:t>
            </w:r>
            <w:r>
              <w:rPr>
                <w:rFonts w:ascii="Arial" w:cs="Arial" w:eastAsia="Arial" w:hAnsi="Arial"/>
                <w:sz w:val="22"/>
                <w:szCs w:val="22"/>
                <w:color w:val="auto"/>
              </w:rPr>
              <w:t>”</w:t>
            </w:r>
          </w:p>
        </w:tc>
        <w:tc>
          <w:tcPr>
            <w:tcW w:w="7480" w:type="dxa"/>
            <w:vAlign w:val="bottom"/>
          </w:tcPr>
          <w:p>
            <w:pPr>
              <w:ind w:left="820"/>
              <w:spacing w:after="0"/>
              <w:rPr>
                <w:sz w:val="20"/>
                <w:szCs w:val="20"/>
                <w:color w:val="auto"/>
              </w:rPr>
            </w:pPr>
            <w:r>
              <w:rPr>
                <w:rFonts w:ascii="Arial" w:cs="Arial" w:eastAsia="Arial" w:hAnsi="Arial"/>
                <w:sz w:val="22"/>
                <w:szCs w:val="22"/>
                <w:color w:val="auto"/>
                <w:w w:val="89"/>
              </w:rPr>
              <w:t>shall mean, with respect to the Facility and any Tranche thereunder, any and</w:t>
            </w:r>
          </w:p>
        </w:tc>
      </w:tr>
      <w:tr>
        <w:trPr>
          <w:trHeight w:val="243"/>
        </w:trPr>
        <w:tc>
          <w:tcPr>
            <w:tcW w:w="3780" w:type="dxa"/>
            <w:vAlign w:val="bottom"/>
          </w:tcPr>
          <w:p>
            <w:pPr>
              <w:spacing w:after="0"/>
              <w:rPr>
                <w:sz w:val="21"/>
                <w:szCs w:val="21"/>
                <w:color w:val="auto"/>
              </w:rPr>
            </w:pPr>
          </w:p>
        </w:tc>
        <w:tc>
          <w:tcPr>
            <w:tcW w:w="7480" w:type="dxa"/>
            <w:vAlign w:val="bottom"/>
          </w:tcPr>
          <w:p>
            <w:pPr>
              <w:ind w:left="820"/>
              <w:spacing w:after="0" w:line="243" w:lineRule="exact"/>
              <w:rPr>
                <w:sz w:val="20"/>
                <w:szCs w:val="20"/>
                <w:color w:val="auto"/>
              </w:rPr>
            </w:pPr>
            <w:r>
              <w:rPr>
                <w:rFonts w:ascii="Arial" w:cs="Arial" w:eastAsia="Arial" w:hAnsi="Arial"/>
                <w:sz w:val="22"/>
                <w:szCs w:val="22"/>
                <w:color w:val="auto"/>
                <w:w w:val="97"/>
              </w:rPr>
              <w:t>all amounts outstanding on the Final Payment Date with respect to the</w:t>
            </w:r>
          </w:p>
        </w:tc>
      </w:tr>
      <w:tr>
        <w:trPr>
          <w:trHeight w:val="243"/>
        </w:trPr>
        <w:tc>
          <w:tcPr>
            <w:tcW w:w="3780" w:type="dxa"/>
            <w:vAlign w:val="bottom"/>
          </w:tcPr>
          <w:p>
            <w:pPr>
              <w:spacing w:after="0"/>
              <w:rPr>
                <w:sz w:val="21"/>
                <w:szCs w:val="21"/>
                <w:color w:val="auto"/>
              </w:rPr>
            </w:pPr>
          </w:p>
        </w:tc>
        <w:tc>
          <w:tcPr>
            <w:tcW w:w="7480" w:type="dxa"/>
            <w:vAlign w:val="bottom"/>
          </w:tcPr>
          <w:p>
            <w:pPr>
              <w:ind w:left="820"/>
              <w:spacing w:after="0" w:line="243" w:lineRule="exact"/>
              <w:rPr>
                <w:sz w:val="20"/>
                <w:szCs w:val="20"/>
                <w:color w:val="auto"/>
              </w:rPr>
            </w:pPr>
            <w:r>
              <w:rPr>
                <w:rFonts w:ascii="Arial" w:cs="Arial" w:eastAsia="Arial" w:hAnsi="Arial"/>
                <w:sz w:val="22"/>
                <w:szCs w:val="22"/>
                <w:color w:val="auto"/>
                <w:w w:val="95"/>
              </w:rPr>
              <w:t>Facility including, but not limited to, accrued but unpaid interest and any</w:t>
            </w:r>
          </w:p>
        </w:tc>
      </w:tr>
      <w:tr>
        <w:trPr>
          <w:trHeight w:val="243"/>
        </w:trPr>
        <w:tc>
          <w:tcPr>
            <w:tcW w:w="3780" w:type="dxa"/>
            <w:vAlign w:val="bottom"/>
          </w:tcPr>
          <w:p>
            <w:pPr>
              <w:spacing w:after="0"/>
              <w:rPr>
                <w:sz w:val="21"/>
                <w:szCs w:val="21"/>
                <w:color w:val="auto"/>
              </w:rPr>
            </w:pPr>
          </w:p>
        </w:tc>
        <w:tc>
          <w:tcPr>
            <w:tcW w:w="7480" w:type="dxa"/>
            <w:vAlign w:val="bottom"/>
          </w:tcPr>
          <w:p>
            <w:pPr>
              <w:ind w:left="820"/>
              <w:spacing w:after="0" w:line="243" w:lineRule="exact"/>
              <w:rPr>
                <w:sz w:val="20"/>
                <w:szCs w:val="20"/>
                <w:color w:val="auto"/>
              </w:rPr>
            </w:pPr>
            <w:r>
              <w:rPr>
                <w:rFonts w:ascii="Arial" w:cs="Arial" w:eastAsia="Arial" w:hAnsi="Arial"/>
                <w:sz w:val="22"/>
                <w:szCs w:val="22"/>
                <w:color w:val="auto"/>
                <w:w w:val="91"/>
              </w:rPr>
              <w:t>other amounts owing by any Security Party to any Creditor pursuant to any</w:t>
            </w:r>
          </w:p>
        </w:tc>
      </w:tr>
      <w:tr>
        <w:trPr>
          <w:trHeight w:val="274"/>
        </w:trPr>
        <w:tc>
          <w:tcPr>
            <w:tcW w:w="3780" w:type="dxa"/>
            <w:vAlign w:val="bottom"/>
          </w:tcPr>
          <w:p>
            <w:pPr>
              <w:spacing w:after="0"/>
              <w:rPr>
                <w:sz w:val="23"/>
                <w:szCs w:val="23"/>
                <w:color w:val="auto"/>
              </w:rPr>
            </w:pPr>
          </w:p>
        </w:tc>
        <w:tc>
          <w:tcPr>
            <w:tcW w:w="7480" w:type="dxa"/>
            <w:vAlign w:val="bottom"/>
          </w:tcPr>
          <w:p>
            <w:pPr>
              <w:ind w:left="820"/>
              <w:spacing w:after="0"/>
              <w:rPr>
                <w:sz w:val="20"/>
                <w:szCs w:val="20"/>
                <w:color w:val="auto"/>
              </w:rPr>
            </w:pPr>
            <w:r>
              <w:rPr>
                <w:rFonts w:ascii="Arial" w:cs="Arial" w:eastAsia="Arial" w:hAnsi="Arial"/>
                <w:sz w:val="22"/>
                <w:szCs w:val="22"/>
                <w:color w:val="auto"/>
              </w:rPr>
              <w:t>Transaction Document;</w:t>
            </w:r>
          </w:p>
        </w:tc>
      </w:tr>
      <w:tr>
        <w:trPr>
          <w:trHeight w:val="698"/>
        </w:trPr>
        <w:tc>
          <w:tcPr>
            <w:tcW w:w="378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Final Payment Date</w:t>
            </w:r>
            <w:r>
              <w:rPr>
                <w:rFonts w:ascii="Arial" w:cs="Arial" w:eastAsia="Arial" w:hAnsi="Arial"/>
                <w:sz w:val="22"/>
                <w:szCs w:val="22"/>
                <w:color w:val="auto"/>
              </w:rPr>
              <w:t>”</w:t>
            </w:r>
          </w:p>
        </w:tc>
        <w:tc>
          <w:tcPr>
            <w:tcW w:w="7480" w:type="dxa"/>
            <w:vAlign w:val="bottom"/>
          </w:tcPr>
          <w:p>
            <w:pPr>
              <w:ind w:left="820"/>
              <w:spacing w:after="0"/>
              <w:rPr>
                <w:sz w:val="20"/>
                <w:szCs w:val="20"/>
                <w:color w:val="auto"/>
              </w:rPr>
            </w:pPr>
            <w:r>
              <w:rPr>
                <w:rFonts w:ascii="Arial" w:cs="Arial" w:eastAsia="Arial" w:hAnsi="Arial"/>
                <w:sz w:val="22"/>
                <w:szCs w:val="22"/>
                <w:color w:val="auto"/>
                <w:w w:val="95"/>
              </w:rPr>
              <w:t>shall mean with respect to the Facility and any Tranche thereunder, the</w:t>
            </w:r>
          </w:p>
        </w:tc>
      </w:tr>
      <w:tr>
        <w:trPr>
          <w:trHeight w:val="243"/>
        </w:trPr>
        <w:tc>
          <w:tcPr>
            <w:tcW w:w="3780" w:type="dxa"/>
            <w:vAlign w:val="bottom"/>
          </w:tcPr>
          <w:p>
            <w:pPr>
              <w:spacing w:after="0"/>
              <w:rPr>
                <w:sz w:val="21"/>
                <w:szCs w:val="21"/>
                <w:color w:val="auto"/>
              </w:rPr>
            </w:pPr>
          </w:p>
        </w:tc>
        <w:tc>
          <w:tcPr>
            <w:tcW w:w="7480" w:type="dxa"/>
            <w:vAlign w:val="bottom"/>
          </w:tcPr>
          <w:p>
            <w:pPr>
              <w:ind w:left="820"/>
              <w:spacing w:after="0" w:line="243" w:lineRule="exact"/>
              <w:rPr>
                <w:sz w:val="20"/>
                <w:szCs w:val="20"/>
                <w:color w:val="auto"/>
              </w:rPr>
            </w:pPr>
            <w:r>
              <w:rPr>
                <w:rFonts w:ascii="Arial" w:cs="Arial" w:eastAsia="Arial" w:hAnsi="Arial"/>
                <w:sz w:val="22"/>
                <w:szCs w:val="22"/>
                <w:color w:val="auto"/>
              </w:rPr>
              <w:t>earlier of (x) December 31, 2023 and (y) five</w:t>
            </w:r>
          </w:p>
        </w:tc>
      </w:tr>
      <w:tr>
        <w:trPr>
          <w:trHeight w:val="274"/>
        </w:trPr>
        <w:tc>
          <w:tcPr>
            <w:tcW w:w="3780" w:type="dxa"/>
            <w:vAlign w:val="bottom"/>
          </w:tcPr>
          <w:p>
            <w:pPr>
              <w:spacing w:after="0"/>
              <w:rPr>
                <w:sz w:val="23"/>
                <w:szCs w:val="23"/>
                <w:color w:val="auto"/>
              </w:rPr>
            </w:pPr>
          </w:p>
        </w:tc>
        <w:tc>
          <w:tcPr>
            <w:tcW w:w="7480" w:type="dxa"/>
            <w:vAlign w:val="bottom"/>
          </w:tcPr>
          <w:p>
            <w:pPr>
              <w:ind w:left="820"/>
              <w:spacing w:after="0"/>
              <w:rPr>
                <w:sz w:val="20"/>
                <w:szCs w:val="20"/>
                <w:color w:val="auto"/>
              </w:rPr>
            </w:pPr>
            <w:r>
              <w:rPr>
                <w:rFonts w:ascii="Arial" w:cs="Arial" w:eastAsia="Arial" w:hAnsi="Arial"/>
                <w:sz w:val="22"/>
                <w:szCs w:val="22"/>
                <w:color w:val="auto"/>
              </w:rPr>
              <w:t>(5) Banking Days prior to the maturity date of the Carlyle Note;</w:t>
            </w:r>
          </w:p>
        </w:tc>
      </w:tr>
      <w:tr>
        <w:trPr>
          <w:trHeight w:val="729"/>
        </w:trPr>
        <w:tc>
          <w:tcPr>
            <w:tcW w:w="378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Floor</w:t>
            </w:r>
            <w:r>
              <w:rPr>
                <w:rFonts w:ascii="Arial" w:cs="Arial" w:eastAsia="Arial" w:hAnsi="Arial"/>
                <w:sz w:val="22"/>
                <w:szCs w:val="22"/>
                <w:color w:val="auto"/>
              </w:rPr>
              <w:t>”</w:t>
            </w:r>
          </w:p>
        </w:tc>
        <w:tc>
          <w:tcPr>
            <w:tcW w:w="7480" w:type="dxa"/>
            <w:vAlign w:val="bottom"/>
          </w:tcPr>
          <w:p>
            <w:pPr>
              <w:ind w:left="820"/>
              <w:spacing w:after="0"/>
              <w:rPr>
                <w:sz w:val="20"/>
                <w:szCs w:val="20"/>
                <w:color w:val="auto"/>
              </w:rPr>
            </w:pPr>
            <w:r>
              <w:rPr>
                <w:rFonts w:ascii="Arial" w:cs="Arial" w:eastAsia="Arial" w:hAnsi="Arial"/>
                <w:sz w:val="22"/>
                <w:szCs w:val="22"/>
                <w:color w:val="auto"/>
              </w:rPr>
              <w:t>shall mean a rate of interest equal to 0.00%;</w:t>
            </w:r>
          </w:p>
        </w:tc>
      </w:tr>
      <w:tr>
        <w:trPr>
          <w:trHeight w:val="534"/>
        </w:trPr>
        <w:tc>
          <w:tcPr>
            <w:tcW w:w="3780" w:type="dxa"/>
            <w:vAlign w:val="bottom"/>
          </w:tcPr>
          <w:p>
            <w:pPr>
              <w:spacing w:after="0"/>
              <w:rPr>
                <w:sz w:val="24"/>
                <w:szCs w:val="24"/>
                <w:color w:val="auto"/>
              </w:rPr>
            </w:pPr>
          </w:p>
        </w:tc>
        <w:tc>
          <w:tcPr>
            <w:tcW w:w="7480" w:type="dxa"/>
            <w:vAlign w:val="bottom"/>
          </w:tcPr>
          <w:p>
            <w:pPr>
              <w:ind w:left="1740"/>
              <w:spacing w:after="0"/>
              <w:rPr>
                <w:sz w:val="20"/>
                <w:szCs w:val="20"/>
                <w:color w:val="auto"/>
              </w:rPr>
            </w:pPr>
            <w:r>
              <w:rPr>
                <w:rFonts w:ascii="Arial" w:cs="Arial" w:eastAsia="Arial" w:hAnsi="Arial"/>
                <w:sz w:val="20"/>
                <w:szCs w:val="20"/>
                <w:color w:val="auto"/>
              </w:rPr>
              <w:t>10</w:t>
            </w:r>
          </w:p>
        </w:tc>
      </w:tr>
      <w:tr>
        <w:trPr>
          <w:trHeight w:val="327"/>
        </w:trPr>
        <w:tc>
          <w:tcPr>
            <w:tcW w:w="3780" w:type="dxa"/>
            <w:vAlign w:val="bottom"/>
            <w:tcBorders>
              <w:bottom w:val="single" w:sz="8" w:color="9A9A9A"/>
            </w:tcBorders>
          </w:tcPr>
          <w:p>
            <w:pPr>
              <w:spacing w:after="0"/>
              <w:rPr>
                <w:sz w:val="24"/>
                <w:szCs w:val="24"/>
                <w:color w:val="auto"/>
              </w:rPr>
            </w:pPr>
          </w:p>
        </w:tc>
        <w:tc>
          <w:tcPr>
            <w:tcW w:w="7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32" w:right="31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53"/>
        </w:trPr>
        <w:tc>
          <w:tcPr>
            <w:tcW w:w="37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Foreign Plan</w:t>
            </w:r>
            <w:r>
              <w:rPr>
                <w:rFonts w:ascii="Arial" w:cs="Arial" w:eastAsia="Arial" w:hAnsi="Arial"/>
                <w:sz w:val="22"/>
                <w:szCs w:val="22"/>
                <w:color w:val="auto"/>
              </w:rPr>
              <w:t>”</w:t>
            </w:r>
          </w:p>
        </w:tc>
        <w:tc>
          <w:tcPr>
            <w:tcW w:w="7560" w:type="dxa"/>
            <w:vAlign w:val="bottom"/>
            <w:gridSpan w:val="3"/>
          </w:tcPr>
          <w:p>
            <w:pPr>
              <w:ind w:left="900"/>
              <w:spacing w:after="0"/>
              <w:rPr>
                <w:sz w:val="20"/>
                <w:szCs w:val="20"/>
                <w:color w:val="auto"/>
              </w:rPr>
            </w:pPr>
            <w:r>
              <w:rPr>
                <w:rFonts w:ascii="Arial" w:cs="Arial" w:eastAsia="Arial" w:hAnsi="Arial"/>
                <w:sz w:val="22"/>
                <w:szCs w:val="22"/>
                <w:color w:val="auto"/>
                <w:w w:val="96"/>
              </w:rPr>
              <w:t>shall  mean  an  employee  benefit  plan,  program,  policy,  scheme  or</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7560" w:type="dxa"/>
            <w:vAlign w:val="bottom"/>
            <w:gridSpan w:val="3"/>
          </w:tcPr>
          <w:p>
            <w:pPr>
              <w:ind w:left="900"/>
              <w:spacing w:after="0" w:line="243" w:lineRule="exact"/>
              <w:rPr>
                <w:sz w:val="20"/>
                <w:szCs w:val="20"/>
                <w:color w:val="auto"/>
              </w:rPr>
            </w:pPr>
            <w:r>
              <w:rPr>
                <w:rFonts w:ascii="Arial" w:cs="Arial" w:eastAsia="Arial" w:hAnsi="Arial"/>
                <w:sz w:val="22"/>
                <w:szCs w:val="22"/>
                <w:color w:val="auto"/>
                <w:w w:val="90"/>
              </w:rPr>
              <w:t>arrangement that is not subject to U.S. law and is maintained or contributed</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7560" w:type="dxa"/>
            <w:vAlign w:val="bottom"/>
            <w:gridSpan w:val="3"/>
          </w:tcPr>
          <w:p>
            <w:pPr>
              <w:ind w:left="900"/>
              <w:spacing w:after="0" w:line="243" w:lineRule="exact"/>
              <w:rPr>
                <w:sz w:val="20"/>
                <w:szCs w:val="20"/>
                <w:color w:val="auto"/>
              </w:rPr>
            </w:pPr>
            <w:r>
              <w:rPr>
                <w:rFonts w:ascii="Arial" w:cs="Arial" w:eastAsia="Arial" w:hAnsi="Arial"/>
                <w:sz w:val="22"/>
                <w:szCs w:val="22"/>
                <w:color w:val="auto"/>
                <w:w w:val="92"/>
              </w:rPr>
              <w:t>to by any Security Party or for which any Security Party has or could have</w:t>
            </w:r>
          </w:p>
        </w:tc>
        <w:tc>
          <w:tcPr>
            <w:tcW w:w="0" w:type="dxa"/>
            <w:vAlign w:val="bottom"/>
          </w:tcPr>
          <w:p>
            <w:pPr>
              <w:spacing w:after="0"/>
              <w:rPr>
                <w:sz w:val="1"/>
                <w:szCs w:val="1"/>
                <w:color w:val="auto"/>
              </w:rPr>
            </w:pPr>
          </w:p>
        </w:tc>
      </w:tr>
      <w:tr>
        <w:trPr>
          <w:trHeight w:val="274"/>
        </w:trPr>
        <w:tc>
          <w:tcPr>
            <w:tcW w:w="3700" w:type="dxa"/>
            <w:vAlign w:val="bottom"/>
          </w:tcPr>
          <w:p>
            <w:pPr>
              <w:spacing w:after="0"/>
              <w:rPr>
                <w:sz w:val="23"/>
                <w:szCs w:val="23"/>
                <w:color w:val="auto"/>
              </w:rPr>
            </w:pPr>
          </w:p>
        </w:tc>
        <w:tc>
          <w:tcPr>
            <w:tcW w:w="7560" w:type="dxa"/>
            <w:vAlign w:val="bottom"/>
            <w:gridSpan w:val="3"/>
          </w:tcPr>
          <w:p>
            <w:pPr>
              <w:ind w:left="900"/>
              <w:spacing w:after="0"/>
              <w:rPr>
                <w:sz w:val="20"/>
                <w:szCs w:val="20"/>
                <w:color w:val="auto"/>
              </w:rPr>
            </w:pPr>
            <w:r>
              <w:rPr>
                <w:rFonts w:ascii="Arial" w:cs="Arial" w:eastAsia="Arial" w:hAnsi="Arial"/>
                <w:sz w:val="22"/>
                <w:szCs w:val="22"/>
                <w:color w:val="auto"/>
              </w:rPr>
              <w:t>any liability;</w:t>
            </w:r>
          </w:p>
        </w:tc>
        <w:tc>
          <w:tcPr>
            <w:tcW w:w="0" w:type="dxa"/>
            <w:vAlign w:val="bottom"/>
          </w:tcPr>
          <w:p>
            <w:pPr>
              <w:spacing w:after="0"/>
              <w:rPr>
                <w:sz w:val="1"/>
                <w:szCs w:val="1"/>
                <w:color w:val="auto"/>
              </w:rPr>
            </w:pPr>
          </w:p>
        </w:tc>
      </w:tr>
      <w:tr>
        <w:trPr>
          <w:trHeight w:val="455"/>
        </w:trPr>
        <w:tc>
          <w:tcPr>
            <w:tcW w:w="37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Foreign Termination Event</w:t>
            </w:r>
            <w:r>
              <w:rPr>
                <w:rFonts w:ascii="Arial" w:cs="Arial" w:eastAsia="Arial" w:hAnsi="Arial"/>
                <w:sz w:val="22"/>
                <w:szCs w:val="22"/>
                <w:color w:val="auto"/>
              </w:rPr>
              <w:t>”</w:t>
            </w:r>
          </w:p>
        </w:tc>
        <w:tc>
          <w:tcPr>
            <w:tcW w:w="7560" w:type="dxa"/>
            <w:vAlign w:val="bottom"/>
            <w:gridSpan w:val="3"/>
          </w:tcPr>
          <w:p>
            <w:pPr>
              <w:ind w:left="900"/>
              <w:spacing w:after="0"/>
              <w:rPr>
                <w:sz w:val="20"/>
                <w:szCs w:val="20"/>
                <w:color w:val="auto"/>
              </w:rPr>
            </w:pPr>
            <w:r>
              <w:rPr>
                <w:rFonts w:ascii="Arial" w:cs="Arial" w:eastAsia="Arial" w:hAnsi="Arial"/>
                <w:sz w:val="22"/>
                <w:szCs w:val="22"/>
                <w:color w:val="auto"/>
              </w:rPr>
              <w:t>shall mean the occurrence of an event with respect to the funding or</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7560" w:type="dxa"/>
            <w:vAlign w:val="bottom"/>
            <w:gridSpan w:val="3"/>
          </w:tcPr>
          <w:p>
            <w:pPr>
              <w:ind w:left="900"/>
              <w:spacing w:after="0" w:line="243" w:lineRule="exact"/>
              <w:rPr>
                <w:sz w:val="20"/>
                <w:szCs w:val="20"/>
                <w:color w:val="auto"/>
              </w:rPr>
            </w:pPr>
            <w:r>
              <w:rPr>
                <w:rFonts w:ascii="Arial" w:cs="Arial" w:eastAsia="Arial" w:hAnsi="Arial"/>
                <w:sz w:val="22"/>
                <w:szCs w:val="22"/>
                <w:color w:val="auto"/>
                <w:w w:val="90"/>
              </w:rPr>
              <w:t>maintenance of a Foreign Plan, that could reasonably be expected to result</w:t>
            </w:r>
          </w:p>
        </w:tc>
        <w:tc>
          <w:tcPr>
            <w:tcW w:w="0" w:type="dxa"/>
            <w:vAlign w:val="bottom"/>
          </w:tcPr>
          <w:p>
            <w:pPr>
              <w:spacing w:after="0"/>
              <w:rPr>
                <w:sz w:val="1"/>
                <w:szCs w:val="1"/>
                <w:color w:val="auto"/>
              </w:rPr>
            </w:pPr>
          </w:p>
        </w:tc>
      </w:tr>
      <w:tr>
        <w:trPr>
          <w:trHeight w:val="274"/>
        </w:trPr>
        <w:tc>
          <w:tcPr>
            <w:tcW w:w="3700" w:type="dxa"/>
            <w:vAlign w:val="bottom"/>
          </w:tcPr>
          <w:p>
            <w:pPr>
              <w:spacing w:after="0"/>
              <w:rPr>
                <w:sz w:val="23"/>
                <w:szCs w:val="23"/>
                <w:color w:val="auto"/>
              </w:rPr>
            </w:pPr>
          </w:p>
        </w:tc>
        <w:tc>
          <w:tcPr>
            <w:tcW w:w="7560" w:type="dxa"/>
            <w:vAlign w:val="bottom"/>
            <w:gridSpan w:val="3"/>
          </w:tcPr>
          <w:p>
            <w:pPr>
              <w:ind w:left="900"/>
              <w:spacing w:after="0"/>
              <w:rPr>
                <w:sz w:val="20"/>
                <w:szCs w:val="20"/>
                <w:color w:val="auto"/>
              </w:rPr>
            </w:pPr>
            <w:r>
              <w:rPr>
                <w:rFonts w:ascii="Arial" w:cs="Arial" w:eastAsia="Arial" w:hAnsi="Arial"/>
                <w:sz w:val="22"/>
                <w:szCs w:val="22"/>
                <w:color w:val="auto"/>
              </w:rPr>
              <w:t>in a lien on, or seizure of, any collateral hereunder;</w:t>
            </w:r>
          </w:p>
        </w:tc>
        <w:tc>
          <w:tcPr>
            <w:tcW w:w="0" w:type="dxa"/>
            <w:vAlign w:val="bottom"/>
          </w:tcPr>
          <w:p>
            <w:pPr>
              <w:spacing w:after="0"/>
              <w:rPr>
                <w:sz w:val="1"/>
                <w:szCs w:val="1"/>
                <w:color w:val="auto"/>
              </w:rPr>
            </w:pPr>
          </w:p>
        </w:tc>
      </w:tr>
      <w:tr>
        <w:trPr>
          <w:trHeight w:val="698"/>
        </w:trPr>
        <w:tc>
          <w:tcPr>
            <w:tcW w:w="37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Foreign Underfunding</w:t>
            </w:r>
            <w:r>
              <w:rPr>
                <w:rFonts w:ascii="Arial" w:cs="Arial" w:eastAsia="Arial" w:hAnsi="Arial"/>
                <w:sz w:val="22"/>
                <w:szCs w:val="22"/>
                <w:color w:val="auto"/>
              </w:rPr>
              <w:t>”</w:t>
            </w:r>
          </w:p>
        </w:tc>
        <w:tc>
          <w:tcPr>
            <w:tcW w:w="7560" w:type="dxa"/>
            <w:vAlign w:val="bottom"/>
            <w:gridSpan w:val="3"/>
          </w:tcPr>
          <w:p>
            <w:pPr>
              <w:ind w:left="900"/>
              <w:spacing w:after="0"/>
              <w:rPr>
                <w:sz w:val="20"/>
                <w:szCs w:val="20"/>
                <w:color w:val="auto"/>
              </w:rPr>
            </w:pPr>
            <w:r>
              <w:rPr>
                <w:rFonts w:ascii="Arial" w:cs="Arial" w:eastAsia="Arial" w:hAnsi="Arial"/>
                <w:sz w:val="22"/>
                <w:szCs w:val="22"/>
                <w:color w:val="auto"/>
                <w:w w:val="89"/>
              </w:rPr>
              <w:t>shall mean the excess, if any, of the accrued benefit obligations of a Foreign</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7560" w:type="dxa"/>
            <w:vAlign w:val="bottom"/>
            <w:gridSpan w:val="3"/>
          </w:tcPr>
          <w:p>
            <w:pPr>
              <w:ind w:left="900"/>
              <w:spacing w:after="0" w:line="243" w:lineRule="exact"/>
              <w:rPr>
                <w:sz w:val="20"/>
                <w:szCs w:val="20"/>
                <w:color w:val="auto"/>
              </w:rPr>
            </w:pPr>
            <w:r>
              <w:rPr>
                <w:rFonts w:ascii="Arial" w:cs="Arial" w:eastAsia="Arial" w:hAnsi="Arial"/>
                <w:sz w:val="22"/>
                <w:szCs w:val="22"/>
                <w:color w:val="auto"/>
                <w:w w:val="90"/>
              </w:rPr>
              <w:t>Plan (based on those assumptions used to fund that Foreign Plan or, if that</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7560" w:type="dxa"/>
            <w:vAlign w:val="bottom"/>
            <w:gridSpan w:val="3"/>
          </w:tcPr>
          <w:p>
            <w:pPr>
              <w:ind w:left="900"/>
              <w:spacing w:after="0" w:line="243" w:lineRule="exact"/>
              <w:rPr>
                <w:sz w:val="20"/>
                <w:szCs w:val="20"/>
                <w:color w:val="auto"/>
              </w:rPr>
            </w:pPr>
            <w:r>
              <w:rPr>
                <w:rFonts w:ascii="Arial" w:cs="Arial" w:eastAsia="Arial" w:hAnsi="Arial"/>
                <w:sz w:val="22"/>
                <w:szCs w:val="22"/>
                <w:color w:val="auto"/>
                <w:w w:val="93"/>
              </w:rPr>
              <w:t>Foreign Plan is unfunded, based on those assumptions used for financial</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7560" w:type="dxa"/>
            <w:vAlign w:val="bottom"/>
            <w:gridSpan w:val="3"/>
          </w:tcPr>
          <w:p>
            <w:pPr>
              <w:ind w:left="900"/>
              <w:spacing w:after="0" w:line="243" w:lineRule="exact"/>
              <w:rPr>
                <w:sz w:val="20"/>
                <w:szCs w:val="20"/>
                <w:color w:val="auto"/>
              </w:rPr>
            </w:pPr>
            <w:r>
              <w:rPr>
                <w:rFonts w:ascii="Arial" w:cs="Arial" w:eastAsia="Arial" w:hAnsi="Arial"/>
                <w:sz w:val="22"/>
                <w:szCs w:val="22"/>
                <w:color w:val="auto"/>
                <w:w w:val="95"/>
              </w:rPr>
              <w:t>accounting statement purposes or, if accrued benefit obligations are not</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7560" w:type="dxa"/>
            <w:vAlign w:val="bottom"/>
            <w:gridSpan w:val="3"/>
          </w:tcPr>
          <w:p>
            <w:pPr>
              <w:ind w:left="900"/>
              <w:spacing w:after="0" w:line="243" w:lineRule="exact"/>
              <w:rPr>
                <w:sz w:val="20"/>
                <w:szCs w:val="20"/>
                <w:color w:val="auto"/>
              </w:rPr>
            </w:pPr>
            <w:r>
              <w:rPr>
                <w:rFonts w:ascii="Arial" w:cs="Arial" w:eastAsia="Arial" w:hAnsi="Arial"/>
                <w:sz w:val="22"/>
                <w:szCs w:val="22"/>
                <w:color w:val="auto"/>
                <w:w w:val="95"/>
              </w:rPr>
              <w:t>calculated for financial accounting purposes, based on such reasonable</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7560" w:type="dxa"/>
            <w:vAlign w:val="bottom"/>
            <w:gridSpan w:val="3"/>
          </w:tcPr>
          <w:p>
            <w:pPr>
              <w:ind w:left="900"/>
              <w:spacing w:after="0" w:line="243" w:lineRule="exact"/>
              <w:rPr>
                <w:sz w:val="20"/>
                <w:szCs w:val="20"/>
                <w:color w:val="auto"/>
              </w:rPr>
            </w:pPr>
            <w:r>
              <w:rPr>
                <w:rFonts w:ascii="Arial" w:cs="Arial" w:eastAsia="Arial" w:hAnsi="Arial"/>
                <w:sz w:val="22"/>
                <w:szCs w:val="22"/>
                <w:color w:val="auto"/>
                <w:w w:val="88"/>
              </w:rPr>
              <w:t>assumptions as may be approved by the Borrowers’ independent auditors for</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7560" w:type="dxa"/>
            <w:vAlign w:val="bottom"/>
            <w:gridSpan w:val="3"/>
          </w:tcPr>
          <w:p>
            <w:pPr>
              <w:ind w:left="900"/>
              <w:spacing w:after="0" w:line="243" w:lineRule="exact"/>
              <w:rPr>
                <w:sz w:val="20"/>
                <w:szCs w:val="20"/>
                <w:color w:val="auto"/>
              </w:rPr>
            </w:pPr>
            <w:r>
              <w:rPr>
                <w:rFonts w:ascii="Arial" w:cs="Arial" w:eastAsia="Arial" w:hAnsi="Arial"/>
                <w:sz w:val="22"/>
                <w:szCs w:val="22"/>
                <w:color w:val="auto"/>
                <w:w w:val="91"/>
              </w:rPr>
              <w:t>these purposes) over the sum of (i) the assets of such Foreign Plan and (ii)</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7560" w:type="dxa"/>
            <w:vAlign w:val="bottom"/>
            <w:gridSpan w:val="3"/>
          </w:tcPr>
          <w:p>
            <w:pPr>
              <w:ind w:left="900"/>
              <w:spacing w:after="0" w:line="243" w:lineRule="exact"/>
              <w:rPr>
                <w:sz w:val="20"/>
                <w:szCs w:val="20"/>
                <w:color w:val="auto"/>
              </w:rPr>
            </w:pPr>
            <w:r>
              <w:rPr>
                <w:rFonts w:ascii="Arial" w:cs="Arial" w:eastAsia="Arial" w:hAnsi="Arial"/>
                <w:sz w:val="22"/>
                <w:szCs w:val="22"/>
                <w:color w:val="auto"/>
                <w:w w:val="94"/>
              </w:rPr>
              <w:t>the liability related to such Foreign Plan accrued for financial accounting</w:t>
            </w:r>
          </w:p>
        </w:tc>
        <w:tc>
          <w:tcPr>
            <w:tcW w:w="0" w:type="dxa"/>
            <w:vAlign w:val="bottom"/>
          </w:tcPr>
          <w:p>
            <w:pPr>
              <w:spacing w:after="0"/>
              <w:rPr>
                <w:sz w:val="1"/>
                <w:szCs w:val="1"/>
                <w:color w:val="auto"/>
              </w:rPr>
            </w:pPr>
          </w:p>
        </w:tc>
      </w:tr>
      <w:tr>
        <w:trPr>
          <w:trHeight w:val="274"/>
        </w:trPr>
        <w:tc>
          <w:tcPr>
            <w:tcW w:w="3700" w:type="dxa"/>
            <w:vAlign w:val="bottom"/>
          </w:tcPr>
          <w:p>
            <w:pPr>
              <w:spacing w:after="0"/>
              <w:rPr>
                <w:sz w:val="23"/>
                <w:szCs w:val="23"/>
                <w:color w:val="auto"/>
              </w:rPr>
            </w:pPr>
          </w:p>
        </w:tc>
        <w:tc>
          <w:tcPr>
            <w:tcW w:w="7560" w:type="dxa"/>
            <w:vAlign w:val="bottom"/>
            <w:gridSpan w:val="3"/>
          </w:tcPr>
          <w:p>
            <w:pPr>
              <w:ind w:left="900"/>
              <w:spacing w:after="0"/>
              <w:rPr>
                <w:sz w:val="20"/>
                <w:szCs w:val="20"/>
                <w:color w:val="auto"/>
              </w:rPr>
            </w:pPr>
            <w:r>
              <w:rPr>
                <w:rFonts w:ascii="Arial" w:cs="Arial" w:eastAsia="Arial" w:hAnsi="Arial"/>
                <w:sz w:val="22"/>
                <w:szCs w:val="22"/>
                <w:color w:val="auto"/>
              </w:rPr>
              <w:t>statement purposes;</w:t>
            </w:r>
          </w:p>
        </w:tc>
        <w:tc>
          <w:tcPr>
            <w:tcW w:w="0" w:type="dxa"/>
            <w:vAlign w:val="bottom"/>
          </w:tcPr>
          <w:p>
            <w:pPr>
              <w:spacing w:after="0"/>
              <w:rPr>
                <w:sz w:val="1"/>
                <w:szCs w:val="1"/>
                <w:color w:val="auto"/>
              </w:rPr>
            </w:pPr>
          </w:p>
        </w:tc>
      </w:tr>
      <w:tr>
        <w:trPr>
          <w:trHeight w:val="1053"/>
        </w:trPr>
        <w:tc>
          <w:tcPr>
            <w:tcW w:w="37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w:t>
            </w:r>
          </w:p>
        </w:tc>
        <w:tc>
          <w:tcPr>
            <w:tcW w:w="7560" w:type="dxa"/>
            <w:vAlign w:val="bottom"/>
            <w:gridSpan w:val="3"/>
          </w:tcPr>
          <w:p>
            <w:pPr>
              <w:ind w:left="900"/>
              <w:spacing w:after="0"/>
              <w:rPr>
                <w:sz w:val="20"/>
                <w:szCs w:val="20"/>
                <w:color w:val="auto"/>
              </w:rPr>
            </w:pPr>
            <w:r>
              <w:rPr>
                <w:rFonts w:ascii="Arial" w:cs="Arial" w:eastAsia="Arial" w:hAnsi="Arial"/>
                <w:sz w:val="22"/>
                <w:szCs w:val="22"/>
                <w:color w:val="auto"/>
              </w:rPr>
              <w:t>shall have the meaning ascribed thereto in Section 1.3;</w:t>
            </w:r>
          </w:p>
        </w:tc>
        <w:tc>
          <w:tcPr>
            <w:tcW w:w="0" w:type="dxa"/>
            <w:vAlign w:val="bottom"/>
          </w:tcPr>
          <w:p>
            <w:pPr>
              <w:spacing w:after="0"/>
              <w:rPr>
                <w:sz w:val="1"/>
                <w:szCs w:val="1"/>
                <w:color w:val="auto"/>
              </w:rPr>
            </w:pPr>
          </w:p>
        </w:tc>
      </w:tr>
      <w:tr>
        <w:trPr>
          <w:trHeight w:val="401"/>
        </w:trPr>
        <w:tc>
          <w:tcPr>
            <w:tcW w:w="37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w:t>
            </w:r>
          </w:p>
        </w:tc>
        <w:tc>
          <w:tcPr>
            <w:tcW w:w="7560" w:type="dxa"/>
            <w:vAlign w:val="bottom"/>
            <w:gridSpan w:val="3"/>
          </w:tcPr>
          <w:p>
            <w:pPr>
              <w:ind w:left="900"/>
              <w:spacing w:after="0"/>
              <w:rPr>
                <w:sz w:val="20"/>
                <w:szCs w:val="20"/>
                <w:color w:val="auto"/>
              </w:rPr>
            </w:pPr>
            <w:r>
              <w:rPr>
                <w:rFonts w:ascii="Arial" w:cs="Arial" w:eastAsia="Arial" w:hAnsi="Arial"/>
                <w:sz w:val="22"/>
                <w:szCs w:val="22"/>
                <w:color w:val="auto"/>
                <w:w w:val="95"/>
              </w:rPr>
              <w:t>shall mean any foreign, federal, state, regional, local, municipal or other</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7560" w:type="dxa"/>
            <w:vAlign w:val="bottom"/>
            <w:gridSpan w:val="3"/>
          </w:tcPr>
          <w:p>
            <w:pPr>
              <w:ind w:left="900"/>
              <w:spacing w:after="0" w:line="243" w:lineRule="exact"/>
              <w:rPr>
                <w:sz w:val="20"/>
                <w:szCs w:val="20"/>
                <w:color w:val="auto"/>
              </w:rPr>
            </w:pPr>
            <w:r>
              <w:rPr>
                <w:rFonts w:ascii="Arial" w:cs="Arial" w:eastAsia="Arial" w:hAnsi="Arial"/>
                <w:sz w:val="22"/>
                <w:szCs w:val="22"/>
                <w:color w:val="auto"/>
                <w:w w:val="90"/>
              </w:rPr>
              <w:t>government, or any department, commission, board, bureau, agency, public</w:t>
            </w:r>
          </w:p>
        </w:tc>
        <w:tc>
          <w:tcPr>
            <w:tcW w:w="0" w:type="dxa"/>
            <w:vAlign w:val="bottom"/>
          </w:tcPr>
          <w:p>
            <w:pPr>
              <w:spacing w:after="0"/>
              <w:rPr>
                <w:sz w:val="1"/>
                <w:szCs w:val="1"/>
                <w:color w:val="auto"/>
              </w:rPr>
            </w:pPr>
          </w:p>
        </w:tc>
      </w:tr>
      <w:tr>
        <w:trPr>
          <w:trHeight w:val="274"/>
        </w:trPr>
        <w:tc>
          <w:tcPr>
            <w:tcW w:w="3700" w:type="dxa"/>
            <w:vAlign w:val="bottom"/>
          </w:tcPr>
          <w:p>
            <w:pPr>
              <w:spacing w:after="0"/>
              <w:rPr>
                <w:sz w:val="23"/>
                <w:szCs w:val="23"/>
                <w:color w:val="auto"/>
              </w:rPr>
            </w:pPr>
          </w:p>
        </w:tc>
        <w:tc>
          <w:tcPr>
            <w:tcW w:w="7560" w:type="dxa"/>
            <w:vAlign w:val="bottom"/>
            <w:gridSpan w:val="3"/>
          </w:tcPr>
          <w:p>
            <w:pPr>
              <w:ind w:left="900"/>
              <w:spacing w:after="0"/>
              <w:rPr>
                <w:sz w:val="20"/>
                <w:szCs w:val="20"/>
                <w:color w:val="auto"/>
              </w:rPr>
            </w:pPr>
            <w:r>
              <w:rPr>
                <w:rFonts w:ascii="Arial" w:cs="Arial" w:eastAsia="Arial" w:hAnsi="Arial"/>
                <w:sz w:val="22"/>
                <w:szCs w:val="22"/>
                <w:color w:val="auto"/>
              </w:rPr>
              <w:t>authority or instrumentality thereof, or any court or arbitrator;</w:t>
            </w:r>
          </w:p>
        </w:tc>
        <w:tc>
          <w:tcPr>
            <w:tcW w:w="0" w:type="dxa"/>
            <w:vAlign w:val="bottom"/>
          </w:tcPr>
          <w:p>
            <w:pPr>
              <w:spacing w:after="0"/>
              <w:rPr>
                <w:sz w:val="1"/>
                <w:szCs w:val="1"/>
                <w:color w:val="auto"/>
              </w:rPr>
            </w:pPr>
          </w:p>
        </w:tc>
      </w:tr>
      <w:tr>
        <w:trPr>
          <w:trHeight w:val="783"/>
        </w:trPr>
        <w:tc>
          <w:tcPr>
            <w:tcW w:w="37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Guarantor</w:t>
            </w:r>
            <w:r>
              <w:rPr>
                <w:rFonts w:ascii="Arial" w:cs="Arial" w:eastAsia="Arial" w:hAnsi="Arial"/>
                <w:sz w:val="22"/>
                <w:szCs w:val="22"/>
                <w:color w:val="auto"/>
              </w:rPr>
              <w:t>”</w:t>
            </w:r>
          </w:p>
        </w:tc>
        <w:tc>
          <w:tcPr>
            <w:tcW w:w="7560" w:type="dxa"/>
            <w:vAlign w:val="bottom"/>
            <w:gridSpan w:val="3"/>
          </w:tcPr>
          <w:p>
            <w:pPr>
              <w:ind w:left="900"/>
              <w:spacing w:after="0"/>
              <w:rPr>
                <w:sz w:val="20"/>
                <w:szCs w:val="20"/>
                <w:color w:val="auto"/>
              </w:rPr>
            </w:pPr>
            <w:r>
              <w:rPr>
                <w:rFonts w:ascii="Arial" w:cs="Arial" w:eastAsia="Arial" w:hAnsi="Arial"/>
                <w:sz w:val="22"/>
                <w:szCs w:val="22"/>
                <w:color w:val="auto"/>
              </w:rPr>
              <w:t>means Seacor Marine Holdings Inc., a Delaware corporation;</w:t>
            </w:r>
          </w:p>
        </w:tc>
        <w:tc>
          <w:tcPr>
            <w:tcW w:w="0" w:type="dxa"/>
            <w:vAlign w:val="bottom"/>
          </w:tcPr>
          <w:p>
            <w:pPr>
              <w:spacing w:after="0"/>
              <w:rPr>
                <w:sz w:val="1"/>
                <w:szCs w:val="1"/>
                <w:color w:val="auto"/>
              </w:rPr>
            </w:pPr>
          </w:p>
        </w:tc>
      </w:tr>
      <w:tr>
        <w:trPr>
          <w:trHeight w:val="414"/>
        </w:trPr>
        <w:tc>
          <w:tcPr>
            <w:tcW w:w="37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Guaranty</w:t>
            </w:r>
            <w:r>
              <w:rPr>
                <w:rFonts w:ascii="Arial" w:cs="Arial" w:eastAsia="Arial" w:hAnsi="Arial"/>
                <w:sz w:val="22"/>
                <w:szCs w:val="22"/>
                <w:color w:val="auto"/>
              </w:rPr>
              <w:t>”</w:t>
            </w:r>
          </w:p>
        </w:tc>
        <w:tc>
          <w:tcPr>
            <w:tcW w:w="7560" w:type="dxa"/>
            <w:vAlign w:val="bottom"/>
            <w:gridSpan w:val="3"/>
          </w:tcPr>
          <w:p>
            <w:pPr>
              <w:ind w:left="900"/>
              <w:spacing w:after="0"/>
              <w:rPr>
                <w:sz w:val="20"/>
                <w:szCs w:val="20"/>
                <w:color w:val="auto"/>
              </w:rPr>
            </w:pPr>
            <w:r>
              <w:rPr>
                <w:rFonts w:ascii="Arial" w:cs="Arial" w:eastAsia="Arial" w:hAnsi="Arial"/>
                <w:sz w:val="22"/>
                <w:szCs w:val="22"/>
                <w:color w:val="auto"/>
                <w:w w:val="94"/>
              </w:rPr>
              <w:t>means the guaranty dated as of the Seventh Amendment Effective Date</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7560" w:type="dxa"/>
            <w:vAlign w:val="bottom"/>
            <w:gridSpan w:val="3"/>
          </w:tcPr>
          <w:p>
            <w:pPr>
              <w:ind w:left="900"/>
              <w:spacing w:after="0" w:line="243" w:lineRule="exact"/>
              <w:rPr>
                <w:sz w:val="20"/>
                <w:szCs w:val="20"/>
                <w:color w:val="auto"/>
              </w:rPr>
            </w:pPr>
            <w:r>
              <w:rPr>
                <w:rFonts w:ascii="Arial" w:cs="Arial" w:eastAsia="Arial" w:hAnsi="Arial"/>
                <w:sz w:val="22"/>
                <w:szCs w:val="22"/>
                <w:color w:val="auto"/>
                <w:w w:val="93"/>
              </w:rPr>
              <w:t>granted by the Guarantor in favor of the Security Trustee, substantially in</w:t>
            </w:r>
          </w:p>
        </w:tc>
        <w:tc>
          <w:tcPr>
            <w:tcW w:w="0" w:type="dxa"/>
            <w:vAlign w:val="bottom"/>
          </w:tcPr>
          <w:p>
            <w:pPr>
              <w:spacing w:after="0"/>
              <w:rPr>
                <w:sz w:val="1"/>
                <w:szCs w:val="1"/>
                <w:color w:val="auto"/>
              </w:rPr>
            </w:pPr>
          </w:p>
        </w:tc>
      </w:tr>
      <w:tr>
        <w:trPr>
          <w:trHeight w:val="224"/>
        </w:trPr>
        <w:tc>
          <w:tcPr>
            <w:tcW w:w="3700" w:type="dxa"/>
            <w:vAlign w:val="bottom"/>
          </w:tcPr>
          <w:p>
            <w:pPr>
              <w:spacing w:after="0"/>
              <w:rPr>
                <w:sz w:val="19"/>
                <w:szCs w:val="19"/>
                <w:color w:val="auto"/>
              </w:rPr>
            </w:pPr>
          </w:p>
        </w:tc>
        <w:tc>
          <w:tcPr>
            <w:tcW w:w="7560" w:type="dxa"/>
            <w:vAlign w:val="bottom"/>
            <w:gridSpan w:val="3"/>
          </w:tcPr>
          <w:p>
            <w:pPr>
              <w:ind w:left="900"/>
              <w:spacing w:after="0" w:line="224" w:lineRule="exact"/>
              <w:rPr>
                <w:sz w:val="20"/>
                <w:szCs w:val="20"/>
                <w:color w:val="auto"/>
              </w:rPr>
            </w:pPr>
            <w:r>
              <w:rPr>
                <w:rFonts w:ascii="Arial" w:cs="Arial" w:eastAsia="Arial" w:hAnsi="Arial"/>
                <w:sz w:val="22"/>
                <w:szCs w:val="22"/>
                <w:color w:val="auto"/>
              </w:rPr>
              <w:t>the form set out in Exhibit L;</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Hedging Bank(s)</w:t>
            </w:r>
            <w:r>
              <w:rPr>
                <w:rFonts w:ascii="Arial" w:cs="Arial" w:eastAsia="Arial" w:hAnsi="Arial"/>
                <w:sz w:val="22"/>
                <w:szCs w:val="22"/>
                <w:color w:val="auto"/>
              </w:rPr>
              <w:t>”</w:t>
            </w:r>
          </w:p>
        </w:tc>
        <w:tc>
          <w:tcPr>
            <w:tcW w:w="2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0"/>
        </w:trPr>
        <w:tc>
          <w:tcPr>
            <w:tcW w:w="3700" w:type="dxa"/>
            <w:vAlign w:val="bottom"/>
            <w:vMerge w:val="continue"/>
          </w:tcPr>
          <w:p>
            <w:pPr>
              <w:spacing w:after="0"/>
              <w:rPr>
                <w:sz w:val="24"/>
                <w:szCs w:val="24"/>
                <w:color w:val="auto"/>
              </w:rPr>
            </w:pPr>
          </w:p>
        </w:tc>
        <w:tc>
          <w:tcPr>
            <w:tcW w:w="7560" w:type="dxa"/>
            <w:vAlign w:val="bottom"/>
            <w:gridSpan w:val="3"/>
          </w:tcPr>
          <w:p>
            <w:pPr>
              <w:ind w:left="900"/>
              <w:spacing w:after="0"/>
              <w:rPr>
                <w:sz w:val="20"/>
                <w:szCs w:val="20"/>
                <w:color w:val="auto"/>
              </w:rPr>
            </w:pPr>
            <w:r>
              <w:rPr>
                <w:rFonts w:ascii="Arial" w:cs="Arial" w:eastAsia="Arial" w:hAnsi="Arial"/>
                <w:sz w:val="22"/>
                <w:szCs w:val="22"/>
                <w:color w:val="auto"/>
                <w:w w:val="91"/>
              </w:rPr>
              <w:t>shall mean any Lender or Agent as is party to an Interest Rate Agreement;</w:t>
            </w:r>
          </w:p>
        </w:tc>
        <w:tc>
          <w:tcPr>
            <w:tcW w:w="0" w:type="dxa"/>
            <w:vAlign w:val="bottom"/>
          </w:tcPr>
          <w:p>
            <w:pPr>
              <w:spacing w:after="0"/>
              <w:rPr>
                <w:sz w:val="1"/>
                <w:szCs w:val="1"/>
                <w:color w:val="auto"/>
              </w:rPr>
            </w:pPr>
          </w:p>
        </w:tc>
      </w:tr>
      <w:tr>
        <w:trPr>
          <w:trHeight w:val="715"/>
        </w:trPr>
        <w:tc>
          <w:tcPr>
            <w:tcW w:w="37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Holding Company</w:t>
            </w:r>
            <w:r>
              <w:rPr>
                <w:rFonts w:ascii="Arial" w:cs="Arial" w:eastAsia="Arial" w:hAnsi="Arial"/>
                <w:sz w:val="22"/>
                <w:szCs w:val="22"/>
                <w:color w:val="auto"/>
              </w:rPr>
              <w:t>”</w:t>
            </w:r>
          </w:p>
        </w:tc>
        <w:tc>
          <w:tcPr>
            <w:tcW w:w="7560" w:type="dxa"/>
            <w:vAlign w:val="bottom"/>
            <w:gridSpan w:val="3"/>
          </w:tcPr>
          <w:p>
            <w:pPr>
              <w:ind w:left="900"/>
              <w:spacing w:after="0"/>
              <w:rPr>
                <w:sz w:val="20"/>
                <w:szCs w:val="20"/>
                <w:color w:val="auto"/>
              </w:rPr>
            </w:pPr>
            <w:r>
              <w:rPr>
                <w:rFonts w:ascii="Arial" w:cs="Arial" w:eastAsia="Arial" w:hAnsi="Arial"/>
                <w:sz w:val="22"/>
                <w:szCs w:val="22"/>
                <w:color w:val="auto"/>
              </w:rPr>
              <w:t>shall have the meaning ascribed thereto in the preamble;</w:t>
            </w:r>
          </w:p>
        </w:tc>
        <w:tc>
          <w:tcPr>
            <w:tcW w:w="0" w:type="dxa"/>
            <w:vAlign w:val="bottom"/>
          </w:tcPr>
          <w:p>
            <w:pPr>
              <w:spacing w:after="0"/>
              <w:rPr>
                <w:sz w:val="1"/>
                <w:szCs w:val="1"/>
                <w:color w:val="auto"/>
              </w:rPr>
            </w:pPr>
          </w:p>
        </w:tc>
      </w:tr>
      <w:tr>
        <w:trPr>
          <w:trHeight w:val="428"/>
        </w:trPr>
        <w:tc>
          <w:tcPr>
            <w:tcW w:w="37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IAPPC</w:t>
            </w:r>
            <w:r>
              <w:rPr>
                <w:rFonts w:ascii="Arial" w:cs="Arial" w:eastAsia="Arial" w:hAnsi="Arial"/>
                <w:sz w:val="22"/>
                <w:szCs w:val="22"/>
                <w:color w:val="auto"/>
              </w:rPr>
              <w:t>”</w:t>
            </w:r>
          </w:p>
        </w:tc>
        <w:tc>
          <w:tcPr>
            <w:tcW w:w="7560" w:type="dxa"/>
            <w:vAlign w:val="bottom"/>
            <w:gridSpan w:val="3"/>
          </w:tcPr>
          <w:p>
            <w:pPr>
              <w:ind w:left="900"/>
              <w:spacing w:after="0"/>
              <w:rPr>
                <w:sz w:val="20"/>
                <w:szCs w:val="20"/>
                <w:color w:val="auto"/>
              </w:rPr>
            </w:pPr>
            <w:r>
              <w:rPr>
                <w:rFonts w:ascii="Arial" w:cs="Arial" w:eastAsia="Arial" w:hAnsi="Arial"/>
                <w:sz w:val="22"/>
                <w:szCs w:val="22"/>
                <w:color w:val="auto"/>
                <w:w w:val="97"/>
              </w:rPr>
              <w:t>shall mean a valid international air pollution prevention certificate for a</w:t>
            </w:r>
          </w:p>
        </w:tc>
        <w:tc>
          <w:tcPr>
            <w:tcW w:w="0" w:type="dxa"/>
            <w:vAlign w:val="bottom"/>
          </w:tcPr>
          <w:p>
            <w:pPr>
              <w:spacing w:after="0"/>
              <w:rPr>
                <w:sz w:val="1"/>
                <w:szCs w:val="1"/>
                <w:color w:val="auto"/>
              </w:rPr>
            </w:pPr>
          </w:p>
        </w:tc>
      </w:tr>
      <w:tr>
        <w:trPr>
          <w:trHeight w:val="274"/>
        </w:trPr>
        <w:tc>
          <w:tcPr>
            <w:tcW w:w="3700" w:type="dxa"/>
            <w:vAlign w:val="bottom"/>
          </w:tcPr>
          <w:p>
            <w:pPr>
              <w:spacing w:after="0"/>
              <w:rPr>
                <w:sz w:val="23"/>
                <w:szCs w:val="23"/>
                <w:color w:val="auto"/>
              </w:rPr>
            </w:pPr>
          </w:p>
        </w:tc>
        <w:tc>
          <w:tcPr>
            <w:tcW w:w="7560" w:type="dxa"/>
            <w:vAlign w:val="bottom"/>
            <w:gridSpan w:val="3"/>
          </w:tcPr>
          <w:p>
            <w:pPr>
              <w:ind w:left="900"/>
              <w:spacing w:after="0"/>
              <w:rPr>
                <w:sz w:val="20"/>
                <w:szCs w:val="20"/>
                <w:color w:val="auto"/>
              </w:rPr>
            </w:pPr>
            <w:r>
              <w:rPr>
                <w:rFonts w:ascii="Arial" w:cs="Arial" w:eastAsia="Arial" w:hAnsi="Arial"/>
                <w:sz w:val="22"/>
                <w:szCs w:val="22"/>
                <w:color w:val="auto"/>
              </w:rPr>
              <w:t>Vessel issued under Annex VI;</w:t>
            </w:r>
          </w:p>
        </w:tc>
        <w:tc>
          <w:tcPr>
            <w:tcW w:w="0" w:type="dxa"/>
            <w:vAlign w:val="bottom"/>
          </w:tcPr>
          <w:p>
            <w:pPr>
              <w:spacing w:after="0"/>
              <w:rPr>
                <w:sz w:val="1"/>
                <w:szCs w:val="1"/>
                <w:color w:val="auto"/>
              </w:rPr>
            </w:pPr>
          </w:p>
        </w:tc>
      </w:tr>
      <w:tr>
        <w:trPr>
          <w:trHeight w:val="574"/>
        </w:trPr>
        <w:tc>
          <w:tcPr>
            <w:tcW w:w="3700" w:type="dxa"/>
            <w:vAlign w:val="bottom"/>
          </w:tcPr>
          <w:p>
            <w:pPr>
              <w:spacing w:after="0"/>
              <w:rPr>
                <w:sz w:val="24"/>
                <w:szCs w:val="24"/>
                <w:color w:val="auto"/>
              </w:rPr>
            </w:pPr>
          </w:p>
        </w:tc>
        <w:tc>
          <w:tcPr>
            <w:tcW w:w="2540" w:type="dxa"/>
            <w:vAlign w:val="bottom"/>
          </w:tcPr>
          <w:p>
            <w:pPr>
              <w:ind w:left="1820"/>
              <w:spacing w:after="0"/>
              <w:rPr>
                <w:sz w:val="20"/>
                <w:szCs w:val="20"/>
                <w:color w:val="auto"/>
              </w:rPr>
            </w:pPr>
            <w:r>
              <w:rPr>
                <w:rFonts w:ascii="Arial" w:cs="Arial" w:eastAsia="Arial" w:hAnsi="Arial"/>
                <w:sz w:val="20"/>
                <w:szCs w:val="20"/>
                <w:color w:val="auto"/>
              </w:rPr>
              <w:t>11</w:t>
            </w:r>
          </w:p>
        </w:tc>
        <w:tc>
          <w:tcPr>
            <w:tcW w:w="7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7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05" w:right="319" w:bottom="1440" w:gutter="0" w:footer="0" w:header="0"/>
        </w:sectPr>
      </w:pPr>
    </w:p>
    <w:bookmarkStart w:id="149" w:name="page150"/>
    <w:bookmarkEnd w:id="149"/>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Indebtedness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shall mean, with respect to any Person at any date of determination (without</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duplication), (i) all indebtedness of such Person for borrowed money, (ii) all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obligations of such Person evidenced by bonds, debentures, notes or other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similar instruments, (iii) all obligations of such Person in respect of letters of</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credit or other similar instruments (including reimbursement obligations</w:t>
      </w:r>
    </w:p>
    <w:p>
      <w:pPr>
        <w:spacing w:after="0" w:line="231" w:lineRule="auto"/>
        <w:rPr>
          <w:sz w:val="20"/>
          <w:szCs w:val="20"/>
          <w:color w:val="auto"/>
        </w:rPr>
      </w:pPr>
      <w:r>
        <w:rPr>
          <w:rFonts w:ascii="Arial" w:cs="Arial" w:eastAsia="Arial" w:hAnsi="Arial"/>
          <w:sz w:val="22"/>
          <w:szCs w:val="22"/>
          <w:color w:val="auto"/>
        </w:rPr>
        <w:t>with respect thereto),</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(iv) all obligations of such Person to pay the deferred and unpaid purchase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price of property or services, which purchase price is due more than six</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months after the date of placing such property in service or taking delivery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thereof or the completion of such services, except trade payables, (v) all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obligations  on  account  of  principal  of  such  Person  as  lessee  under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capitalized leases, (vi) all indebtedness of other Persons secured by a lien 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any asset of such Person, whether or not such indebtedness is assumed by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such Person; provided that the amount of such indebtedness shall be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lesser of (a) the fair market value of such asset at such date of determination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(b) the amount of such indebtedness, and (vii) all indebtedness of other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Persons guaranteed by such Person to the extent guaranteed; the amount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Indebtedness of any Person at any date shall be the outstanding balance at</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such date of all unconditional obligations as described above and, with</w:t>
      </w:r>
    </w:p>
    <w:p>
      <w:pPr>
        <w:spacing w:after="0"/>
        <w:tabs>
          <w:tab w:leader="none" w:pos="760" w:val="left"/>
          <w:tab w:leader="none" w:pos="1100" w:val="left"/>
          <w:tab w:leader="none" w:pos="2200" w:val="left"/>
          <w:tab w:leader="none" w:pos="3380" w:val="left"/>
          <w:tab w:leader="none" w:pos="3820" w:val="left"/>
          <w:tab w:leader="none" w:pos="4880" w:val="left"/>
          <w:tab w:leader="none" w:pos="5720" w:val="left"/>
          <w:tab w:leader="none" w:pos="6340" w:val="left"/>
        </w:tabs>
        <w:rPr>
          <w:sz w:val="20"/>
          <w:szCs w:val="20"/>
          <w:color w:val="auto"/>
        </w:rPr>
      </w:pPr>
      <w:r>
        <w:rPr>
          <w:rFonts w:ascii="Arial" w:cs="Arial" w:eastAsia="Arial" w:hAnsi="Arial"/>
          <w:sz w:val="22"/>
          <w:szCs w:val="22"/>
          <w:color w:val="auto"/>
        </w:rPr>
        <w:t>respect</w:t>
        <w:tab/>
        <w:t>to</w:t>
        <w:tab/>
        <w:t>contingent</w:t>
        <w:tab/>
        <w:t>obligations,</w:t>
        <w:tab/>
        <w:t>the</w:t>
        <w:tab/>
        <w:t>maximum</w:t>
        <w:tab/>
        <w:t>liability</w:t>
        <w:tab/>
        <w:t>upon</w:t>
      </w:r>
      <w:r>
        <w:rPr>
          <w:sz w:val="20"/>
          <w:szCs w:val="20"/>
          <w:color w:val="auto"/>
        </w:rPr>
        <w:tab/>
      </w:r>
      <w:r>
        <w:rPr>
          <w:rFonts w:ascii="Arial" w:cs="Arial" w:eastAsia="Arial" w:hAnsi="Arial"/>
          <w:sz w:val="19"/>
          <w:szCs w:val="19"/>
          <w:color w:val="auto"/>
        </w:rPr>
        <w:t>the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occurrence of the contingency giving rise to the obligation, provided that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amount outstanding at any time of any indebtedness issued with original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issue discount is the face amount of such indebtedness less the remaining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unamortized portion of the original issue discount of such indebtedness at</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such time as determined in conformity with GAAP; and provided further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that Indebtedness shall not include any liability for current or deferred</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federal, state, local or other</w:t>
      </w:r>
    </w:p>
    <w:p>
      <w:pPr>
        <w:spacing w:after="0" w:line="200" w:lineRule="exact"/>
        <w:rPr>
          <w:sz w:val="20"/>
          <w:szCs w:val="20"/>
          <w:color w:val="auto"/>
        </w:rPr>
      </w:pPr>
    </w:p>
    <w:p>
      <w:pPr>
        <w:sectPr>
          <w:pgSz w:w="11900" w:h="16838" w:orient="portrait"/>
          <w:cols w:equalWidth="0" w:num="2">
            <w:col w:w="3780" w:space="720"/>
            <w:col w:w="6640"/>
          </w:cols>
          <w:pgMar w:left="420" w:top="4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taxes, or any current trade payables;</w:t>
      </w:r>
    </w:p>
    <w:p>
      <w:pPr>
        <w:spacing w:after="0" w:line="187" w:lineRule="exact"/>
        <w:rPr>
          <w:sz w:val="20"/>
          <w:szCs w:val="20"/>
          <w:color w:val="auto"/>
        </w:rPr>
      </w:pPr>
    </w:p>
    <w:p>
      <w:pPr>
        <w:spacing w:after="0"/>
        <w:tabs>
          <w:tab w:leader="none" w:pos="448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Indemnitee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shall have the meaning ascribed thereto in Section 17.8;</w:t>
      </w:r>
    </w:p>
    <w:p>
      <w:pPr>
        <w:spacing w:after="0" w:line="338"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203200</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436" w:right="339" w:bottom="1440" w:gutter="0" w:footer="0" w:header="0"/>
          <w:type w:val="continuous"/>
        </w:sectPr>
      </w:pPr>
    </w:p>
    <w:bookmarkStart w:id="150" w:name="page151"/>
    <w:bookmarkEnd w:id="150"/>
    <w:tbl>
      <w:tblPr>
        <w:tblLayout w:type="fixed"/>
        <w:tblInd w:w="0" w:type="dxa"/>
        <w:tblCellMar>
          <w:top w:w="0" w:type="dxa"/>
          <w:left w:w="0" w:type="dxa"/>
          <w:bottom w:w="0" w:type="dxa"/>
          <w:right w:w="0" w:type="dxa"/>
        </w:tblCellMar>
      </w:tblPr>
      <w:tr>
        <w:trPr>
          <w:trHeight w:val="253"/>
        </w:trPr>
        <w:tc>
          <w:tcPr>
            <w:tcW w:w="258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Information</w:t>
            </w:r>
            <w:r>
              <w:rPr>
                <w:rFonts w:ascii="Arial" w:cs="Arial" w:eastAsia="Arial" w:hAnsi="Arial"/>
                <w:sz w:val="22"/>
                <w:szCs w:val="22"/>
                <w:color w:val="auto"/>
              </w:rPr>
              <w:t>”</w:t>
            </w:r>
          </w:p>
        </w:tc>
        <w:tc>
          <w:tcPr>
            <w:tcW w:w="8560" w:type="dxa"/>
            <w:vAlign w:val="bottom"/>
            <w:gridSpan w:val="2"/>
          </w:tcPr>
          <w:p>
            <w:pPr>
              <w:ind w:left="1920"/>
              <w:spacing w:after="0"/>
              <w:rPr>
                <w:sz w:val="20"/>
                <w:szCs w:val="20"/>
                <w:color w:val="auto"/>
              </w:rPr>
            </w:pPr>
            <w:r>
              <w:rPr>
                <w:rFonts w:ascii="Arial" w:cs="Arial" w:eastAsia="Arial" w:hAnsi="Arial"/>
                <w:sz w:val="22"/>
                <w:szCs w:val="22"/>
                <w:color w:val="auto"/>
                <w:w w:val="94"/>
              </w:rPr>
              <w:t>shall mean all information relating to any Security Party, the Transaction</w:t>
            </w:r>
          </w:p>
        </w:tc>
      </w:tr>
      <w:tr>
        <w:trPr>
          <w:trHeight w:val="243"/>
        </w:trPr>
        <w:tc>
          <w:tcPr>
            <w:tcW w:w="2580" w:type="dxa"/>
            <w:vAlign w:val="bottom"/>
          </w:tcPr>
          <w:p>
            <w:pPr>
              <w:spacing w:after="0"/>
              <w:rPr>
                <w:sz w:val="21"/>
                <w:szCs w:val="21"/>
                <w:color w:val="auto"/>
              </w:rPr>
            </w:pPr>
          </w:p>
        </w:tc>
        <w:tc>
          <w:tcPr>
            <w:tcW w:w="8560" w:type="dxa"/>
            <w:vAlign w:val="bottom"/>
            <w:gridSpan w:val="2"/>
          </w:tcPr>
          <w:p>
            <w:pPr>
              <w:ind w:left="1920"/>
              <w:spacing w:after="0" w:line="243" w:lineRule="exact"/>
              <w:rPr>
                <w:sz w:val="20"/>
                <w:szCs w:val="20"/>
                <w:color w:val="auto"/>
              </w:rPr>
            </w:pPr>
            <w:r>
              <w:rPr>
                <w:rFonts w:ascii="Arial" w:cs="Arial" w:eastAsia="Arial" w:hAnsi="Arial"/>
                <w:sz w:val="22"/>
                <w:szCs w:val="22"/>
                <w:color w:val="auto"/>
                <w:w w:val="98"/>
              </w:rPr>
              <w:t>Documents or the Facility of which the Administrative Agent, Security</w:t>
            </w:r>
          </w:p>
        </w:tc>
      </w:tr>
      <w:tr>
        <w:trPr>
          <w:trHeight w:val="243"/>
        </w:trPr>
        <w:tc>
          <w:tcPr>
            <w:tcW w:w="2580" w:type="dxa"/>
            <w:vAlign w:val="bottom"/>
          </w:tcPr>
          <w:p>
            <w:pPr>
              <w:spacing w:after="0"/>
              <w:rPr>
                <w:sz w:val="21"/>
                <w:szCs w:val="21"/>
                <w:color w:val="auto"/>
              </w:rPr>
            </w:pPr>
          </w:p>
        </w:tc>
        <w:tc>
          <w:tcPr>
            <w:tcW w:w="8560" w:type="dxa"/>
            <w:vAlign w:val="bottom"/>
            <w:gridSpan w:val="2"/>
          </w:tcPr>
          <w:p>
            <w:pPr>
              <w:ind w:left="1920"/>
              <w:spacing w:after="0" w:line="243" w:lineRule="exact"/>
              <w:rPr>
                <w:sz w:val="20"/>
                <w:szCs w:val="20"/>
                <w:color w:val="auto"/>
              </w:rPr>
            </w:pPr>
            <w:r>
              <w:rPr>
                <w:rFonts w:ascii="Arial" w:cs="Arial" w:eastAsia="Arial" w:hAnsi="Arial"/>
                <w:sz w:val="22"/>
                <w:szCs w:val="22"/>
                <w:color w:val="auto"/>
                <w:w w:val="89"/>
              </w:rPr>
              <w:t>Trustee or a Creditor becomes aware in its capacity as, or for the purpose of</w:t>
            </w:r>
          </w:p>
        </w:tc>
      </w:tr>
      <w:tr>
        <w:trPr>
          <w:trHeight w:val="243"/>
        </w:trPr>
        <w:tc>
          <w:tcPr>
            <w:tcW w:w="2580" w:type="dxa"/>
            <w:vAlign w:val="bottom"/>
          </w:tcPr>
          <w:p>
            <w:pPr>
              <w:spacing w:after="0"/>
              <w:rPr>
                <w:sz w:val="21"/>
                <w:szCs w:val="21"/>
                <w:color w:val="auto"/>
              </w:rPr>
            </w:pPr>
          </w:p>
        </w:tc>
        <w:tc>
          <w:tcPr>
            <w:tcW w:w="8560" w:type="dxa"/>
            <w:vAlign w:val="bottom"/>
            <w:gridSpan w:val="2"/>
          </w:tcPr>
          <w:p>
            <w:pPr>
              <w:ind w:left="1920"/>
              <w:spacing w:after="0" w:line="243" w:lineRule="exact"/>
              <w:rPr>
                <w:sz w:val="20"/>
                <w:szCs w:val="20"/>
                <w:color w:val="auto"/>
              </w:rPr>
            </w:pPr>
            <w:r>
              <w:rPr>
                <w:rFonts w:ascii="Arial" w:cs="Arial" w:eastAsia="Arial" w:hAnsi="Arial"/>
                <w:sz w:val="22"/>
                <w:szCs w:val="22"/>
                <w:color w:val="auto"/>
                <w:w w:val="98"/>
              </w:rPr>
              <w:t>becoming, the Administrative Agent, Security Trustee or a Creditor or</w:t>
            </w:r>
          </w:p>
        </w:tc>
      </w:tr>
      <w:tr>
        <w:trPr>
          <w:trHeight w:val="243"/>
        </w:trPr>
        <w:tc>
          <w:tcPr>
            <w:tcW w:w="2580" w:type="dxa"/>
            <w:vAlign w:val="bottom"/>
          </w:tcPr>
          <w:p>
            <w:pPr>
              <w:spacing w:after="0"/>
              <w:rPr>
                <w:sz w:val="21"/>
                <w:szCs w:val="21"/>
                <w:color w:val="auto"/>
              </w:rPr>
            </w:pPr>
          </w:p>
        </w:tc>
        <w:tc>
          <w:tcPr>
            <w:tcW w:w="8560" w:type="dxa"/>
            <w:vAlign w:val="bottom"/>
            <w:gridSpan w:val="2"/>
          </w:tcPr>
          <w:p>
            <w:pPr>
              <w:ind w:left="1920"/>
              <w:spacing w:after="0" w:line="243" w:lineRule="exact"/>
              <w:rPr>
                <w:sz w:val="20"/>
                <w:szCs w:val="20"/>
                <w:color w:val="auto"/>
              </w:rPr>
            </w:pPr>
            <w:r>
              <w:rPr>
                <w:rFonts w:ascii="Arial" w:cs="Arial" w:eastAsia="Arial" w:hAnsi="Arial"/>
                <w:sz w:val="22"/>
                <w:szCs w:val="22"/>
                <w:color w:val="auto"/>
              </w:rPr>
              <w:t>which is received by the Administrative Agent, Security Trustee or a</w:t>
            </w:r>
          </w:p>
        </w:tc>
      </w:tr>
      <w:tr>
        <w:trPr>
          <w:trHeight w:val="243"/>
        </w:trPr>
        <w:tc>
          <w:tcPr>
            <w:tcW w:w="2580" w:type="dxa"/>
            <w:vAlign w:val="bottom"/>
          </w:tcPr>
          <w:p>
            <w:pPr>
              <w:spacing w:after="0"/>
              <w:rPr>
                <w:sz w:val="21"/>
                <w:szCs w:val="21"/>
                <w:color w:val="auto"/>
              </w:rPr>
            </w:pPr>
          </w:p>
        </w:tc>
        <w:tc>
          <w:tcPr>
            <w:tcW w:w="8560" w:type="dxa"/>
            <w:vAlign w:val="bottom"/>
            <w:gridSpan w:val="2"/>
          </w:tcPr>
          <w:p>
            <w:pPr>
              <w:ind w:left="1920"/>
              <w:spacing w:after="0" w:line="243" w:lineRule="exact"/>
              <w:rPr>
                <w:sz w:val="20"/>
                <w:szCs w:val="20"/>
                <w:color w:val="auto"/>
              </w:rPr>
            </w:pPr>
            <w:r>
              <w:rPr>
                <w:rFonts w:ascii="Arial" w:cs="Arial" w:eastAsia="Arial" w:hAnsi="Arial"/>
                <w:sz w:val="22"/>
                <w:szCs w:val="22"/>
                <w:color w:val="auto"/>
                <w:w w:val="94"/>
              </w:rPr>
              <w:t>Creditor in relation to, or for the purpose of becoming the Administrative</w:t>
            </w:r>
          </w:p>
        </w:tc>
      </w:tr>
      <w:tr>
        <w:trPr>
          <w:trHeight w:val="243"/>
        </w:trPr>
        <w:tc>
          <w:tcPr>
            <w:tcW w:w="2580" w:type="dxa"/>
            <w:vAlign w:val="bottom"/>
          </w:tcPr>
          <w:p>
            <w:pPr>
              <w:spacing w:after="0"/>
              <w:rPr>
                <w:sz w:val="21"/>
                <w:szCs w:val="21"/>
                <w:color w:val="auto"/>
              </w:rPr>
            </w:pPr>
          </w:p>
        </w:tc>
        <w:tc>
          <w:tcPr>
            <w:tcW w:w="8560" w:type="dxa"/>
            <w:vAlign w:val="bottom"/>
            <w:gridSpan w:val="2"/>
          </w:tcPr>
          <w:p>
            <w:pPr>
              <w:ind w:left="1920"/>
              <w:spacing w:after="0" w:line="243" w:lineRule="exact"/>
              <w:rPr>
                <w:sz w:val="20"/>
                <w:szCs w:val="20"/>
                <w:color w:val="auto"/>
              </w:rPr>
            </w:pPr>
            <w:r>
              <w:rPr>
                <w:rFonts w:ascii="Arial" w:cs="Arial" w:eastAsia="Arial" w:hAnsi="Arial"/>
                <w:sz w:val="22"/>
                <w:szCs w:val="22"/>
                <w:color w:val="auto"/>
                <w:w w:val="90"/>
              </w:rPr>
              <w:t>Agent, Security Trustee or a Creditor under, the Transaction Documents or</w:t>
            </w:r>
          </w:p>
        </w:tc>
      </w:tr>
      <w:tr>
        <w:trPr>
          <w:trHeight w:val="274"/>
        </w:trPr>
        <w:tc>
          <w:tcPr>
            <w:tcW w:w="2580" w:type="dxa"/>
            <w:vAlign w:val="bottom"/>
          </w:tcPr>
          <w:p>
            <w:pPr>
              <w:spacing w:after="0"/>
              <w:rPr>
                <w:sz w:val="23"/>
                <w:szCs w:val="23"/>
                <w:color w:val="auto"/>
              </w:rPr>
            </w:pPr>
          </w:p>
        </w:tc>
        <w:tc>
          <w:tcPr>
            <w:tcW w:w="8560" w:type="dxa"/>
            <w:vAlign w:val="bottom"/>
            <w:gridSpan w:val="2"/>
          </w:tcPr>
          <w:p>
            <w:pPr>
              <w:ind w:left="1920"/>
              <w:spacing w:after="0"/>
              <w:rPr>
                <w:sz w:val="20"/>
                <w:szCs w:val="20"/>
                <w:color w:val="auto"/>
              </w:rPr>
            </w:pPr>
            <w:r>
              <w:rPr>
                <w:rFonts w:ascii="Arial" w:cs="Arial" w:eastAsia="Arial" w:hAnsi="Arial"/>
                <w:sz w:val="22"/>
                <w:szCs w:val="22"/>
                <w:color w:val="auto"/>
              </w:rPr>
              <w:t>the Facility from either:</w:t>
            </w:r>
          </w:p>
        </w:tc>
      </w:tr>
      <w:tr>
        <w:trPr>
          <w:trHeight w:val="459"/>
        </w:trPr>
        <w:tc>
          <w:tcPr>
            <w:tcW w:w="2580" w:type="dxa"/>
            <w:vAlign w:val="bottom"/>
          </w:tcPr>
          <w:p>
            <w:pPr>
              <w:spacing w:after="0"/>
              <w:rPr>
                <w:sz w:val="24"/>
                <w:szCs w:val="24"/>
                <w:color w:val="auto"/>
              </w:rPr>
            </w:pPr>
          </w:p>
        </w:tc>
        <w:tc>
          <w:tcPr>
            <w:tcW w:w="8560" w:type="dxa"/>
            <w:vAlign w:val="bottom"/>
            <w:gridSpan w:val="2"/>
          </w:tcPr>
          <w:p>
            <w:pPr>
              <w:ind w:left="1260"/>
              <w:spacing w:after="0"/>
              <w:rPr>
                <w:sz w:val="20"/>
                <w:szCs w:val="20"/>
                <w:color w:val="auto"/>
              </w:rPr>
            </w:pPr>
            <w:r>
              <w:rPr>
                <w:rFonts w:ascii="Arial" w:cs="Arial" w:eastAsia="Arial" w:hAnsi="Arial"/>
                <w:sz w:val="22"/>
                <w:szCs w:val="22"/>
                <w:color w:val="auto"/>
              </w:rPr>
              <w:t>(a)any Security Party or any of their advisers; or</w:t>
            </w:r>
          </w:p>
        </w:tc>
      </w:tr>
      <w:tr>
        <w:trPr>
          <w:trHeight w:val="428"/>
        </w:trPr>
        <w:tc>
          <w:tcPr>
            <w:tcW w:w="2580" w:type="dxa"/>
            <w:vAlign w:val="bottom"/>
          </w:tcPr>
          <w:p>
            <w:pPr>
              <w:spacing w:after="0"/>
              <w:rPr>
                <w:sz w:val="24"/>
                <w:szCs w:val="24"/>
                <w:color w:val="auto"/>
              </w:rPr>
            </w:pPr>
          </w:p>
        </w:tc>
        <w:tc>
          <w:tcPr>
            <w:tcW w:w="2300" w:type="dxa"/>
            <w:vAlign w:val="bottom"/>
          </w:tcPr>
          <w:p>
            <w:pPr>
              <w:ind w:left="1920"/>
              <w:spacing w:after="0"/>
              <w:rPr>
                <w:sz w:val="20"/>
                <w:szCs w:val="20"/>
                <w:color w:val="auto"/>
              </w:rPr>
            </w:pPr>
            <w:r>
              <w:rPr>
                <w:rFonts w:ascii="Arial" w:cs="Arial" w:eastAsia="Arial" w:hAnsi="Arial"/>
                <w:sz w:val="22"/>
                <w:szCs w:val="22"/>
                <w:color w:val="auto"/>
              </w:rPr>
              <w:t>(b)</w:t>
            </w:r>
          </w:p>
        </w:tc>
        <w:tc>
          <w:tcPr>
            <w:tcW w:w="6260" w:type="dxa"/>
            <w:vAlign w:val="bottom"/>
          </w:tcPr>
          <w:p>
            <w:pPr>
              <w:ind w:left="340"/>
              <w:spacing w:after="0"/>
              <w:rPr>
                <w:sz w:val="20"/>
                <w:szCs w:val="20"/>
                <w:color w:val="auto"/>
              </w:rPr>
            </w:pPr>
            <w:r>
              <w:rPr>
                <w:rFonts w:ascii="Arial" w:cs="Arial" w:eastAsia="Arial" w:hAnsi="Arial"/>
                <w:sz w:val="22"/>
                <w:szCs w:val="22"/>
                <w:color w:val="auto"/>
                <w:w w:val="94"/>
              </w:rPr>
              <w:t>another Administrative Agent, Security Trustee or Creditor, if the</w:t>
            </w:r>
          </w:p>
        </w:tc>
      </w:tr>
      <w:tr>
        <w:trPr>
          <w:trHeight w:val="243"/>
        </w:trPr>
        <w:tc>
          <w:tcPr>
            <w:tcW w:w="2580" w:type="dxa"/>
            <w:vAlign w:val="bottom"/>
          </w:tcPr>
          <w:p>
            <w:pPr>
              <w:spacing w:after="0"/>
              <w:rPr>
                <w:sz w:val="21"/>
                <w:szCs w:val="21"/>
                <w:color w:val="auto"/>
              </w:rPr>
            </w:pPr>
          </w:p>
        </w:tc>
        <w:tc>
          <w:tcPr>
            <w:tcW w:w="8560" w:type="dxa"/>
            <w:vAlign w:val="bottom"/>
            <w:gridSpan w:val="2"/>
          </w:tcPr>
          <w:p>
            <w:pPr>
              <w:ind w:left="1920"/>
              <w:spacing w:after="0" w:line="243" w:lineRule="exact"/>
              <w:rPr>
                <w:sz w:val="20"/>
                <w:szCs w:val="20"/>
                <w:color w:val="auto"/>
              </w:rPr>
            </w:pPr>
            <w:r>
              <w:rPr>
                <w:rFonts w:ascii="Arial" w:cs="Arial" w:eastAsia="Arial" w:hAnsi="Arial"/>
                <w:sz w:val="22"/>
                <w:szCs w:val="22"/>
                <w:color w:val="auto"/>
                <w:w w:val="91"/>
              </w:rPr>
              <w:t>information was obtained by that Administrative Agent, Security Trustee or</w:t>
            </w:r>
          </w:p>
        </w:tc>
      </w:tr>
      <w:tr>
        <w:trPr>
          <w:trHeight w:val="274"/>
        </w:trPr>
        <w:tc>
          <w:tcPr>
            <w:tcW w:w="2580" w:type="dxa"/>
            <w:vAlign w:val="bottom"/>
          </w:tcPr>
          <w:p>
            <w:pPr>
              <w:spacing w:after="0"/>
              <w:rPr>
                <w:sz w:val="23"/>
                <w:szCs w:val="23"/>
                <w:color w:val="auto"/>
              </w:rPr>
            </w:pPr>
          </w:p>
        </w:tc>
        <w:tc>
          <w:tcPr>
            <w:tcW w:w="8560" w:type="dxa"/>
            <w:vAlign w:val="bottom"/>
            <w:gridSpan w:val="2"/>
          </w:tcPr>
          <w:p>
            <w:pPr>
              <w:ind w:left="1920"/>
              <w:spacing w:after="0"/>
              <w:rPr>
                <w:sz w:val="20"/>
                <w:szCs w:val="20"/>
                <w:color w:val="auto"/>
              </w:rPr>
            </w:pPr>
            <w:r>
              <w:rPr>
                <w:rFonts w:ascii="Arial" w:cs="Arial" w:eastAsia="Arial" w:hAnsi="Arial"/>
                <w:sz w:val="22"/>
                <w:szCs w:val="22"/>
                <w:color w:val="auto"/>
                <w:w w:val="89"/>
              </w:rPr>
              <w:t>Creditor directly or indirectly from any Security Party or any of their advisers,</w:t>
            </w:r>
          </w:p>
        </w:tc>
      </w:tr>
      <w:tr>
        <w:trPr>
          <w:trHeight w:val="428"/>
        </w:trPr>
        <w:tc>
          <w:tcPr>
            <w:tcW w:w="2580" w:type="dxa"/>
            <w:vAlign w:val="bottom"/>
          </w:tcPr>
          <w:p>
            <w:pPr>
              <w:spacing w:after="0"/>
              <w:rPr>
                <w:sz w:val="24"/>
                <w:szCs w:val="24"/>
                <w:color w:val="auto"/>
              </w:rPr>
            </w:pPr>
          </w:p>
        </w:tc>
        <w:tc>
          <w:tcPr>
            <w:tcW w:w="8560" w:type="dxa"/>
            <w:vAlign w:val="bottom"/>
            <w:gridSpan w:val="2"/>
          </w:tcPr>
          <w:p>
            <w:pPr>
              <w:ind w:left="1920"/>
              <w:spacing w:after="0"/>
              <w:rPr>
                <w:sz w:val="20"/>
                <w:szCs w:val="20"/>
                <w:color w:val="auto"/>
              </w:rPr>
            </w:pPr>
            <w:r>
              <w:rPr>
                <w:rFonts w:ascii="Arial" w:cs="Arial" w:eastAsia="Arial" w:hAnsi="Arial"/>
                <w:sz w:val="22"/>
                <w:szCs w:val="22"/>
                <w:color w:val="auto"/>
                <w:w w:val="91"/>
              </w:rPr>
              <w:t>in whatever form, and includes information given orally and any document,</w:t>
            </w:r>
          </w:p>
        </w:tc>
      </w:tr>
      <w:tr>
        <w:trPr>
          <w:trHeight w:val="243"/>
        </w:trPr>
        <w:tc>
          <w:tcPr>
            <w:tcW w:w="2580" w:type="dxa"/>
            <w:vAlign w:val="bottom"/>
          </w:tcPr>
          <w:p>
            <w:pPr>
              <w:spacing w:after="0"/>
              <w:rPr>
                <w:sz w:val="21"/>
                <w:szCs w:val="21"/>
                <w:color w:val="auto"/>
              </w:rPr>
            </w:pPr>
          </w:p>
        </w:tc>
        <w:tc>
          <w:tcPr>
            <w:tcW w:w="8560" w:type="dxa"/>
            <w:vAlign w:val="bottom"/>
            <w:gridSpan w:val="2"/>
          </w:tcPr>
          <w:p>
            <w:pPr>
              <w:ind w:left="1920"/>
              <w:spacing w:after="0" w:line="243" w:lineRule="exact"/>
              <w:rPr>
                <w:sz w:val="20"/>
                <w:szCs w:val="20"/>
                <w:color w:val="auto"/>
              </w:rPr>
            </w:pPr>
            <w:r>
              <w:rPr>
                <w:rFonts w:ascii="Arial" w:cs="Arial" w:eastAsia="Arial" w:hAnsi="Arial"/>
                <w:sz w:val="22"/>
                <w:szCs w:val="22"/>
                <w:color w:val="auto"/>
                <w:w w:val="96"/>
              </w:rPr>
              <w:t>electronic file or any other way of representing or recording information</w:t>
            </w:r>
          </w:p>
        </w:tc>
      </w:tr>
      <w:tr>
        <w:trPr>
          <w:trHeight w:val="274"/>
        </w:trPr>
        <w:tc>
          <w:tcPr>
            <w:tcW w:w="2580" w:type="dxa"/>
            <w:vAlign w:val="bottom"/>
          </w:tcPr>
          <w:p>
            <w:pPr>
              <w:spacing w:after="0"/>
              <w:rPr>
                <w:sz w:val="23"/>
                <w:szCs w:val="23"/>
                <w:color w:val="auto"/>
              </w:rPr>
            </w:pPr>
          </w:p>
        </w:tc>
        <w:tc>
          <w:tcPr>
            <w:tcW w:w="8560" w:type="dxa"/>
            <w:vAlign w:val="bottom"/>
            <w:gridSpan w:val="2"/>
          </w:tcPr>
          <w:p>
            <w:pPr>
              <w:ind w:left="1920"/>
              <w:spacing w:after="0"/>
              <w:rPr>
                <w:sz w:val="20"/>
                <w:szCs w:val="20"/>
                <w:color w:val="auto"/>
              </w:rPr>
            </w:pPr>
            <w:r>
              <w:rPr>
                <w:rFonts w:ascii="Arial" w:cs="Arial" w:eastAsia="Arial" w:hAnsi="Arial"/>
                <w:sz w:val="22"/>
                <w:szCs w:val="22"/>
                <w:color w:val="auto"/>
                <w:w w:val="91"/>
              </w:rPr>
              <w:t>which contains or is derived or copied from such information but excludes:</w:t>
            </w:r>
          </w:p>
        </w:tc>
      </w:tr>
      <w:tr>
        <w:trPr>
          <w:trHeight w:val="459"/>
        </w:trPr>
        <w:tc>
          <w:tcPr>
            <w:tcW w:w="2580" w:type="dxa"/>
            <w:vAlign w:val="bottom"/>
          </w:tcPr>
          <w:p>
            <w:pPr>
              <w:spacing w:after="0"/>
              <w:rPr>
                <w:sz w:val="24"/>
                <w:szCs w:val="24"/>
                <w:color w:val="auto"/>
              </w:rPr>
            </w:pPr>
          </w:p>
        </w:tc>
        <w:tc>
          <w:tcPr>
            <w:tcW w:w="2300" w:type="dxa"/>
            <w:vAlign w:val="bottom"/>
          </w:tcPr>
          <w:p>
            <w:pPr>
              <w:ind w:left="1920"/>
              <w:spacing w:after="0"/>
              <w:rPr>
                <w:sz w:val="20"/>
                <w:szCs w:val="20"/>
                <w:color w:val="auto"/>
              </w:rPr>
            </w:pPr>
            <w:r>
              <w:rPr>
                <w:rFonts w:ascii="Arial" w:cs="Arial" w:eastAsia="Arial" w:hAnsi="Arial"/>
                <w:sz w:val="22"/>
                <w:szCs w:val="22"/>
                <w:color w:val="auto"/>
              </w:rPr>
              <w:t>(a)</w:t>
            </w:r>
          </w:p>
        </w:tc>
        <w:tc>
          <w:tcPr>
            <w:tcW w:w="6260" w:type="dxa"/>
            <w:vAlign w:val="bottom"/>
          </w:tcPr>
          <w:p>
            <w:pPr>
              <w:ind w:left="120"/>
              <w:spacing w:after="0"/>
              <w:rPr>
                <w:sz w:val="20"/>
                <w:szCs w:val="20"/>
                <w:color w:val="auto"/>
              </w:rPr>
            </w:pPr>
            <w:r>
              <w:rPr>
                <w:rFonts w:ascii="Arial" w:cs="Arial" w:eastAsia="Arial" w:hAnsi="Arial"/>
                <w:sz w:val="22"/>
                <w:szCs w:val="22"/>
                <w:color w:val="auto"/>
              </w:rPr>
              <w:t>information that:</w:t>
            </w:r>
          </w:p>
        </w:tc>
      </w:tr>
    </w:tbl>
    <w:p>
      <w:pPr>
        <w:spacing w:after="0" w:line="185" w:lineRule="exact"/>
        <w:rPr>
          <w:sz w:val="20"/>
          <w:szCs w:val="20"/>
          <w:color w:val="auto"/>
        </w:rPr>
      </w:pPr>
    </w:p>
    <w:p>
      <w:pPr>
        <w:jc w:val="both"/>
        <w:ind w:left="4500" w:hanging="7"/>
        <w:spacing w:after="0"/>
        <w:tabs>
          <w:tab w:leader="none" w:pos="4982"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is or becomes public information other than as a direct or indirect result of any breach by the Administrative Agent, Security Trustee or a Creditor of Section 17.14 (Confidentiality); or</w:t>
      </w:r>
    </w:p>
    <w:p>
      <w:pPr>
        <w:spacing w:after="0" w:line="186" w:lineRule="exact"/>
        <w:rPr>
          <w:rFonts w:ascii="Arial" w:cs="Arial" w:eastAsia="Arial" w:hAnsi="Arial"/>
          <w:sz w:val="22"/>
          <w:szCs w:val="22"/>
          <w:color w:val="auto"/>
        </w:rPr>
      </w:pPr>
    </w:p>
    <w:p>
      <w:pPr>
        <w:ind w:left="4500" w:hanging="7"/>
        <w:spacing w:after="0" w:line="250" w:lineRule="auto"/>
        <w:tabs>
          <w:tab w:leader="none" w:pos="511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is identified in writing at the time of delivery as non- confidential by any Security Party or any of their advisers; or</w:t>
      </w:r>
    </w:p>
    <w:p>
      <w:pPr>
        <w:spacing w:after="0" w:line="174" w:lineRule="exact"/>
        <w:rPr>
          <w:rFonts w:ascii="Arial" w:cs="Arial" w:eastAsia="Arial" w:hAnsi="Arial"/>
          <w:sz w:val="22"/>
          <w:szCs w:val="22"/>
          <w:color w:val="auto"/>
        </w:rPr>
      </w:pPr>
    </w:p>
    <w:p>
      <w:pPr>
        <w:jc w:val="both"/>
        <w:ind w:left="4500" w:hanging="7"/>
        <w:spacing w:after="0" w:line="275" w:lineRule="auto"/>
        <w:tabs>
          <w:tab w:leader="none" w:pos="5112"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is known by the Administrative Agent, Security Trustee or a Creditor before the date the information is disclosed to it in accordance with paragraphs (a) or (b) above or is lawfully obtained by the Administrative Agent, Security Trustee or a Creditor after that date, from a source which is, as far as that Lender or Agent is aware, unconnected with the Security Parties and which, in either case, as far as the Administrative Agent, Security Trustee or a Creditor is aware, has not been obtained in breach of, and is not otherwise subject to, any obligation of confidentiality; and</w:t>
      </w:r>
    </w:p>
    <w:p>
      <w:pPr>
        <w:spacing w:after="0" w:line="144" w:lineRule="exact"/>
        <w:rPr>
          <w:sz w:val="20"/>
          <w:szCs w:val="20"/>
          <w:color w:val="auto"/>
        </w:rPr>
      </w:pPr>
    </w:p>
    <w:p>
      <w:pPr>
        <w:ind w:left="5020" w:hanging="527"/>
        <w:spacing w:after="0"/>
        <w:tabs>
          <w:tab w:leader="none" w:pos="502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any rate of interest notified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Section 11.5 hereof.</w:t>
      </w:r>
    </w:p>
    <w:p>
      <w:pPr>
        <w:spacing w:after="0" w:line="187" w:lineRule="exact"/>
        <w:rPr>
          <w:sz w:val="20"/>
          <w:szCs w:val="20"/>
          <w:color w:val="auto"/>
        </w:rPr>
      </w:pPr>
    </w:p>
    <w:p>
      <w:pPr>
        <w:spacing w:after="0"/>
        <w:tabs>
          <w:tab w:leader="none" w:pos="448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Payment Date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shall mean March 31, 2022;</w:t>
      </w:r>
    </w:p>
    <w:p>
      <w:pPr>
        <w:spacing w:after="0" w:line="338"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203200</wp:posOffset>
            </wp:positionV>
            <wp:extent cx="71748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432"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53"/>
        </w:trPr>
        <w:tc>
          <w:tcPr>
            <w:tcW w:w="450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Insurances Assignment(s)</w:t>
            </w:r>
            <w:r>
              <w:rPr>
                <w:rFonts w:ascii="Arial" w:cs="Arial" w:eastAsia="Arial" w:hAnsi="Arial"/>
                <w:sz w:val="22"/>
                <w:szCs w:val="22"/>
                <w:color w:val="auto"/>
              </w:rPr>
              <w:t>”</w:t>
            </w:r>
          </w:p>
        </w:tc>
        <w:tc>
          <w:tcPr>
            <w:tcW w:w="6640" w:type="dxa"/>
            <w:vAlign w:val="bottom"/>
            <w:gridSpan w:val="2"/>
          </w:tcPr>
          <w:p>
            <w:pPr>
              <w:spacing w:after="0"/>
              <w:rPr>
                <w:sz w:val="20"/>
                <w:szCs w:val="20"/>
                <w:color w:val="auto"/>
              </w:rPr>
            </w:pPr>
            <w:r>
              <w:rPr>
                <w:rFonts w:ascii="Arial" w:cs="Arial" w:eastAsia="Arial" w:hAnsi="Arial"/>
                <w:sz w:val="22"/>
                <w:szCs w:val="22"/>
                <w:color w:val="auto"/>
                <w:w w:val="92"/>
              </w:rPr>
              <w:t>shall mean each of the amended and restated first priority assignments in</w:t>
            </w:r>
          </w:p>
        </w:tc>
      </w:tr>
      <w:tr>
        <w:trPr>
          <w:trHeight w:val="243"/>
        </w:trPr>
        <w:tc>
          <w:tcPr>
            <w:tcW w:w="4500" w:type="dxa"/>
            <w:vAlign w:val="bottom"/>
          </w:tcPr>
          <w:p>
            <w:pPr>
              <w:spacing w:after="0"/>
              <w:rPr>
                <w:sz w:val="21"/>
                <w:szCs w:val="21"/>
                <w:color w:val="auto"/>
              </w:rPr>
            </w:pPr>
          </w:p>
        </w:tc>
        <w:tc>
          <w:tcPr>
            <w:tcW w:w="6640" w:type="dxa"/>
            <w:vAlign w:val="bottom"/>
            <w:gridSpan w:val="2"/>
          </w:tcPr>
          <w:p>
            <w:pPr>
              <w:spacing w:after="0" w:line="243" w:lineRule="exact"/>
              <w:rPr>
                <w:sz w:val="20"/>
                <w:szCs w:val="20"/>
                <w:color w:val="auto"/>
              </w:rPr>
            </w:pPr>
            <w:r>
              <w:rPr>
                <w:rFonts w:ascii="Arial" w:cs="Arial" w:eastAsia="Arial" w:hAnsi="Arial"/>
                <w:sz w:val="22"/>
                <w:szCs w:val="22"/>
                <w:color w:val="auto"/>
                <w:w w:val="95"/>
              </w:rPr>
              <w:t>respect of the insurances over a Vessel, to be executed by the relevant</w:t>
            </w:r>
          </w:p>
        </w:tc>
      </w:tr>
      <w:tr>
        <w:trPr>
          <w:trHeight w:val="243"/>
        </w:trPr>
        <w:tc>
          <w:tcPr>
            <w:tcW w:w="4500" w:type="dxa"/>
            <w:vAlign w:val="bottom"/>
          </w:tcPr>
          <w:p>
            <w:pPr>
              <w:spacing w:after="0"/>
              <w:rPr>
                <w:sz w:val="21"/>
                <w:szCs w:val="21"/>
                <w:color w:val="auto"/>
              </w:rPr>
            </w:pPr>
          </w:p>
        </w:tc>
        <w:tc>
          <w:tcPr>
            <w:tcW w:w="6640" w:type="dxa"/>
            <w:vAlign w:val="bottom"/>
            <w:gridSpan w:val="2"/>
          </w:tcPr>
          <w:p>
            <w:pPr>
              <w:spacing w:after="0" w:line="243" w:lineRule="exact"/>
              <w:rPr>
                <w:sz w:val="20"/>
                <w:szCs w:val="20"/>
                <w:color w:val="auto"/>
              </w:rPr>
            </w:pPr>
            <w:r>
              <w:rPr>
                <w:rFonts w:ascii="Arial" w:cs="Arial" w:eastAsia="Arial" w:hAnsi="Arial"/>
                <w:sz w:val="22"/>
                <w:szCs w:val="22"/>
                <w:color w:val="auto"/>
                <w:w w:val="91"/>
              </w:rPr>
              <w:t>Borrower in favor of the Security Trustee pursuant to Section 4.2(o) of the,</w:t>
            </w:r>
          </w:p>
        </w:tc>
      </w:tr>
      <w:tr>
        <w:trPr>
          <w:trHeight w:val="274"/>
        </w:trPr>
        <w:tc>
          <w:tcPr>
            <w:tcW w:w="4500" w:type="dxa"/>
            <w:vAlign w:val="bottom"/>
          </w:tcPr>
          <w:p>
            <w:pPr>
              <w:spacing w:after="0"/>
              <w:rPr>
                <w:sz w:val="23"/>
                <w:szCs w:val="23"/>
                <w:color w:val="auto"/>
              </w:rPr>
            </w:pPr>
          </w:p>
        </w:tc>
        <w:tc>
          <w:tcPr>
            <w:tcW w:w="6640" w:type="dxa"/>
            <w:vAlign w:val="bottom"/>
            <w:gridSpan w:val="2"/>
          </w:tcPr>
          <w:p>
            <w:pPr>
              <w:spacing w:after="0"/>
              <w:rPr>
                <w:sz w:val="20"/>
                <w:szCs w:val="20"/>
                <w:color w:val="auto"/>
              </w:rPr>
            </w:pPr>
            <w:r>
              <w:rPr>
                <w:rFonts w:ascii="Arial" w:cs="Arial" w:eastAsia="Arial" w:hAnsi="Arial"/>
                <w:sz w:val="22"/>
                <w:szCs w:val="22"/>
                <w:color w:val="auto"/>
              </w:rPr>
              <w:t>substantially in the form set out in Exhibit F;</w:t>
            </w:r>
          </w:p>
        </w:tc>
      </w:tr>
      <w:tr>
        <w:trPr>
          <w:trHeight w:val="698"/>
        </w:trPr>
        <w:tc>
          <w:tcPr>
            <w:tcW w:w="450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Intercompany Debt</w:t>
            </w:r>
            <w:r>
              <w:rPr>
                <w:rFonts w:ascii="Arial" w:cs="Arial" w:eastAsia="Arial" w:hAnsi="Arial"/>
                <w:sz w:val="22"/>
                <w:szCs w:val="22"/>
                <w:color w:val="auto"/>
              </w:rPr>
              <w:t>”</w:t>
            </w:r>
          </w:p>
        </w:tc>
        <w:tc>
          <w:tcPr>
            <w:tcW w:w="6640" w:type="dxa"/>
            <w:vAlign w:val="bottom"/>
            <w:gridSpan w:val="2"/>
          </w:tcPr>
          <w:p>
            <w:pPr>
              <w:spacing w:after="0"/>
              <w:rPr>
                <w:sz w:val="20"/>
                <w:szCs w:val="20"/>
                <w:color w:val="auto"/>
              </w:rPr>
            </w:pPr>
            <w:r>
              <w:rPr>
                <w:rFonts w:ascii="Arial" w:cs="Arial" w:eastAsia="Arial" w:hAnsi="Arial"/>
                <w:sz w:val="22"/>
                <w:szCs w:val="22"/>
                <w:color w:val="auto"/>
                <w:w w:val="90"/>
              </w:rPr>
              <w:t>means Indebtedness incurred by a Borrower from an Intercompany Lender</w:t>
            </w:r>
          </w:p>
        </w:tc>
      </w:tr>
      <w:tr>
        <w:trPr>
          <w:trHeight w:val="243"/>
        </w:trPr>
        <w:tc>
          <w:tcPr>
            <w:tcW w:w="4500" w:type="dxa"/>
            <w:vAlign w:val="bottom"/>
          </w:tcPr>
          <w:p>
            <w:pPr>
              <w:spacing w:after="0"/>
              <w:rPr>
                <w:sz w:val="21"/>
                <w:szCs w:val="21"/>
                <w:color w:val="auto"/>
              </w:rPr>
            </w:pPr>
          </w:p>
        </w:tc>
        <w:tc>
          <w:tcPr>
            <w:tcW w:w="6640" w:type="dxa"/>
            <w:vAlign w:val="bottom"/>
            <w:gridSpan w:val="2"/>
          </w:tcPr>
          <w:p>
            <w:pPr>
              <w:spacing w:after="0" w:line="243" w:lineRule="exact"/>
              <w:rPr>
                <w:sz w:val="20"/>
                <w:szCs w:val="20"/>
                <w:color w:val="auto"/>
              </w:rPr>
            </w:pPr>
            <w:r>
              <w:rPr>
                <w:rFonts w:ascii="Arial" w:cs="Arial" w:eastAsia="Arial" w:hAnsi="Arial"/>
                <w:sz w:val="22"/>
                <w:szCs w:val="22"/>
                <w:color w:val="auto"/>
                <w:w w:val="97"/>
              </w:rPr>
              <w:t>and  subordinated  pursuant  to  the  terms of  an  Intercompany  Debt</w:t>
            </w:r>
          </w:p>
        </w:tc>
      </w:tr>
      <w:tr>
        <w:trPr>
          <w:trHeight w:val="274"/>
        </w:trPr>
        <w:tc>
          <w:tcPr>
            <w:tcW w:w="4500" w:type="dxa"/>
            <w:vAlign w:val="bottom"/>
          </w:tcPr>
          <w:p>
            <w:pPr>
              <w:spacing w:after="0"/>
              <w:rPr>
                <w:sz w:val="23"/>
                <w:szCs w:val="23"/>
                <w:color w:val="auto"/>
              </w:rPr>
            </w:pPr>
          </w:p>
        </w:tc>
        <w:tc>
          <w:tcPr>
            <w:tcW w:w="6640" w:type="dxa"/>
            <w:vAlign w:val="bottom"/>
            <w:gridSpan w:val="2"/>
          </w:tcPr>
          <w:p>
            <w:pPr>
              <w:spacing w:after="0"/>
              <w:rPr>
                <w:sz w:val="20"/>
                <w:szCs w:val="20"/>
                <w:color w:val="auto"/>
              </w:rPr>
            </w:pPr>
            <w:r>
              <w:rPr>
                <w:rFonts w:ascii="Arial" w:cs="Arial" w:eastAsia="Arial" w:hAnsi="Arial"/>
                <w:sz w:val="22"/>
                <w:szCs w:val="22"/>
                <w:color w:val="auto"/>
              </w:rPr>
              <w:t>Subordination Agreement;</w:t>
            </w:r>
          </w:p>
        </w:tc>
      </w:tr>
      <w:tr>
        <w:trPr>
          <w:trHeight w:val="435"/>
        </w:trPr>
        <w:tc>
          <w:tcPr>
            <w:tcW w:w="450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Intercompany Debt Subordination</w:t>
            </w:r>
          </w:p>
        </w:tc>
        <w:tc>
          <w:tcPr>
            <w:tcW w:w="6640" w:type="dxa"/>
            <w:vAlign w:val="bottom"/>
            <w:gridSpan w:val="2"/>
          </w:tcPr>
          <w:p>
            <w:pPr>
              <w:spacing w:after="0"/>
              <w:rPr>
                <w:sz w:val="20"/>
                <w:szCs w:val="20"/>
                <w:color w:val="auto"/>
              </w:rPr>
            </w:pPr>
            <w:r>
              <w:rPr>
                <w:rFonts w:ascii="Arial" w:cs="Arial" w:eastAsia="Arial" w:hAnsi="Arial"/>
                <w:sz w:val="22"/>
                <w:szCs w:val="22"/>
                <w:color w:val="auto"/>
                <w:w w:val="92"/>
              </w:rPr>
              <w:t>means  a  subordination  agreement  in  form  and  substance  reasonably</w:t>
            </w:r>
          </w:p>
        </w:tc>
      </w:tr>
      <w:tr>
        <w:trPr>
          <w:trHeight w:val="249"/>
        </w:trPr>
        <w:tc>
          <w:tcPr>
            <w:tcW w:w="4500" w:type="dxa"/>
            <w:vAlign w:val="bottom"/>
          </w:tcPr>
          <w:p>
            <w:pPr>
              <w:spacing w:after="0" w:line="249" w:lineRule="exact"/>
              <w:rPr>
                <w:sz w:val="20"/>
                <w:szCs w:val="20"/>
                <w:color w:val="auto"/>
              </w:rPr>
            </w:pPr>
            <w:r>
              <w:rPr>
                <w:rFonts w:ascii="Arial" w:cs="Arial" w:eastAsia="Arial" w:hAnsi="Arial"/>
                <w:sz w:val="22"/>
                <w:szCs w:val="22"/>
                <w:b w:val="1"/>
                <w:bCs w:val="1"/>
                <w:color w:val="auto"/>
              </w:rPr>
              <w:t>Agreement</w:t>
            </w:r>
            <w:r>
              <w:rPr>
                <w:rFonts w:ascii="Arial" w:cs="Arial" w:eastAsia="Arial" w:hAnsi="Arial"/>
                <w:sz w:val="22"/>
                <w:szCs w:val="22"/>
                <w:color w:val="auto"/>
              </w:rPr>
              <w:t>”</w:t>
            </w:r>
          </w:p>
        </w:tc>
        <w:tc>
          <w:tcPr>
            <w:tcW w:w="6640" w:type="dxa"/>
            <w:vAlign w:val="bottom"/>
            <w:gridSpan w:val="2"/>
          </w:tcPr>
          <w:p>
            <w:pPr>
              <w:spacing w:after="0" w:line="249" w:lineRule="exact"/>
              <w:rPr>
                <w:sz w:val="20"/>
                <w:szCs w:val="20"/>
                <w:color w:val="auto"/>
              </w:rPr>
            </w:pPr>
            <w:r>
              <w:rPr>
                <w:rFonts w:ascii="Arial" w:cs="Arial" w:eastAsia="Arial" w:hAnsi="Arial"/>
                <w:sz w:val="22"/>
                <w:szCs w:val="22"/>
                <w:color w:val="auto"/>
                <w:w w:val="92"/>
              </w:rPr>
              <w:t>satisfactory to the Lenders, entered into by each of the Credit Parties and</w:t>
            </w:r>
          </w:p>
        </w:tc>
      </w:tr>
      <w:tr>
        <w:trPr>
          <w:trHeight w:val="243"/>
        </w:trPr>
        <w:tc>
          <w:tcPr>
            <w:tcW w:w="4500" w:type="dxa"/>
            <w:vAlign w:val="bottom"/>
          </w:tcPr>
          <w:p>
            <w:pPr>
              <w:spacing w:after="0"/>
              <w:rPr>
                <w:sz w:val="21"/>
                <w:szCs w:val="21"/>
                <w:color w:val="auto"/>
              </w:rPr>
            </w:pPr>
          </w:p>
        </w:tc>
        <w:tc>
          <w:tcPr>
            <w:tcW w:w="6640" w:type="dxa"/>
            <w:vAlign w:val="bottom"/>
            <w:gridSpan w:val="2"/>
          </w:tcPr>
          <w:p>
            <w:pPr>
              <w:spacing w:after="0" w:line="243" w:lineRule="exact"/>
              <w:rPr>
                <w:sz w:val="20"/>
                <w:szCs w:val="20"/>
                <w:color w:val="auto"/>
              </w:rPr>
            </w:pPr>
            <w:r>
              <w:rPr>
                <w:rFonts w:ascii="Arial" w:cs="Arial" w:eastAsia="Arial" w:hAnsi="Arial"/>
                <w:sz w:val="22"/>
                <w:szCs w:val="22"/>
                <w:color w:val="auto"/>
                <w:w w:val="96"/>
              </w:rPr>
              <w:t>any Intercompany Lender, subordinating any Intercompany Debt to the</w:t>
            </w:r>
          </w:p>
        </w:tc>
      </w:tr>
      <w:tr>
        <w:trPr>
          <w:trHeight w:val="243"/>
        </w:trPr>
        <w:tc>
          <w:tcPr>
            <w:tcW w:w="4500" w:type="dxa"/>
            <w:vAlign w:val="bottom"/>
          </w:tcPr>
          <w:p>
            <w:pPr>
              <w:spacing w:after="0"/>
              <w:rPr>
                <w:sz w:val="21"/>
                <w:szCs w:val="21"/>
                <w:color w:val="auto"/>
              </w:rPr>
            </w:pPr>
          </w:p>
        </w:tc>
        <w:tc>
          <w:tcPr>
            <w:tcW w:w="6640" w:type="dxa"/>
            <w:vAlign w:val="bottom"/>
            <w:gridSpan w:val="2"/>
          </w:tcPr>
          <w:p>
            <w:pPr>
              <w:spacing w:after="0" w:line="243" w:lineRule="exact"/>
              <w:rPr>
                <w:sz w:val="20"/>
                <w:szCs w:val="20"/>
                <w:color w:val="auto"/>
              </w:rPr>
            </w:pPr>
            <w:r>
              <w:rPr>
                <w:rFonts w:ascii="Arial" w:cs="Arial" w:eastAsia="Arial" w:hAnsi="Arial"/>
                <w:sz w:val="22"/>
                <w:szCs w:val="22"/>
                <w:color w:val="auto"/>
                <w:w w:val="96"/>
              </w:rPr>
              <w:t>obligations of the Borrowers hereunder or under any other Transaction</w:t>
            </w:r>
          </w:p>
        </w:tc>
      </w:tr>
      <w:tr>
        <w:trPr>
          <w:trHeight w:val="274"/>
        </w:trPr>
        <w:tc>
          <w:tcPr>
            <w:tcW w:w="4500" w:type="dxa"/>
            <w:vAlign w:val="bottom"/>
          </w:tcPr>
          <w:p>
            <w:pPr>
              <w:spacing w:after="0"/>
              <w:rPr>
                <w:sz w:val="23"/>
                <w:szCs w:val="23"/>
                <w:color w:val="auto"/>
              </w:rPr>
            </w:pPr>
          </w:p>
        </w:tc>
        <w:tc>
          <w:tcPr>
            <w:tcW w:w="6640" w:type="dxa"/>
            <w:vAlign w:val="bottom"/>
            <w:gridSpan w:val="2"/>
          </w:tcPr>
          <w:p>
            <w:pPr>
              <w:spacing w:after="0"/>
              <w:rPr>
                <w:sz w:val="20"/>
                <w:szCs w:val="20"/>
                <w:color w:val="auto"/>
              </w:rPr>
            </w:pPr>
            <w:r>
              <w:rPr>
                <w:rFonts w:ascii="Arial" w:cs="Arial" w:eastAsia="Arial" w:hAnsi="Arial"/>
                <w:sz w:val="22"/>
                <w:szCs w:val="22"/>
                <w:color w:val="auto"/>
              </w:rPr>
              <w:t>Document;</w:t>
            </w:r>
          </w:p>
        </w:tc>
      </w:tr>
      <w:tr>
        <w:trPr>
          <w:trHeight w:val="729"/>
        </w:trPr>
        <w:tc>
          <w:tcPr>
            <w:tcW w:w="450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Intercompany Lender</w:t>
            </w:r>
            <w:r>
              <w:rPr>
                <w:rFonts w:ascii="Arial" w:cs="Arial" w:eastAsia="Arial" w:hAnsi="Arial"/>
                <w:sz w:val="22"/>
                <w:szCs w:val="22"/>
                <w:color w:val="auto"/>
              </w:rPr>
              <w:t>”</w:t>
            </w:r>
          </w:p>
        </w:tc>
        <w:tc>
          <w:tcPr>
            <w:tcW w:w="6640" w:type="dxa"/>
            <w:vAlign w:val="bottom"/>
            <w:gridSpan w:val="2"/>
          </w:tcPr>
          <w:p>
            <w:pPr>
              <w:spacing w:after="0"/>
              <w:rPr>
                <w:sz w:val="20"/>
                <w:szCs w:val="20"/>
                <w:color w:val="auto"/>
              </w:rPr>
            </w:pPr>
            <w:r>
              <w:rPr>
                <w:rFonts w:ascii="Arial" w:cs="Arial" w:eastAsia="Arial" w:hAnsi="Arial"/>
                <w:sz w:val="22"/>
                <w:szCs w:val="22"/>
                <w:color w:val="auto"/>
              </w:rPr>
              <w:t>means a Credit Party or an Approved Manager</w:t>
            </w:r>
          </w:p>
        </w:tc>
      </w:tr>
      <w:tr>
        <w:trPr>
          <w:trHeight w:val="428"/>
        </w:trPr>
        <w:tc>
          <w:tcPr>
            <w:tcW w:w="450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Notice</w:t>
            </w:r>
            <w:r>
              <w:rPr>
                <w:rFonts w:ascii="Arial" w:cs="Arial" w:eastAsia="Arial" w:hAnsi="Arial"/>
                <w:sz w:val="22"/>
                <w:szCs w:val="22"/>
                <w:color w:val="auto"/>
              </w:rPr>
              <w:t>”</w:t>
            </w:r>
          </w:p>
        </w:tc>
        <w:tc>
          <w:tcPr>
            <w:tcW w:w="6640" w:type="dxa"/>
            <w:vAlign w:val="bottom"/>
            <w:gridSpan w:val="2"/>
          </w:tcPr>
          <w:p>
            <w:pPr>
              <w:spacing w:after="0"/>
              <w:rPr>
                <w:sz w:val="20"/>
                <w:szCs w:val="20"/>
                <w:color w:val="auto"/>
              </w:rPr>
            </w:pPr>
            <w:r>
              <w:rPr>
                <w:rFonts w:ascii="Arial" w:cs="Arial" w:eastAsia="Arial" w:hAnsi="Arial"/>
                <w:sz w:val="22"/>
                <w:szCs w:val="22"/>
                <w:color w:val="auto"/>
              </w:rPr>
              <w:t>shall mean a notice from the Borrowers to  the Administrative Agent</w:t>
            </w:r>
          </w:p>
        </w:tc>
      </w:tr>
      <w:tr>
        <w:trPr>
          <w:trHeight w:val="243"/>
        </w:trPr>
        <w:tc>
          <w:tcPr>
            <w:tcW w:w="4500" w:type="dxa"/>
            <w:vAlign w:val="bottom"/>
          </w:tcPr>
          <w:p>
            <w:pPr>
              <w:spacing w:after="0"/>
              <w:rPr>
                <w:sz w:val="21"/>
                <w:szCs w:val="21"/>
                <w:color w:val="auto"/>
              </w:rPr>
            </w:pPr>
          </w:p>
        </w:tc>
        <w:tc>
          <w:tcPr>
            <w:tcW w:w="6640" w:type="dxa"/>
            <w:vAlign w:val="bottom"/>
            <w:gridSpan w:val="2"/>
          </w:tcPr>
          <w:p>
            <w:pPr>
              <w:spacing w:after="0" w:line="243" w:lineRule="exact"/>
              <w:rPr>
                <w:sz w:val="20"/>
                <w:szCs w:val="20"/>
                <w:color w:val="auto"/>
              </w:rPr>
            </w:pPr>
            <w:r>
              <w:rPr>
                <w:rFonts w:ascii="Arial" w:cs="Arial" w:eastAsia="Arial" w:hAnsi="Arial"/>
                <w:sz w:val="22"/>
                <w:szCs w:val="22"/>
                <w:color w:val="auto"/>
                <w:w w:val="92"/>
              </w:rPr>
              <w:t>specifying the duration of any relevant Interest Period, substantially in the</w:t>
            </w:r>
          </w:p>
        </w:tc>
      </w:tr>
      <w:tr>
        <w:trPr>
          <w:trHeight w:val="274"/>
        </w:trPr>
        <w:tc>
          <w:tcPr>
            <w:tcW w:w="4500" w:type="dxa"/>
            <w:vAlign w:val="bottom"/>
          </w:tcPr>
          <w:p>
            <w:pPr>
              <w:spacing w:after="0"/>
              <w:rPr>
                <w:sz w:val="23"/>
                <w:szCs w:val="23"/>
                <w:color w:val="auto"/>
              </w:rPr>
            </w:pPr>
          </w:p>
        </w:tc>
        <w:tc>
          <w:tcPr>
            <w:tcW w:w="6640" w:type="dxa"/>
            <w:vAlign w:val="bottom"/>
            <w:gridSpan w:val="2"/>
          </w:tcPr>
          <w:p>
            <w:pPr>
              <w:spacing w:after="0"/>
              <w:rPr>
                <w:sz w:val="20"/>
                <w:szCs w:val="20"/>
                <w:color w:val="auto"/>
              </w:rPr>
            </w:pPr>
            <w:r>
              <w:rPr>
                <w:rFonts w:ascii="Arial" w:cs="Arial" w:eastAsia="Arial" w:hAnsi="Arial"/>
                <w:sz w:val="22"/>
                <w:szCs w:val="22"/>
                <w:color w:val="auto"/>
              </w:rPr>
              <w:t>form set out in Exhibit J;</w:t>
            </w:r>
          </w:p>
        </w:tc>
      </w:tr>
      <w:tr>
        <w:trPr>
          <w:trHeight w:val="441"/>
        </w:trPr>
        <w:tc>
          <w:tcPr>
            <w:tcW w:w="450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Period</w:t>
            </w:r>
            <w:r>
              <w:rPr>
                <w:rFonts w:ascii="Arial" w:cs="Arial" w:eastAsia="Arial" w:hAnsi="Arial"/>
                <w:sz w:val="22"/>
                <w:szCs w:val="22"/>
                <w:color w:val="auto"/>
              </w:rPr>
              <w:t>”</w:t>
            </w:r>
          </w:p>
        </w:tc>
        <w:tc>
          <w:tcPr>
            <w:tcW w:w="6640" w:type="dxa"/>
            <w:vAlign w:val="bottom"/>
            <w:gridSpan w:val="2"/>
          </w:tcPr>
          <w:p>
            <w:pPr>
              <w:spacing w:after="0"/>
              <w:rPr>
                <w:sz w:val="20"/>
                <w:szCs w:val="20"/>
                <w:color w:val="auto"/>
              </w:rPr>
            </w:pPr>
            <w:r>
              <w:rPr>
                <w:rFonts w:ascii="Arial" w:cs="Arial" w:eastAsia="Arial" w:hAnsi="Arial"/>
                <w:sz w:val="22"/>
                <w:szCs w:val="22"/>
                <w:color w:val="auto"/>
                <w:w w:val="91"/>
              </w:rPr>
              <w:t>shall mean the period commencing on the date of the Advance and ending</w:t>
            </w:r>
          </w:p>
        </w:tc>
      </w:tr>
      <w:tr>
        <w:trPr>
          <w:trHeight w:val="243"/>
        </w:trPr>
        <w:tc>
          <w:tcPr>
            <w:tcW w:w="4500" w:type="dxa"/>
            <w:vAlign w:val="bottom"/>
          </w:tcPr>
          <w:p>
            <w:pPr>
              <w:spacing w:after="0"/>
              <w:rPr>
                <w:sz w:val="21"/>
                <w:szCs w:val="21"/>
                <w:color w:val="auto"/>
              </w:rPr>
            </w:pPr>
          </w:p>
        </w:tc>
        <w:tc>
          <w:tcPr>
            <w:tcW w:w="6640" w:type="dxa"/>
            <w:vAlign w:val="bottom"/>
            <w:gridSpan w:val="2"/>
          </w:tcPr>
          <w:p>
            <w:pPr>
              <w:spacing w:after="0" w:line="243" w:lineRule="exact"/>
              <w:rPr>
                <w:sz w:val="20"/>
                <w:szCs w:val="20"/>
                <w:color w:val="auto"/>
              </w:rPr>
            </w:pPr>
            <w:r>
              <w:rPr>
                <w:rFonts w:ascii="Arial" w:cs="Arial" w:eastAsia="Arial" w:hAnsi="Arial"/>
                <w:sz w:val="22"/>
                <w:szCs w:val="22"/>
                <w:color w:val="auto"/>
                <w:w w:val="92"/>
              </w:rPr>
              <w:t>on the numerically corresponding day in the calendar month that is one or</w:t>
            </w:r>
          </w:p>
        </w:tc>
      </w:tr>
      <w:tr>
        <w:trPr>
          <w:trHeight w:val="243"/>
        </w:trPr>
        <w:tc>
          <w:tcPr>
            <w:tcW w:w="4500" w:type="dxa"/>
            <w:vAlign w:val="bottom"/>
          </w:tcPr>
          <w:p>
            <w:pPr>
              <w:spacing w:after="0"/>
              <w:rPr>
                <w:sz w:val="21"/>
                <w:szCs w:val="21"/>
                <w:color w:val="auto"/>
              </w:rPr>
            </w:pPr>
          </w:p>
        </w:tc>
        <w:tc>
          <w:tcPr>
            <w:tcW w:w="6640" w:type="dxa"/>
            <w:vAlign w:val="bottom"/>
            <w:gridSpan w:val="2"/>
          </w:tcPr>
          <w:p>
            <w:pPr>
              <w:spacing w:after="0" w:line="243" w:lineRule="exact"/>
              <w:rPr>
                <w:sz w:val="20"/>
                <w:szCs w:val="20"/>
                <w:color w:val="auto"/>
              </w:rPr>
            </w:pPr>
            <w:r>
              <w:rPr>
                <w:rFonts w:ascii="Arial" w:cs="Arial" w:eastAsia="Arial" w:hAnsi="Arial"/>
                <w:sz w:val="22"/>
                <w:szCs w:val="22"/>
                <w:color w:val="auto"/>
                <w:w w:val="93"/>
              </w:rPr>
              <w:t>three months thereafter (in each case, subject to the availability thereof);</w:t>
            </w:r>
          </w:p>
        </w:tc>
      </w:tr>
      <w:tr>
        <w:trPr>
          <w:trHeight w:val="224"/>
        </w:trPr>
        <w:tc>
          <w:tcPr>
            <w:tcW w:w="4500" w:type="dxa"/>
            <w:vAlign w:val="bottom"/>
          </w:tcPr>
          <w:p>
            <w:pPr>
              <w:spacing w:after="0"/>
              <w:rPr>
                <w:sz w:val="19"/>
                <w:szCs w:val="19"/>
                <w:color w:val="auto"/>
              </w:rPr>
            </w:pPr>
          </w:p>
        </w:tc>
        <w:tc>
          <w:tcPr>
            <w:tcW w:w="6640" w:type="dxa"/>
            <w:vAlign w:val="bottom"/>
            <w:gridSpan w:val="2"/>
          </w:tcPr>
          <w:p>
            <w:pPr>
              <w:spacing w:after="0" w:line="224" w:lineRule="exact"/>
              <w:rPr>
                <w:sz w:val="20"/>
                <w:szCs w:val="20"/>
                <w:color w:val="auto"/>
              </w:rPr>
            </w:pPr>
            <w:r>
              <w:rPr>
                <w:rFonts w:ascii="Arial" w:cs="Arial" w:eastAsia="Arial" w:hAnsi="Arial"/>
                <w:sz w:val="22"/>
                <w:szCs w:val="22"/>
                <w:color w:val="auto"/>
                <w:w w:val="97"/>
              </w:rPr>
              <w:t>provided that (i) if any Interest Period would end on a day other than a</w:t>
            </w:r>
          </w:p>
        </w:tc>
      </w:tr>
      <w:tr>
        <w:trPr>
          <w:trHeight w:val="20"/>
        </w:trPr>
        <w:tc>
          <w:tcPr>
            <w:tcW w:w="4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242"/>
        </w:trPr>
        <w:tc>
          <w:tcPr>
            <w:tcW w:w="4500" w:type="dxa"/>
            <w:vAlign w:val="bottom"/>
          </w:tcPr>
          <w:p>
            <w:pPr>
              <w:spacing w:after="0"/>
              <w:rPr>
                <w:sz w:val="21"/>
                <w:szCs w:val="21"/>
                <w:color w:val="auto"/>
              </w:rPr>
            </w:pPr>
          </w:p>
        </w:tc>
        <w:tc>
          <w:tcPr>
            <w:tcW w:w="6640" w:type="dxa"/>
            <w:vAlign w:val="bottom"/>
            <w:gridSpan w:val="2"/>
          </w:tcPr>
          <w:p>
            <w:pPr>
              <w:spacing w:after="0" w:line="242" w:lineRule="exact"/>
              <w:rPr>
                <w:sz w:val="20"/>
                <w:szCs w:val="20"/>
                <w:color w:val="auto"/>
              </w:rPr>
            </w:pPr>
            <w:r>
              <w:rPr>
                <w:rFonts w:ascii="Arial" w:cs="Arial" w:eastAsia="Arial" w:hAnsi="Arial"/>
                <w:sz w:val="22"/>
                <w:szCs w:val="22"/>
                <w:color w:val="auto"/>
                <w:w w:val="89"/>
              </w:rPr>
              <w:t>Banking Day, such Interest Period shall be extended to the next succeeding</w:t>
            </w:r>
          </w:p>
        </w:tc>
      </w:tr>
      <w:tr>
        <w:trPr>
          <w:trHeight w:val="243"/>
        </w:trPr>
        <w:tc>
          <w:tcPr>
            <w:tcW w:w="4500" w:type="dxa"/>
            <w:vAlign w:val="bottom"/>
          </w:tcPr>
          <w:p>
            <w:pPr>
              <w:spacing w:after="0"/>
              <w:rPr>
                <w:sz w:val="21"/>
                <w:szCs w:val="21"/>
                <w:color w:val="auto"/>
              </w:rPr>
            </w:pPr>
          </w:p>
        </w:tc>
        <w:tc>
          <w:tcPr>
            <w:tcW w:w="6640" w:type="dxa"/>
            <w:vAlign w:val="bottom"/>
            <w:gridSpan w:val="2"/>
          </w:tcPr>
          <w:p>
            <w:pPr>
              <w:spacing w:after="0" w:line="243" w:lineRule="exact"/>
              <w:rPr>
                <w:sz w:val="20"/>
                <w:szCs w:val="20"/>
                <w:color w:val="auto"/>
              </w:rPr>
            </w:pPr>
            <w:r>
              <w:rPr>
                <w:rFonts w:ascii="Arial" w:cs="Arial" w:eastAsia="Arial" w:hAnsi="Arial"/>
                <w:sz w:val="22"/>
                <w:szCs w:val="22"/>
                <w:color w:val="auto"/>
                <w:w w:val="94"/>
              </w:rPr>
              <w:t>Banking Day unless such next succeeding Banking Day would fall in the</w:t>
            </w:r>
          </w:p>
        </w:tc>
      </w:tr>
      <w:tr>
        <w:trPr>
          <w:trHeight w:val="243"/>
        </w:trPr>
        <w:tc>
          <w:tcPr>
            <w:tcW w:w="4500" w:type="dxa"/>
            <w:vAlign w:val="bottom"/>
          </w:tcPr>
          <w:p>
            <w:pPr>
              <w:spacing w:after="0"/>
              <w:rPr>
                <w:sz w:val="21"/>
                <w:szCs w:val="21"/>
                <w:color w:val="auto"/>
              </w:rPr>
            </w:pPr>
          </w:p>
        </w:tc>
        <w:tc>
          <w:tcPr>
            <w:tcW w:w="6640" w:type="dxa"/>
            <w:vAlign w:val="bottom"/>
            <w:gridSpan w:val="2"/>
          </w:tcPr>
          <w:p>
            <w:pPr>
              <w:spacing w:after="0" w:line="243" w:lineRule="exact"/>
              <w:rPr>
                <w:sz w:val="20"/>
                <w:szCs w:val="20"/>
                <w:color w:val="auto"/>
              </w:rPr>
            </w:pPr>
            <w:r>
              <w:rPr>
                <w:rFonts w:ascii="Arial" w:cs="Arial" w:eastAsia="Arial" w:hAnsi="Arial"/>
                <w:sz w:val="22"/>
                <w:szCs w:val="22"/>
                <w:color w:val="auto"/>
                <w:w w:val="87"/>
              </w:rPr>
              <w:t>next calendar month, in which case such Interest Period shall end on the next</w:t>
            </w:r>
          </w:p>
        </w:tc>
      </w:tr>
      <w:tr>
        <w:trPr>
          <w:trHeight w:val="243"/>
        </w:trPr>
        <w:tc>
          <w:tcPr>
            <w:tcW w:w="4500" w:type="dxa"/>
            <w:vAlign w:val="bottom"/>
          </w:tcPr>
          <w:p>
            <w:pPr>
              <w:spacing w:after="0"/>
              <w:rPr>
                <w:sz w:val="21"/>
                <w:szCs w:val="21"/>
                <w:color w:val="auto"/>
              </w:rPr>
            </w:pPr>
          </w:p>
        </w:tc>
        <w:tc>
          <w:tcPr>
            <w:tcW w:w="6640" w:type="dxa"/>
            <w:vAlign w:val="bottom"/>
            <w:gridSpan w:val="2"/>
          </w:tcPr>
          <w:p>
            <w:pPr>
              <w:spacing w:after="0" w:line="243" w:lineRule="exact"/>
              <w:rPr>
                <w:sz w:val="20"/>
                <w:szCs w:val="20"/>
                <w:color w:val="auto"/>
              </w:rPr>
            </w:pPr>
            <w:r>
              <w:rPr>
                <w:rFonts w:ascii="Arial" w:cs="Arial" w:eastAsia="Arial" w:hAnsi="Arial"/>
                <w:sz w:val="22"/>
                <w:szCs w:val="22"/>
                <w:color w:val="auto"/>
                <w:w w:val="90"/>
              </w:rPr>
              <w:t>preceding Banking Day, (ii) any Interest Period that commences on the last</w:t>
            </w:r>
          </w:p>
        </w:tc>
      </w:tr>
      <w:tr>
        <w:trPr>
          <w:trHeight w:val="243"/>
        </w:trPr>
        <w:tc>
          <w:tcPr>
            <w:tcW w:w="4500" w:type="dxa"/>
            <w:vAlign w:val="bottom"/>
          </w:tcPr>
          <w:p>
            <w:pPr>
              <w:spacing w:after="0"/>
              <w:rPr>
                <w:sz w:val="21"/>
                <w:szCs w:val="21"/>
                <w:color w:val="auto"/>
              </w:rPr>
            </w:pPr>
          </w:p>
        </w:tc>
        <w:tc>
          <w:tcPr>
            <w:tcW w:w="6640" w:type="dxa"/>
            <w:vAlign w:val="bottom"/>
            <w:gridSpan w:val="2"/>
          </w:tcPr>
          <w:p>
            <w:pPr>
              <w:spacing w:after="0" w:line="243" w:lineRule="exact"/>
              <w:rPr>
                <w:sz w:val="20"/>
                <w:szCs w:val="20"/>
                <w:color w:val="auto"/>
              </w:rPr>
            </w:pPr>
            <w:r>
              <w:rPr>
                <w:rFonts w:ascii="Arial" w:cs="Arial" w:eastAsia="Arial" w:hAnsi="Arial"/>
                <w:sz w:val="22"/>
                <w:szCs w:val="22"/>
                <w:color w:val="auto"/>
              </w:rPr>
              <w:t>Banking Day of a calendar month (or on a day for which there is no</w:t>
            </w:r>
          </w:p>
        </w:tc>
      </w:tr>
      <w:tr>
        <w:trPr>
          <w:trHeight w:val="243"/>
        </w:trPr>
        <w:tc>
          <w:tcPr>
            <w:tcW w:w="4500" w:type="dxa"/>
            <w:vAlign w:val="bottom"/>
          </w:tcPr>
          <w:p>
            <w:pPr>
              <w:spacing w:after="0"/>
              <w:rPr>
                <w:sz w:val="21"/>
                <w:szCs w:val="21"/>
                <w:color w:val="auto"/>
              </w:rPr>
            </w:pPr>
          </w:p>
        </w:tc>
        <w:tc>
          <w:tcPr>
            <w:tcW w:w="6640" w:type="dxa"/>
            <w:vAlign w:val="bottom"/>
            <w:gridSpan w:val="2"/>
          </w:tcPr>
          <w:p>
            <w:pPr>
              <w:spacing w:after="0" w:line="243" w:lineRule="exact"/>
              <w:rPr>
                <w:sz w:val="20"/>
                <w:szCs w:val="20"/>
                <w:color w:val="auto"/>
              </w:rPr>
            </w:pPr>
            <w:r>
              <w:rPr>
                <w:rFonts w:ascii="Arial" w:cs="Arial" w:eastAsia="Arial" w:hAnsi="Arial"/>
                <w:sz w:val="22"/>
                <w:szCs w:val="22"/>
                <w:color w:val="auto"/>
                <w:w w:val="92"/>
              </w:rPr>
              <w:t>numerically corresponding day in the last calendar month of such Interest</w:t>
            </w:r>
          </w:p>
        </w:tc>
      </w:tr>
      <w:tr>
        <w:trPr>
          <w:trHeight w:val="243"/>
        </w:trPr>
        <w:tc>
          <w:tcPr>
            <w:tcW w:w="4500" w:type="dxa"/>
            <w:vAlign w:val="bottom"/>
          </w:tcPr>
          <w:p>
            <w:pPr>
              <w:spacing w:after="0"/>
              <w:rPr>
                <w:sz w:val="21"/>
                <w:szCs w:val="21"/>
                <w:color w:val="auto"/>
              </w:rPr>
            </w:pPr>
          </w:p>
        </w:tc>
        <w:tc>
          <w:tcPr>
            <w:tcW w:w="6640" w:type="dxa"/>
            <w:vAlign w:val="bottom"/>
            <w:gridSpan w:val="2"/>
          </w:tcPr>
          <w:p>
            <w:pPr>
              <w:spacing w:after="0" w:line="243" w:lineRule="exact"/>
              <w:rPr>
                <w:sz w:val="20"/>
                <w:szCs w:val="20"/>
                <w:color w:val="auto"/>
              </w:rPr>
            </w:pPr>
            <w:r>
              <w:rPr>
                <w:rFonts w:ascii="Arial" w:cs="Arial" w:eastAsia="Arial" w:hAnsi="Arial"/>
                <w:sz w:val="22"/>
                <w:szCs w:val="22"/>
                <w:color w:val="auto"/>
                <w:w w:val="89"/>
              </w:rPr>
              <w:t>Period) shall end on the last Banking Day of the last calendar month of such</w:t>
            </w:r>
          </w:p>
        </w:tc>
      </w:tr>
      <w:tr>
        <w:trPr>
          <w:trHeight w:val="243"/>
        </w:trPr>
        <w:tc>
          <w:tcPr>
            <w:tcW w:w="4500" w:type="dxa"/>
            <w:vAlign w:val="bottom"/>
          </w:tcPr>
          <w:p>
            <w:pPr>
              <w:spacing w:after="0"/>
              <w:rPr>
                <w:sz w:val="21"/>
                <w:szCs w:val="21"/>
                <w:color w:val="auto"/>
              </w:rPr>
            </w:pPr>
          </w:p>
        </w:tc>
        <w:tc>
          <w:tcPr>
            <w:tcW w:w="6640" w:type="dxa"/>
            <w:vAlign w:val="bottom"/>
            <w:gridSpan w:val="2"/>
          </w:tcPr>
          <w:p>
            <w:pPr>
              <w:spacing w:after="0" w:line="243" w:lineRule="exact"/>
              <w:rPr>
                <w:sz w:val="20"/>
                <w:szCs w:val="20"/>
                <w:color w:val="auto"/>
              </w:rPr>
            </w:pPr>
            <w:r>
              <w:rPr>
                <w:rFonts w:ascii="Arial" w:cs="Arial" w:eastAsia="Arial" w:hAnsi="Arial"/>
                <w:sz w:val="22"/>
                <w:szCs w:val="22"/>
                <w:color w:val="auto"/>
              </w:rPr>
              <w:t>Interest Period,</w:t>
            </w:r>
          </w:p>
        </w:tc>
      </w:tr>
      <w:tr>
        <w:trPr>
          <w:trHeight w:val="243"/>
        </w:trPr>
        <w:tc>
          <w:tcPr>
            <w:tcW w:w="4500" w:type="dxa"/>
            <w:vAlign w:val="bottom"/>
          </w:tcPr>
          <w:p>
            <w:pPr>
              <w:spacing w:after="0"/>
              <w:rPr>
                <w:sz w:val="21"/>
                <w:szCs w:val="21"/>
                <w:color w:val="auto"/>
              </w:rPr>
            </w:pPr>
          </w:p>
        </w:tc>
        <w:tc>
          <w:tcPr>
            <w:tcW w:w="6640" w:type="dxa"/>
            <w:vAlign w:val="bottom"/>
            <w:gridSpan w:val="2"/>
          </w:tcPr>
          <w:p>
            <w:pPr>
              <w:spacing w:after="0" w:line="243" w:lineRule="exact"/>
              <w:rPr>
                <w:sz w:val="20"/>
                <w:szCs w:val="20"/>
                <w:color w:val="auto"/>
              </w:rPr>
            </w:pPr>
            <w:r>
              <w:rPr>
                <w:rFonts w:ascii="Arial" w:cs="Arial" w:eastAsia="Arial" w:hAnsi="Arial"/>
                <w:sz w:val="22"/>
                <w:szCs w:val="22"/>
                <w:color w:val="auto"/>
                <w:w w:val="91"/>
              </w:rPr>
              <w:t>(iii) no Interest Period shall extend beyond the Final Payment Date and (iv)</w:t>
            </w:r>
          </w:p>
        </w:tc>
      </w:tr>
      <w:tr>
        <w:trPr>
          <w:trHeight w:val="243"/>
        </w:trPr>
        <w:tc>
          <w:tcPr>
            <w:tcW w:w="4500" w:type="dxa"/>
            <w:vAlign w:val="bottom"/>
          </w:tcPr>
          <w:p>
            <w:pPr>
              <w:spacing w:after="0"/>
              <w:rPr>
                <w:sz w:val="21"/>
                <w:szCs w:val="21"/>
                <w:color w:val="auto"/>
              </w:rPr>
            </w:pPr>
          </w:p>
        </w:tc>
        <w:tc>
          <w:tcPr>
            <w:tcW w:w="6640" w:type="dxa"/>
            <w:vAlign w:val="bottom"/>
            <w:gridSpan w:val="2"/>
          </w:tcPr>
          <w:p>
            <w:pPr>
              <w:spacing w:after="0" w:line="243" w:lineRule="exact"/>
              <w:rPr>
                <w:sz w:val="20"/>
                <w:szCs w:val="20"/>
                <w:color w:val="auto"/>
              </w:rPr>
            </w:pPr>
            <w:r>
              <w:rPr>
                <w:rFonts w:ascii="Arial" w:cs="Arial" w:eastAsia="Arial" w:hAnsi="Arial"/>
                <w:sz w:val="22"/>
                <w:szCs w:val="22"/>
                <w:color w:val="auto"/>
                <w:w w:val="94"/>
              </w:rPr>
              <w:t>no tenor  that has been removed from this definition pursuant to Section</w:t>
            </w:r>
          </w:p>
        </w:tc>
      </w:tr>
      <w:tr>
        <w:trPr>
          <w:trHeight w:val="274"/>
        </w:trPr>
        <w:tc>
          <w:tcPr>
            <w:tcW w:w="4500" w:type="dxa"/>
            <w:vAlign w:val="bottom"/>
          </w:tcPr>
          <w:p>
            <w:pPr>
              <w:spacing w:after="0"/>
              <w:rPr>
                <w:sz w:val="23"/>
                <w:szCs w:val="23"/>
                <w:color w:val="auto"/>
              </w:rPr>
            </w:pPr>
          </w:p>
        </w:tc>
        <w:tc>
          <w:tcPr>
            <w:tcW w:w="6640" w:type="dxa"/>
            <w:vAlign w:val="bottom"/>
            <w:gridSpan w:val="2"/>
          </w:tcPr>
          <w:p>
            <w:pPr>
              <w:spacing w:after="0"/>
              <w:rPr>
                <w:sz w:val="20"/>
                <w:szCs w:val="20"/>
                <w:color w:val="auto"/>
              </w:rPr>
            </w:pPr>
            <w:r>
              <w:rPr>
                <w:rFonts w:ascii="Arial" w:cs="Arial" w:eastAsia="Arial" w:hAnsi="Arial"/>
                <w:sz w:val="22"/>
                <w:szCs w:val="22"/>
                <w:color w:val="auto"/>
              </w:rPr>
              <w:t>6.4(d) shall be available for specification;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8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Rate Agreement(s)</w:t>
            </w:r>
            <w:r>
              <w:rPr>
                <w:rFonts w:ascii="Arial" w:cs="Arial" w:eastAsia="Arial" w:hAnsi="Arial"/>
                <w:sz w:val="22"/>
                <w:szCs w:val="22"/>
                <w:color w:val="auto"/>
              </w:rPr>
              <w:t>”</w:t>
            </w:r>
          </w:p>
        </w:tc>
        <w:tc>
          <w:tcPr>
            <w:tcW w:w="7560" w:type="dxa"/>
            <w:vAlign w:val="bottom"/>
          </w:tcPr>
          <w:p>
            <w:pPr>
              <w:ind w:left="920"/>
              <w:spacing w:after="0"/>
              <w:rPr>
                <w:sz w:val="20"/>
                <w:szCs w:val="20"/>
                <w:color w:val="auto"/>
              </w:rPr>
            </w:pPr>
            <w:r>
              <w:rPr>
                <w:rFonts w:ascii="Arial" w:cs="Arial" w:eastAsia="Arial" w:hAnsi="Arial"/>
                <w:sz w:val="22"/>
                <w:szCs w:val="22"/>
                <w:color w:val="auto"/>
                <w:w w:val="98"/>
              </w:rPr>
              <w:t>shall mean any interest rate protection agreement, interest rate future</w:t>
            </w:r>
          </w:p>
        </w:tc>
      </w:tr>
      <w:tr>
        <w:trPr>
          <w:trHeight w:val="243"/>
        </w:trPr>
        <w:tc>
          <w:tcPr>
            <w:tcW w:w="3580" w:type="dxa"/>
            <w:vAlign w:val="bottom"/>
          </w:tcPr>
          <w:p>
            <w:pPr>
              <w:spacing w:after="0"/>
              <w:rPr>
                <w:sz w:val="21"/>
                <w:szCs w:val="21"/>
                <w:color w:val="auto"/>
              </w:rPr>
            </w:pPr>
          </w:p>
        </w:tc>
        <w:tc>
          <w:tcPr>
            <w:tcW w:w="7560" w:type="dxa"/>
            <w:vAlign w:val="bottom"/>
          </w:tcPr>
          <w:p>
            <w:pPr>
              <w:ind w:left="920"/>
              <w:spacing w:after="0" w:line="243" w:lineRule="exact"/>
              <w:rPr>
                <w:sz w:val="20"/>
                <w:szCs w:val="20"/>
                <w:color w:val="auto"/>
              </w:rPr>
            </w:pPr>
            <w:r>
              <w:rPr>
                <w:rFonts w:ascii="Arial" w:cs="Arial" w:eastAsia="Arial" w:hAnsi="Arial"/>
                <w:sz w:val="22"/>
                <w:szCs w:val="22"/>
                <w:color w:val="auto"/>
                <w:w w:val="92"/>
              </w:rPr>
              <w:t>agreement, interest rate option agreement, interest rate swap agreement,</w:t>
            </w:r>
          </w:p>
        </w:tc>
      </w:tr>
      <w:tr>
        <w:trPr>
          <w:trHeight w:val="243"/>
        </w:trPr>
        <w:tc>
          <w:tcPr>
            <w:tcW w:w="3580" w:type="dxa"/>
            <w:vAlign w:val="bottom"/>
          </w:tcPr>
          <w:p>
            <w:pPr>
              <w:spacing w:after="0"/>
              <w:rPr>
                <w:sz w:val="21"/>
                <w:szCs w:val="21"/>
                <w:color w:val="auto"/>
              </w:rPr>
            </w:pPr>
          </w:p>
        </w:tc>
        <w:tc>
          <w:tcPr>
            <w:tcW w:w="7560" w:type="dxa"/>
            <w:vAlign w:val="bottom"/>
          </w:tcPr>
          <w:p>
            <w:pPr>
              <w:ind w:left="920"/>
              <w:spacing w:after="0" w:line="243" w:lineRule="exact"/>
              <w:rPr>
                <w:sz w:val="20"/>
                <w:szCs w:val="20"/>
                <w:color w:val="auto"/>
              </w:rPr>
            </w:pPr>
            <w:r>
              <w:rPr>
                <w:rFonts w:ascii="Arial" w:cs="Arial" w:eastAsia="Arial" w:hAnsi="Arial"/>
                <w:sz w:val="22"/>
                <w:szCs w:val="22"/>
                <w:color w:val="auto"/>
                <w:w w:val="86"/>
              </w:rPr>
              <w:t>interest rate cap agreement, interest rate collar agreement, interest rate hedge</w:t>
            </w:r>
          </w:p>
        </w:tc>
      </w:tr>
      <w:tr>
        <w:trPr>
          <w:trHeight w:val="274"/>
        </w:trPr>
        <w:tc>
          <w:tcPr>
            <w:tcW w:w="3580" w:type="dxa"/>
            <w:vAlign w:val="bottom"/>
          </w:tcPr>
          <w:p>
            <w:pPr>
              <w:spacing w:after="0"/>
              <w:rPr>
                <w:sz w:val="23"/>
                <w:szCs w:val="23"/>
                <w:color w:val="auto"/>
              </w:rPr>
            </w:pPr>
          </w:p>
        </w:tc>
        <w:tc>
          <w:tcPr>
            <w:tcW w:w="7560" w:type="dxa"/>
            <w:vAlign w:val="bottom"/>
          </w:tcPr>
          <w:p>
            <w:pPr>
              <w:ind w:left="920"/>
              <w:spacing w:after="0"/>
              <w:rPr>
                <w:sz w:val="20"/>
                <w:szCs w:val="20"/>
                <w:color w:val="auto"/>
              </w:rPr>
            </w:pPr>
            <w:r>
              <w:rPr>
                <w:rFonts w:ascii="Arial" w:cs="Arial" w:eastAsia="Arial" w:hAnsi="Arial"/>
                <w:sz w:val="22"/>
                <w:szCs w:val="22"/>
                <w:color w:val="auto"/>
              </w:rPr>
              <w:t>agreement or other</w:t>
            </w:r>
          </w:p>
        </w:tc>
      </w:tr>
      <w:tr>
        <w:trPr>
          <w:trHeight w:val="509"/>
        </w:trPr>
        <w:tc>
          <w:tcPr>
            <w:tcW w:w="3580" w:type="dxa"/>
            <w:vAlign w:val="bottom"/>
          </w:tcPr>
          <w:p>
            <w:pPr>
              <w:spacing w:after="0"/>
              <w:rPr>
                <w:sz w:val="24"/>
                <w:szCs w:val="24"/>
                <w:color w:val="auto"/>
              </w:rPr>
            </w:pPr>
          </w:p>
        </w:tc>
        <w:tc>
          <w:tcPr>
            <w:tcW w:w="7560" w:type="dxa"/>
            <w:vAlign w:val="bottom"/>
          </w:tcPr>
          <w:p>
            <w:pPr>
              <w:ind w:left="920"/>
              <w:spacing w:after="0"/>
              <w:rPr>
                <w:sz w:val="20"/>
                <w:szCs w:val="20"/>
                <w:color w:val="auto"/>
              </w:rPr>
            </w:pPr>
            <w:r>
              <w:rPr>
                <w:rFonts w:ascii="Arial" w:cs="Arial" w:eastAsia="Arial" w:hAnsi="Arial"/>
                <w:sz w:val="22"/>
                <w:szCs w:val="22"/>
                <w:color w:val="auto"/>
                <w:w w:val="90"/>
              </w:rPr>
              <w:t>similar agreement or arrangement entered into with a Hedging Bank, which</w:t>
            </w:r>
          </w:p>
        </w:tc>
      </w:tr>
      <w:tr>
        <w:trPr>
          <w:trHeight w:val="243"/>
        </w:trPr>
        <w:tc>
          <w:tcPr>
            <w:tcW w:w="3580" w:type="dxa"/>
            <w:vAlign w:val="bottom"/>
          </w:tcPr>
          <w:p>
            <w:pPr>
              <w:spacing w:after="0"/>
              <w:rPr>
                <w:sz w:val="21"/>
                <w:szCs w:val="21"/>
                <w:color w:val="auto"/>
              </w:rPr>
            </w:pPr>
          </w:p>
        </w:tc>
        <w:tc>
          <w:tcPr>
            <w:tcW w:w="7560" w:type="dxa"/>
            <w:vAlign w:val="bottom"/>
          </w:tcPr>
          <w:p>
            <w:pPr>
              <w:ind w:left="920"/>
              <w:spacing w:after="0" w:line="243" w:lineRule="exact"/>
              <w:rPr>
                <w:sz w:val="20"/>
                <w:szCs w:val="20"/>
                <w:color w:val="auto"/>
              </w:rPr>
            </w:pPr>
            <w:r>
              <w:rPr>
                <w:rFonts w:ascii="Arial" w:cs="Arial" w:eastAsia="Arial" w:hAnsi="Arial"/>
                <w:sz w:val="22"/>
                <w:szCs w:val="22"/>
                <w:color w:val="auto"/>
                <w:w w:val="94"/>
              </w:rPr>
              <w:t>is designed to protect the Borrowers against fluctuations in interest rates</w:t>
            </w:r>
          </w:p>
        </w:tc>
      </w:tr>
      <w:tr>
        <w:trPr>
          <w:trHeight w:val="243"/>
        </w:trPr>
        <w:tc>
          <w:tcPr>
            <w:tcW w:w="3580" w:type="dxa"/>
            <w:vAlign w:val="bottom"/>
          </w:tcPr>
          <w:p>
            <w:pPr>
              <w:spacing w:after="0"/>
              <w:rPr>
                <w:sz w:val="21"/>
                <w:szCs w:val="21"/>
                <w:color w:val="auto"/>
              </w:rPr>
            </w:pPr>
          </w:p>
        </w:tc>
        <w:tc>
          <w:tcPr>
            <w:tcW w:w="7560" w:type="dxa"/>
            <w:vAlign w:val="bottom"/>
          </w:tcPr>
          <w:p>
            <w:pPr>
              <w:ind w:left="920"/>
              <w:spacing w:after="0" w:line="243" w:lineRule="exact"/>
              <w:rPr>
                <w:sz w:val="20"/>
                <w:szCs w:val="20"/>
                <w:color w:val="auto"/>
              </w:rPr>
            </w:pPr>
            <w:r>
              <w:rPr>
                <w:rFonts w:ascii="Arial" w:cs="Arial" w:eastAsia="Arial" w:hAnsi="Arial"/>
                <w:sz w:val="22"/>
                <w:szCs w:val="22"/>
                <w:color w:val="auto"/>
                <w:w w:val="93"/>
              </w:rPr>
              <w:t>applicable under this Agreement together with any confirmations that the</w:t>
            </w:r>
          </w:p>
        </w:tc>
      </w:tr>
      <w:tr>
        <w:trPr>
          <w:trHeight w:val="243"/>
        </w:trPr>
        <w:tc>
          <w:tcPr>
            <w:tcW w:w="3580" w:type="dxa"/>
            <w:vAlign w:val="bottom"/>
          </w:tcPr>
          <w:p>
            <w:pPr>
              <w:spacing w:after="0"/>
              <w:rPr>
                <w:sz w:val="21"/>
                <w:szCs w:val="21"/>
                <w:color w:val="auto"/>
              </w:rPr>
            </w:pPr>
          </w:p>
        </w:tc>
        <w:tc>
          <w:tcPr>
            <w:tcW w:w="7560" w:type="dxa"/>
            <w:vAlign w:val="bottom"/>
          </w:tcPr>
          <w:p>
            <w:pPr>
              <w:ind w:left="920"/>
              <w:spacing w:after="0" w:line="243" w:lineRule="exact"/>
              <w:rPr>
                <w:sz w:val="20"/>
                <w:szCs w:val="20"/>
                <w:color w:val="auto"/>
              </w:rPr>
            </w:pPr>
            <w:r>
              <w:rPr>
                <w:rFonts w:ascii="Arial" w:cs="Arial" w:eastAsia="Arial" w:hAnsi="Arial"/>
                <w:sz w:val="22"/>
                <w:szCs w:val="22"/>
                <w:color w:val="auto"/>
                <w:w w:val="89"/>
              </w:rPr>
              <w:t>Borrowers (or any thereof) expressly acknowledge in writing (including in an</w:t>
            </w:r>
          </w:p>
        </w:tc>
      </w:tr>
      <w:tr>
        <w:trPr>
          <w:trHeight w:val="243"/>
        </w:trPr>
        <w:tc>
          <w:tcPr>
            <w:tcW w:w="3580" w:type="dxa"/>
            <w:vAlign w:val="bottom"/>
          </w:tcPr>
          <w:p>
            <w:pPr>
              <w:spacing w:after="0"/>
              <w:rPr>
                <w:sz w:val="21"/>
                <w:szCs w:val="21"/>
                <w:color w:val="auto"/>
              </w:rPr>
            </w:pPr>
          </w:p>
        </w:tc>
        <w:tc>
          <w:tcPr>
            <w:tcW w:w="7560" w:type="dxa"/>
            <w:vAlign w:val="bottom"/>
          </w:tcPr>
          <w:p>
            <w:pPr>
              <w:ind w:left="920"/>
              <w:spacing w:after="0" w:line="243" w:lineRule="exact"/>
              <w:rPr>
                <w:sz w:val="20"/>
                <w:szCs w:val="20"/>
                <w:color w:val="auto"/>
              </w:rPr>
            </w:pPr>
            <w:r>
              <w:rPr>
                <w:rFonts w:ascii="Arial" w:cs="Arial" w:eastAsia="Arial" w:hAnsi="Arial"/>
                <w:sz w:val="22"/>
                <w:szCs w:val="22"/>
                <w:color w:val="auto"/>
                <w:w w:val="87"/>
              </w:rPr>
              <w:t>email, relate to said interest rate agreement), to or under which the Borrowers</w:t>
            </w:r>
          </w:p>
        </w:tc>
      </w:tr>
      <w:tr>
        <w:trPr>
          <w:trHeight w:val="243"/>
        </w:trPr>
        <w:tc>
          <w:tcPr>
            <w:tcW w:w="3580" w:type="dxa"/>
            <w:vAlign w:val="bottom"/>
          </w:tcPr>
          <w:p>
            <w:pPr>
              <w:spacing w:after="0"/>
              <w:rPr>
                <w:sz w:val="21"/>
                <w:szCs w:val="21"/>
                <w:color w:val="auto"/>
              </w:rPr>
            </w:pPr>
          </w:p>
        </w:tc>
        <w:tc>
          <w:tcPr>
            <w:tcW w:w="7560" w:type="dxa"/>
            <w:vAlign w:val="bottom"/>
          </w:tcPr>
          <w:p>
            <w:pPr>
              <w:ind w:left="920"/>
              <w:spacing w:after="0" w:line="243" w:lineRule="exact"/>
              <w:rPr>
                <w:sz w:val="20"/>
                <w:szCs w:val="20"/>
                <w:color w:val="auto"/>
              </w:rPr>
            </w:pPr>
            <w:r>
              <w:rPr>
                <w:rFonts w:ascii="Arial" w:cs="Arial" w:eastAsia="Arial" w:hAnsi="Arial"/>
                <w:sz w:val="22"/>
                <w:szCs w:val="22"/>
                <w:color w:val="auto"/>
                <w:w w:val="88"/>
              </w:rPr>
              <w:t>are a party or a beneficiary on the date of this Agreement or become party or</w:t>
            </w:r>
          </w:p>
        </w:tc>
      </w:tr>
      <w:tr>
        <w:trPr>
          <w:trHeight w:val="274"/>
        </w:trPr>
        <w:tc>
          <w:tcPr>
            <w:tcW w:w="3580" w:type="dxa"/>
            <w:vAlign w:val="bottom"/>
          </w:tcPr>
          <w:p>
            <w:pPr>
              <w:spacing w:after="0"/>
              <w:rPr>
                <w:sz w:val="23"/>
                <w:szCs w:val="23"/>
                <w:color w:val="auto"/>
              </w:rPr>
            </w:pPr>
          </w:p>
        </w:tc>
        <w:tc>
          <w:tcPr>
            <w:tcW w:w="7560" w:type="dxa"/>
            <w:vAlign w:val="bottom"/>
          </w:tcPr>
          <w:p>
            <w:pPr>
              <w:ind w:left="920"/>
              <w:spacing w:after="0"/>
              <w:rPr>
                <w:sz w:val="20"/>
                <w:szCs w:val="20"/>
                <w:color w:val="auto"/>
              </w:rPr>
            </w:pPr>
            <w:r>
              <w:rPr>
                <w:rFonts w:ascii="Arial" w:cs="Arial" w:eastAsia="Arial" w:hAnsi="Arial"/>
                <w:sz w:val="22"/>
                <w:szCs w:val="22"/>
                <w:color w:val="auto"/>
              </w:rPr>
              <w:t>a beneficiary hereafter;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203200</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432"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53"/>
        </w:trPr>
        <w:tc>
          <w:tcPr>
            <w:tcW w:w="39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Investments</w:t>
            </w:r>
            <w:r>
              <w:rPr>
                <w:rFonts w:ascii="Arial" w:cs="Arial" w:eastAsia="Arial" w:hAnsi="Arial"/>
                <w:sz w:val="22"/>
                <w:szCs w:val="22"/>
                <w:color w:val="auto"/>
              </w:rPr>
              <w:t>”</w:t>
            </w:r>
          </w:p>
        </w:tc>
        <w:tc>
          <w:tcPr>
            <w:tcW w:w="7360" w:type="dxa"/>
            <w:vAlign w:val="bottom"/>
            <w:gridSpan w:val="5"/>
          </w:tcPr>
          <w:p>
            <w:pPr>
              <w:ind w:left="700"/>
              <w:spacing w:after="0"/>
              <w:rPr>
                <w:sz w:val="20"/>
                <w:szCs w:val="20"/>
                <w:color w:val="auto"/>
              </w:rPr>
            </w:pPr>
            <w:r>
              <w:rPr>
                <w:rFonts w:ascii="Arial" w:cs="Arial" w:eastAsia="Arial" w:hAnsi="Arial"/>
                <w:sz w:val="22"/>
                <w:szCs w:val="22"/>
                <w:color w:val="auto"/>
                <w:w w:val="89"/>
              </w:rPr>
              <w:t>shall mean (i) any capital contribution to any Person, (ii) any purchase of any</w:t>
            </w:r>
          </w:p>
        </w:tc>
      </w:tr>
      <w:tr>
        <w:trPr>
          <w:trHeight w:val="243"/>
        </w:trPr>
        <w:tc>
          <w:tcPr>
            <w:tcW w:w="3900" w:type="dxa"/>
            <w:vAlign w:val="bottom"/>
          </w:tcPr>
          <w:p>
            <w:pPr>
              <w:spacing w:after="0"/>
              <w:rPr>
                <w:sz w:val="21"/>
                <w:szCs w:val="21"/>
                <w:color w:val="auto"/>
              </w:rPr>
            </w:pPr>
          </w:p>
        </w:tc>
        <w:tc>
          <w:tcPr>
            <w:tcW w:w="7360" w:type="dxa"/>
            <w:vAlign w:val="bottom"/>
            <w:gridSpan w:val="5"/>
          </w:tcPr>
          <w:p>
            <w:pPr>
              <w:ind w:left="700"/>
              <w:spacing w:after="0" w:line="243" w:lineRule="exact"/>
              <w:rPr>
                <w:sz w:val="20"/>
                <w:szCs w:val="20"/>
                <w:color w:val="auto"/>
              </w:rPr>
            </w:pPr>
            <w:r>
              <w:rPr>
                <w:rFonts w:ascii="Arial" w:cs="Arial" w:eastAsia="Arial" w:hAnsi="Arial"/>
                <w:sz w:val="22"/>
                <w:szCs w:val="22"/>
                <w:color w:val="auto"/>
                <w:w w:val="94"/>
              </w:rPr>
              <w:t>stock, bonds, notes, debentures, other securities or assets constituting a</w:t>
            </w:r>
          </w:p>
        </w:tc>
      </w:tr>
      <w:tr>
        <w:trPr>
          <w:trHeight w:val="274"/>
        </w:trPr>
        <w:tc>
          <w:tcPr>
            <w:tcW w:w="3900" w:type="dxa"/>
            <w:vAlign w:val="bottom"/>
          </w:tcPr>
          <w:p>
            <w:pPr>
              <w:spacing w:after="0"/>
              <w:rPr>
                <w:sz w:val="23"/>
                <w:szCs w:val="23"/>
                <w:color w:val="auto"/>
              </w:rPr>
            </w:pPr>
          </w:p>
        </w:tc>
        <w:tc>
          <w:tcPr>
            <w:tcW w:w="7360" w:type="dxa"/>
            <w:vAlign w:val="bottom"/>
            <w:gridSpan w:val="5"/>
          </w:tcPr>
          <w:p>
            <w:pPr>
              <w:ind w:left="700"/>
              <w:spacing w:after="0"/>
              <w:rPr>
                <w:sz w:val="20"/>
                <w:szCs w:val="20"/>
                <w:color w:val="auto"/>
              </w:rPr>
            </w:pPr>
            <w:r>
              <w:rPr>
                <w:rFonts w:ascii="Arial" w:cs="Arial" w:eastAsia="Arial" w:hAnsi="Arial"/>
                <w:sz w:val="22"/>
                <w:szCs w:val="22"/>
                <w:color w:val="auto"/>
                <w:w w:val="96"/>
              </w:rPr>
              <w:t>business unit or any Person or (iii) any other investment in any Person;</w:t>
            </w:r>
          </w:p>
        </w:tc>
      </w:tr>
      <w:tr>
        <w:trPr>
          <w:trHeight w:val="698"/>
        </w:trPr>
        <w:tc>
          <w:tcPr>
            <w:tcW w:w="39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IRS</w:t>
            </w:r>
            <w:r>
              <w:rPr>
                <w:rFonts w:ascii="Arial" w:cs="Arial" w:eastAsia="Arial" w:hAnsi="Arial"/>
                <w:sz w:val="22"/>
                <w:szCs w:val="22"/>
                <w:color w:val="auto"/>
              </w:rPr>
              <w:t>”</w:t>
            </w:r>
          </w:p>
        </w:tc>
        <w:tc>
          <w:tcPr>
            <w:tcW w:w="7360" w:type="dxa"/>
            <w:vAlign w:val="bottom"/>
            <w:gridSpan w:val="5"/>
          </w:tcPr>
          <w:p>
            <w:pPr>
              <w:ind w:left="700"/>
              <w:spacing w:after="0"/>
              <w:rPr>
                <w:sz w:val="20"/>
                <w:szCs w:val="20"/>
                <w:color w:val="auto"/>
              </w:rPr>
            </w:pPr>
            <w:r>
              <w:rPr>
                <w:rFonts w:ascii="Arial" w:cs="Arial" w:eastAsia="Arial" w:hAnsi="Arial"/>
                <w:sz w:val="22"/>
                <w:szCs w:val="22"/>
                <w:color w:val="auto"/>
                <w:w w:val="89"/>
              </w:rPr>
              <w:t>shall mean the Internal Revenue Service of the United States Department of</w:t>
            </w:r>
          </w:p>
        </w:tc>
      </w:tr>
      <w:tr>
        <w:trPr>
          <w:trHeight w:val="274"/>
        </w:trPr>
        <w:tc>
          <w:tcPr>
            <w:tcW w:w="3900" w:type="dxa"/>
            <w:vAlign w:val="bottom"/>
          </w:tcPr>
          <w:p>
            <w:pPr>
              <w:spacing w:after="0"/>
              <w:rPr>
                <w:sz w:val="23"/>
                <w:szCs w:val="23"/>
                <w:color w:val="auto"/>
              </w:rPr>
            </w:pPr>
          </w:p>
        </w:tc>
        <w:tc>
          <w:tcPr>
            <w:tcW w:w="7360" w:type="dxa"/>
            <w:vAlign w:val="bottom"/>
            <w:gridSpan w:val="5"/>
          </w:tcPr>
          <w:p>
            <w:pPr>
              <w:ind w:left="700"/>
              <w:spacing w:after="0"/>
              <w:rPr>
                <w:sz w:val="20"/>
                <w:szCs w:val="20"/>
                <w:color w:val="auto"/>
              </w:rPr>
            </w:pPr>
            <w:r>
              <w:rPr>
                <w:rFonts w:ascii="Arial" w:cs="Arial" w:eastAsia="Arial" w:hAnsi="Arial"/>
                <w:sz w:val="22"/>
                <w:szCs w:val="22"/>
                <w:color w:val="auto"/>
              </w:rPr>
              <w:t>the Treasury;</w:t>
            </w:r>
          </w:p>
        </w:tc>
      </w:tr>
      <w:tr>
        <w:trPr>
          <w:trHeight w:val="441"/>
        </w:trPr>
        <w:tc>
          <w:tcPr>
            <w:tcW w:w="39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ISM Code</w:t>
            </w:r>
            <w:r>
              <w:rPr>
                <w:rFonts w:ascii="Arial" w:cs="Arial" w:eastAsia="Arial" w:hAnsi="Arial"/>
                <w:sz w:val="22"/>
                <w:szCs w:val="22"/>
                <w:color w:val="auto"/>
              </w:rPr>
              <w:t>”</w:t>
            </w:r>
          </w:p>
        </w:tc>
        <w:tc>
          <w:tcPr>
            <w:tcW w:w="7360" w:type="dxa"/>
            <w:vAlign w:val="bottom"/>
            <w:gridSpan w:val="5"/>
          </w:tcPr>
          <w:p>
            <w:pPr>
              <w:ind w:left="700"/>
              <w:spacing w:after="0"/>
              <w:rPr>
                <w:sz w:val="20"/>
                <w:szCs w:val="20"/>
                <w:color w:val="auto"/>
              </w:rPr>
            </w:pPr>
            <w:r>
              <w:rPr>
                <w:rFonts w:ascii="Arial" w:cs="Arial" w:eastAsia="Arial" w:hAnsi="Arial"/>
                <w:sz w:val="22"/>
                <w:szCs w:val="22"/>
                <w:color w:val="auto"/>
                <w:w w:val="87"/>
              </w:rPr>
              <w:t>shall mean the International Safety Management Code for the Safe Operating</w:t>
            </w:r>
          </w:p>
        </w:tc>
      </w:tr>
      <w:tr>
        <w:trPr>
          <w:trHeight w:val="243"/>
        </w:trPr>
        <w:tc>
          <w:tcPr>
            <w:tcW w:w="3900" w:type="dxa"/>
            <w:vAlign w:val="bottom"/>
          </w:tcPr>
          <w:p>
            <w:pPr>
              <w:spacing w:after="0"/>
              <w:rPr>
                <w:sz w:val="21"/>
                <w:szCs w:val="21"/>
                <w:color w:val="auto"/>
              </w:rPr>
            </w:pPr>
          </w:p>
        </w:tc>
        <w:tc>
          <w:tcPr>
            <w:tcW w:w="7360" w:type="dxa"/>
            <w:vAlign w:val="bottom"/>
            <w:gridSpan w:val="5"/>
          </w:tcPr>
          <w:p>
            <w:pPr>
              <w:ind w:left="700"/>
              <w:spacing w:after="0" w:line="243" w:lineRule="exact"/>
              <w:rPr>
                <w:sz w:val="20"/>
                <w:szCs w:val="20"/>
                <w:color w:val="auto"/>
              </w:rPr>
            </w:pPr>
            <w:r>
              <w:rPr>
                <w:rFonts w:ascii="Arial" w:cs="Arial" w:eastAsia="Arial" w:hAnsi="Arial"/>
                <w:sz w:val="22"/>
                <w:szCs w:val="22"/>
                <w:color w:val="auto"/>
                <w:w w:val="95"/>
              </w:rPr>
              <w:t>of Ships and for Pollution Prevention constituted pursuant to Resolution</w:t>
            </w:r>
          </w:p>
        </w:tc>
      </w:tr>
      <w:tr>
        <w:trPr>
          <w:trHeight w:val="243"/>
        </w:trPr>
        <w:tc>
          <w:tcPr>
            <w:tcW w:w="3900" w:type="dxa"/>
            <w:vAlign w:val="bottom"/>
          </w:tcPr>
          <w:p>
            <w:pPr>
              <w:spacing w:after="0"/>
              <w:rPr>
                <w:sz w:val="21"/>
                <w:szCs w:val="21"/>
                <w:color w:val="auto"/>
              </w:rPr>
            </w:pPr>
          </w:p>
        </w:tc>
        <w:tc>
          <w:tcPr>
            <w:tcW w:w="7360" w:type="dxa"/>
            <w:vAlign w:val="bottom"/>
            <w:gridSpan w:val="5"/>
          </w:tcPr>
          <w:p>
            <w:pPr>
              <w:ind w:left="700"/>
              <w:spacing w:after="0" w:line="243" w:lineRule="exact"/>
              <w:rPr>
                <w:sz w:val="20"/>
                <w:szCs w:val="20"/>
                <w:color w:val="auto"/>
              </w:rPr>
            </w:pPr>
            <w:r>
              <w:rPr>
                <w:rFonts w:ascii="Arial" w:cs="Arial" w:eastAsia="Arial" w:hAnsi="Arial"/>
                <w:sz w:val="22"/>
                <w:szCs w:val="22"/>
                <w:color w:val="auto"/>
                <w:w w:val="92"/>
              </w:rPr>
              <w:t>A.741(18) of the International Maritime Organization and incorporated into</w:t>
            </w:r>
          </w:p>
        </w:tc>
      </w:tr>
      <w:tr>
        <w:trPr>
          <w:trHeight w:val="243"/>
        </w:trPr>
        <w:tc>
          <w:tcPr>
            <w:tcW w:w="3900" w:type="dxa"/>
            <w:vAlign w:val="bottom"/>
          </w:tcPr>
          <w:p>
            <w:pPr>
              <w:spacing w:after="0"/>
              <w:rPr>
                <w:sz w:val="21"/>
                <w:szCs w:val="21"/>
                <w:color w:val="auto"/>
              </w:rPr>
            </w:pPr>
          </w:p>
        </w:tc>
        <w:tc>
          <w:tcPr>
            <w:tcW w:w="7360" w:type="dxa"/>
            <w:vAlign w:val="bottom"/>
            <w:gridSpan w:val="5"/>
          </w:tcPr>
          <w:p>
            <w:pPr>
              <w:ind w:left="700"/>
              <w:spacing w:after="0" w:line="243" w:lineRule="exact"/>
              <w:rPr>
                <w:sz w:val="20"/>
                <w:szCs w:val="20"/>
                <w:color w:val="auto"/>
              </w:rPr>
            </w:pPr>
            <w:r>
              <w:rPr>
                <w:rFonts w:ascii="Arial" w:cs="Arial" w:eastAsia="Arial" w:hAnsi="Arial"/>
                <w:sz w:val="22"/>
                <w:szCs w:val="22"/>
                <w:color w:val="auto"/>
                <w:w w:val="97"/>
              </w:rPr>
              <w:t>the Safety of Life at Sea Convention and includes any amendments or</w:t>
            </w:r>
          </w:p>
        </w:tc>
      </w:tr>
      <w:tr>
        <w:trPr>
          <w:trHeight w:val="274"/>
        </w:trPr>
        <w:tc>
          <w:tcPr>
            <w:tcW w:w="3900" w:type="dxa"/>
            <w:vAlign w:val="bottom"/>
          </w:tcPr>
          <w:p>
            <w:pPr>
              <w:spacing w:after="0"/>
              <w:rPr>
                <w:sz w:val="23"/>
                <w:szCs w:val="23"/>
                <w:color w:val="auto"/>
              </w:rPr>
            </w:pPr>
          </w:p>
        </w:tc>
        <w:tc>
          <w:tcPr>
            <w:tcW w:w="7360" w:type="dxa"/>
            <w:vAlign w:val="bottom"/>
            <w:gridSpan w:val="5"/>
          </w:tcPr>
          <w:p>
            <w:pPr>
              <w:ind w:left="700"/>
              <w:spacing w:after="0"/>
              <w:rPr>
                <w:sz w:val="20"/>
                <w:szCs w:val="20"/>
                <w:color w:val="auto"/>
              </w:rPr>
            </w:pPr>
            <w:r>
              <w:rPr>
                <w:rFonts w:ascii="Arial" w:cs="Arial" w:eastAsia="Arial" w:hAnsi="Arial"/>
                <w:sz w:val="22"/>
                <w:szCs w:val="22"/>
                <w:color w:val="auto"/>
              </w:rPr>
              <w:t>extensions thereto and any regulation issued pursuant thereto;</w:t>
            </w:r>
          </w:p>
        </w:tc>
      </w:tr>
      <w:tr>
        <w:trPr>
          <w:trHeight w:val="954"/>
        </w:trPr>
        <w:tc>
          <w:tcPr>
            <w:tcW w:w="39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ISPS Code</w:t>
            </w:r>
            <w:r>
              <w:rPr>
                <w:rFonts w:ascii="Arial" w:cs="Arial" w:eastAsia="Arial" w:hAnsi="Arial"/>
                <w:sz w:val="22"/>
                <w:szCs w:val="22"/>
                <w:color w:val="auto"/>
              </w:rPr>
              <w:t>”</w:t>
            </w:r>
          </w:p>
        </w:tc>
        <w:tc>
          <w:tcPr>
            <w:tcW w:w="7360" w:type="dxa"/>
            <w:vAlign w:val="bottom"/>
            <w:gridSpan w:val="5"/>
          </w:tcPr>
          <w:p>
            <w:pPr>
              <w:ind w:left="700"/>
              <w:spacing w:after="0"/>
              <w:rPr>
                <w:sz w:val="20"/>
                <w:szCs w:val="20"/>
                <w:color w:val="auto"/>
              </w:rPr>
            </w:pPr>
            <w:r>
              <w:rPr>
                <w:rFonts w:ascii="Arial" w:cs="Arial" w:eastAsia="Arial" w:hAnsi="Arial"/>
                <w:sz w:val="22"/>
                <w:szCs w:val="22"/>
                <w:color w:val="auto"/>
                <w:w w:val="89"/>
              </w:rPr>
              <w:t>shall mean the International Ship and Port Facility Security Code adopted by</w:t>
            </w:r>
          </w:p>
        </w:tc>
      </w:tr>
      <w:tr>
        <w:trPr>
          <w:trHeight w:val="243"/>
        </w:trPr>
        <w:tc>
          <w:tcPr>
            <w:tcW w:w="3900" w:type="dxa"/>
            <w:vAlign w:val="bottom"/>
          </w:tcPr>
          <w:p>
            <w:pPr>
              <w:spacing w:after="0"/>
              <w:rPr>
                <w:sz w:val="21"/>
                <w:szCs w:val="21"/>
                <w:color w:val="auto"/>
              </w:rPr>
            </w:pPr>
          </w:p>
        </w:tc>
        <w:tc>
          <w:tcPr>
            <w:tcW w:w="7360" w:type="dxa"/>
            <w:vAlign w:val="bottom"/>
            <w:gridSpan w:val="5"/>
          </w:tcPr>
          <w:p>
            <w:pPr>
              <w:ind w:left="700"/>
              <w:spacing w:after="0" w:line="243" w:lineRule="exact"/>
              <w:rPr>
                <w:sz w:val="20"/>
                <w:szCs w:val="20"/>
                <w:color w:val="auto"/>
              </w:rPr>
            </w:pPr>
            <w:r>
              <w:rPr>
                <w:rFonts w:ascii="Arial" w:cs="Arial" w:eastAsia="Arial" w:hAnsi="Arial"/>
                <w:sz w:val="22"/>
                <w:szCs w:val="22"/>
                <w:color w:val="auto"/>
                <w:w w:val="91"/>
              </w:rPr>
              <w:t>the International Maritime Organization at a conference in December, 2002</w:t>
            </w:r>
          </w:p>
        </w:tc>
      </w:tr>
      <w:tr>
        <w:trPr>
          <w:trHeight w:val="243"/>
        </w:trPr>
        <w:tc>
          <w:tcPr>
            <w:tcW w:w="3900" w:type="dxa"/>
            <w:vAlign w:val="bottom"/>
          </w:tcPr>
          <w:p>
            <w:pPr>
              <w:spacing w:after="0"/>
              <w:rPr>
                <w:sz w:val="21"/>
                <w:szCs w:val="21"/>
                <w:color w:val="auto"/>
              </w:rPr>
            </w:pPr>
          </w:p>
        </w:tc>
        <w:tc>
          <w:tcPr>
            <w:tcW w:w="7360" w:type="dxa"/>
            <w:vAlign w:val="bottom"/>
            <w:gridSpan w:val="5"/>
          </w:tcPr>
          <w:p>
            <w:pPr>
              <w:ind w:left="700"/>
              <w:spacing w:after="0" w:line="243" w:lineRule="exact"/>
              <w:rPr>
                <w:sz w:val="20"/>
                <w:szCs w:val="20"/>
                <w:color w:val="auto"/>
              </w:rPr>
            </w:pPr>
            <w:r>
              <w:rPr>
                <w:rFonts w:ascii="Arial" w:cs="Arial" w:eastAsia="Arial" w:hAnsi="Arial"/>
                <w:sz w:val="22"/>
                <w:szCs w:val="22"/>
                <w:color w:val="auto"/>
                <w:w w:val="99"/>
              </w:rPr>
              <w:t>and amending the Safety of Life at Sea Convention and includes any</w:t>
            </w:r>
          </w:p>
        </w:tc>
      </w:tr>
      <w:tr>
        <w:trPr>
          <w:trHeight w:val="243"/>
        </w:trPr>
        <w:tc>
          <w:tcPr>
            <w:tcW w:w="3900" w:type="dxa"/>
            <w:vAlign w:val="bottom"/>
          </w:tcPr>
          <w:p>
            <w:pPr>
              <w:spacing w:after="0"/>
              <w:rPr>
                <w:sz w:val="21"/>
                <w:szCs w:val="21"/>
                <w:color w:val="auto"/>
              </w:rPr>
            </w:pPr>
          </w:p>
        </w:tc>
        <w:tc>
          <w:tcPr>
            <w:tcW w:w="7360" w:type="dxa"/>
            <w:vAlign w:val="bottom"/>
            <w:gridSpan w:val="5"/>
          </w:tcPr>
          <w:p>
            <w:pPr>
              <w:ind w:left="700"/>
              <w:spacing w:after="0" w:line="243" w:lineRule="exact"/>
              <w:rPr>
                <w:sz w:val="20"/>
                <w:szCs w:val="20"/>
                <w:color w:val="auto"/>
              </w:rPr>
            </w:pPr>
            <w:r>
              <w:rPr>
                <w:rFonts w:ascii="Arial" w:cs="Arial" w:eastAsia="Arial" w:hAnsi="Arial"/>
                <w:sz w:val="22"/>
                <w:szCs w:val="22"/>
                <w:color w:val="auto"/>
                <w:w w:val="96"/>
              </w:rPr>
              <w:t>amendments or extensions thereto and any regulation issued pursuant</w:t>
            </w:r>
          </w:p>
        </w:tc>
      </w:tr>
      <w:tr>
        <w:trPr>
          <w:trHeight w:val="274"/>
        </w:trPr>
        <w:tc>
          <w:tcPr>
            <w:tcW w:w="3900" w:type="dxa"/>
            <w:vAlign w:val="bottom"/>
          </w:tcPr>
          <w:p>
            <w:pPr>
              <w:spacing w:after="0"/>
              <w:rPr>
                <w:sz w:val="23"/>
                <w:szCs w:val="23"/>
                <w:color w:val="auto"/>
              </w:rPr>
            </w:pPr>
          </w:p>
        </w:tc>
        <w:tc>
          <w:tcPr>
            <w:tcW w:w="7360" w:type="dxa"/>
            <w:vAlign w:val="bottom"/>
            <w:gridSpan w:val="5"/>
          </w:tcPr>
          <w:p>
            <w:pPr>
              <w:ind w:left="700"/>
              <w:spacing w:after="0"/>
              <w:rPr>
                <w:sz w:val="20"/>
                <w:szCs w:val="20"/>
                <w:color w:val="auto"/>
              </w:rPr>
            </w:pPr>
            <w:r>
              <w:rPr>
                <w:rFonts w:ascii="Arial" w:cs="Arial" w:eastAsia="Arial" w:hAnsi="Arial"/>
                <w:sz w:val="22"/>
                <w:szCs w:val="22"/>
                <w:color w:val="auto"/>
              </w:rPr>
              <w:t>thereto;</w:t>
            </w:r>
          </w:p>
        </w:tc>
      </w:tr>
      <w:tr>
        <w:trPr>
          <w:trHeight w:val="698"/>
        </w:trPr>
        <w:tc>
          <w:tcPr>
            <w:tcW w:w="39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ISSC</w:t>
            </w:r>
            <w:r>
              <w:rPr>
                <w:rFonts w:ascii="Arial" w:cs="Arial" w:eastAsia="Arial" w:hAnsi="Arial"/>
                <w:sz w:val="22"/>
                <w:szCs w:val="22"/>
                <w:color w:val="auto"/>
              </w:rPr>
              <w:t>”</w:t>
            </w:r>
          </w:p>
        </w:tc>
        <w:tc>
          <w:tcPr>
            <w:tcW w:w="7360" w:type="dxa"/>
            <w:vAlign w:val="bottom"/>
            <w:gridSpan w:val="5"/>
          </w:tcPr>
          <w:p>
            <w:pPr>
              <w:ind w:left="700"/>
              <w:spacing w:after="0"/>
              <w:rPr>
                <w:sz w:val="20"/>
                <w:szCs w:val="20"/>
                <w:color w:val="auto"/>
              </w:rPr>
            </w:pPr>
            <w:r>
              <w:rPr>
                <w:rFonts w:ascii="Arial" w:cs="Arial" w:eastAsia="Arial" w:hAnsi="Arial"/>
                <w:sz w:val="22"/>
                <w:szCs w:val="22"/>
                <w:color w:val="auto"/>
                <w:w w:val="90"/>
              </w:rPr>
              <w:t>shall mean the International Ship Security Certificate issued pursuant to the</w:t>
            </w:r>
          </w:p>
        </w:tc>
      </w:tr>
      <w:tr>
        <w:trPr>
          <w:trHeight w:val="274"/>
        </w:trPr>
        <w:tc>
          <w:tcPr>
            <w:tcW w:w="3900" w:type="dxa"/>
            <w:vAlign w:val="bottom"/>
          </w:tcPr>
          <w:p>
            <w:pPr>
              <w:spacing w:after="0"/>
              <w:rPr>
                <w:sz w:val="23"/>
                <w:szCs w:val="23"/>
                <w:color w:val="auto"/>
              </w:rPr>
            </w:pPr>
          </w:p>
        </w:tc>
        <w:tc>
          <w:tcPr>
            <w:tcW w:w="7360" w:type="dxa"/>
            <w:vAlign w:val="bottom"/>
            <w:gridSpan w:val="5"/>
          </w:tcPr>
          <w:p>
            <w:pPr>
              <w:ind w:left="700"/>
              <w:spacing w:after="0"/>
              <w:rPr>
                <w:sz w:val="20"/>
                <w:szCs w:val="20"/>
                <w:color w:val="auto"/>
              </w:rPr>
            </w:pPr>
            <w:r>
              <w:rPr>
                <w:rFonts w:ascii="Arial" w:cs="Arial" w:eastAsia="Arial" w:hAnsi="Arial"/>
                <w:sz w:val="22"/>
                <w:szCs w:val="22"/>
                <w:color w:val="auto"/>
              </w:rPr>
              <w:t>ISPS Code;</w:t>
            </w:r>
          </w:p>
        </w:tc>
      </w:tr>
      <w:tr>
        <w:trPr>
          <w:trHeight w:val="473"/>
        </w:trPr>
        <w:tc>
          <w:tcPr>
            <w:tcW w:w="39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Lender(s)</w:t>
            </w:r>
            <w:r>
              <w:rPr>
                <w:rFonts w:ascii="Arial" w:cs="Arial" w:eastAsia="Arial" w:hAnsi="Arial"/>
                <w:sz w:val="22"/>
                <w:szCs w:val="22"/>
                <w:color w:val="auto"/>
              </w:rPr>
              <w:t>”</w:t>
            </w:r>
          </w:p>
        </w:tc>
        <w:tc>
          <w:tcPr>
            <w:tcW w:w="7360" w:type="dxa"/>
            <w:vAlign w:val="bottom"/>
            <w:gridSpan w:val="5"/>
          </w:tcPr>
          <w:p>
            <w:pPr>
              <w:ind w:left="700"/>
              <w:spacing w:after="0"/>
              <w:rPr>
                <w:sz w:val="20"/>
                <w:szCs w:val="20"/>
                <w:color w:val="auto"/>
              </w:rPr>
            </w:pPr>
            <w:r>
              <w:rPr>
                <w:rFonts w:ascii="Arial" w:cs="Arial" w:eastAsia="Arial" w:hAnsi="Arial"/>
                <w:sz w:val="22"/>
                <w:szCs w:val="22"/>
                <w:color w:val="auto"/>
              </w:rPr>
              <w:t>shall have the meaning ascribed thereto in the preamble;</w:t>
            </w:r>
          </w:p>
        </w:tc>
      </w:tr>
      <w:tr>
        <w:trPr>
          <w:trHeight w:val="428"/>
        </w:trPr>
        <w:tc>
          <w:tcPr>
            <w:tcW w:w="39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Lenders</w:t>
            </w:r>
            <w:r>
              <w:rPr>
                <w:rFonts w:ascii="Arial" w:cs="Arial" w:eastAsia="Arial" w:hAnsi="Arial"/>
                <w:sz w:val="22"/>
                <w:szCs w:val="22"/>
                <w:color w:val="auto"/>
              </w:rPr>
              <w:t>”</w:t>
            </w:r>
          </w:p>
        </w:tc>
        <w:tc>
          <w:tcPr>
            <w:tcW w:w="7360" w:type="dxa"/>
            <w:vAlign w:val="bottom"/>
            <w:gridSpan w:val="5"/>
          </w:tcPr>
          <w:p>
            <w:pPr>
              <w:ind w:left="700"/>
              <w:spacing w:after="0"/>
              <w:rPr>
                <w:sz w:val="20"/>
                <w:szCs w:val="20"/>
                <w:color w:val="auto"/>
              </w:rPr>
            </w:pPr>
            <w:r>
              <w:rPr>
                <w:rFonts w:ascii="Arial" w:cs="Arial" w:eastAsia="Arial" w:hAnsi="Arial"/>
                <w:sz w:val="22"/>
                <w:szCs w:val="22"/>
                <w:color w:val="auto"/>
                <w:w w:val="88"/>
              </w:rPr>
              <w:t>shall mean, at any time, Lenders holding an aggregate of more than 66 2/3%</w:t>
            </w:r>
          </w:p>
        </w:tc>
      </w:tr>
      <w:tr>
        <w:trPr>
          <w:trHeight w:val="224"/>
        </w:trPr>
        <w:tc>
          <w:tcPr>
            <w:tcW w:w="3900" w:type="dxa"/>
            <w:vAlign w:val="bottom"/>
          </w:tcPr>
          <w:p>
            <w:pPr>
              <w:spacing w:after="0"/>
              <w:rPr>
                <w:sz w:val="19"/>
                <w:szCs w:val="19"/>
                <w:color w:val="auto"/>
              </w:rPr>
            </w:pPr>
          </w:p>
        </w:tc>
        <w:tc>
          <w:tcPr>
            <w:tcW w:w="7360" w:type="dxa"/>
            <w:vAlign w:val="bottom"/>
            <w:gridSpan w:val="5"/>
          </w:tcPr>
          <w:p>
            <w:pPr>
              <w:ind w:left="700"/>
              <w:spacing w:after="0" w:line="224" w:lineRule="exact"/>
              <w:rPr>
                <w:sz w:val="20"/>
                <w:szCs w:val="20"/>
                <w:color w:val="auto"/>
              </w:rPr>
            </w:pPr>
            <w:r>
              <w:rPr>
                <w:rFonts w:ascii="Arial" w:cs="Arial" w:eastAsia="Arial" w:hAnsi="Arial"/>
                <w:sz w:val="22"/>
                <w:szCs w:val="22"/>
                <w:color w:val="auto"/>
                <w:w w:val="91"/>
              </w:rPr>
              <w:t>of the Facility then outstanding; provided, however, that if at any time there</w:t>
            </w:r>
          </w:p>
        </w:tc>
      </w:tr>
      <w:tr>
        <w:trPr>
          <w:trHeight w:val="20"/>
        </w:trPr>
        <w:tc>
          <w:tcPr>
            <w:tcW w:w="39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73"/>
        </w:trPr>
        <w:tc>
          <w:tcPr>
            <w:tcW w:w="3900" w:type="dxa"/>
            <w:vAlign w:val="bottom"/>
          </w:tcPr>
          <w:p>
            <w:pPr>
              <w:spacing w:after="0"/>
              <w:rPr>
                <w:sz w:val="23"/>
                <w:szCs w:val="23"/>
                <w:color w:val="auto"/>
              </w:rPr>
            </w:pPr>
          </w:p>
        </w:tc>
        <w:tc>
          <w:tcPr>
            <w:tcW w:w="7360" w:type="dxa"/>
            <w:vAlign w:val="bottom"/>
            <w:gridSpan w:val="5"/>
          </w:tcPr>
          <w:p>
            <w:pPr>
              <w:ind w:left="700"/>
              <w:spacing w:after="0"/>
              <w:rPr>
                <w:sz w:val="20"/>
                <w:szCs w:val="20"/>
                <w:color w:val="auto"/>
              </w:rPr>
            </w:pPr>
            <w:r>
              <w:rPr>
                <w:rFonts w:ascii="Arial" w:cs="Arial" w:eastAsia="Arial" w:hAnsi="Arial"/>
                <w:sz w:val="22"/>
                <w:szCs w:val="22"/>
                <w:color w:val="auto"/>
                <w:w w:val="90"/>
              </w:rPr>
              <w:t>are fewer than three (3) Lenders, “Majority Lenders” shall mean all Lenders;</w:t>
            </w:r>
          </w:p>
        </w:tc>
      </w:tr>
      <w:tr>
        <w:trPr>
          <w:trHeight w:val="729"/>
        </w:trPr>
        <w:tc>
          <w:tcPr>
            <w:tcW w:w="39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Mandated Lead Arranger</w:t>
            </w:r>
            <w:r>
              <w:rPr>
                <w:rFonts w:ascii="Arial" w:cs="Arial" w:eastAsia="Arial" w:hAnsi="Arial"/>
                <w:sz w:val="22"/>
                <w:szCs w:val="22"/>
                <w:color w:val="auto"/>
              </w:rPr>
              <w:t>”</w:t>
            </w:r>
          </w:p>
        </w:tc>
        <w:tc>
          <w:tcPr>
            <w:tcW w:w="7360" w:type="dxa"/>
            <w:vAlign w:val="bottom"/>
            <w:gridSpan w:val="5"/>
          </w:tcPr>
          <w:p>
            <w:pPr>
              <w:ind w:left="700"/>
              <w:spacing w:after="0"/>
              <w:rPr>
                <w:sz w:val="20"/>
                <w:szCs w:val="20"/>
                <w:color w:val="auto"/>
              </w:rPr>
            </w:pPr>
            <w:r>
              <w:rPr>
                <w:rFonts w:ascii="Arial" w:cs="Arial" w:eastAsia="Arial" w:hAnsi="Arial"/>
                <w:sz w:val="22"/>
                <w:szCs w:val="22"/>
                <w:color w:val="auto"/>
              </w:rPr>
              <w:t>shall have the meaning ascribed thereto in the preamble;</w:t>
            </w:r>
          </w:p>
        </w:tc>
      </w:tr>
      <w:tr>
        <w:trPr>
          <w:trHeight w:val="401"/>
        </w:trPr>
        <w:tc>
          <w:tcPr>
            <w:tcW w:w="39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Mandatory Costs</w:t>
            </w:r>
            <w:r>
              <w:rPr>
                <w:rFonts w:ascii="Arial" w:cs="Arial" w:eastAsia="Arial" w:hAnsi="Arial"/>
                <w:sz w:val="22"/>
                <w:szCs w:val="22"/>
                <w:color w:val="auto"/>
              </w:rPr>
              <w:t>”</w:t>
            </w:r>
          </w:p>
        </w:tc>
        <w:tc>
          <w:tcPr>
            <w:tcW w:w="7360" w:type="dxa"/>
            <w:vAlign w:val="bottom"/>
            <w:gridSpan w:val="5"/>
          </w:tcPr>
          <w:p>
            <w:pPr>
              <w:ind w:left="700"/>
              <w:spacing w:after="0"/>
              <w:rPr>
                <w:sz w:val="20"/>
                <w:szCs w:val="20"/>
                <w:color w:val="auto"/>
              </w:rPr>
            </w:pPr>
            <w:r>
              <w:rPr>
                <w:rFonts w:ascii="Arial" w:cs="Arial" w:eastAsia="Arial" w:hAnsi="Arial"/>
                <w:sz w:val="22"/>
                <w:szCs w:val="22"/>
                <w:color w:val="auto"/>
                <w:w w:val="93"/>
              </w:rPr>
              <w:t>shall mean in relation to the Facility or an unpaid sum the rate per annum</w:t>
            </w:r>
          </w:p>
        </w:tc>
      </w:tr>
      <w:tr>
        <w:trPr>
          <w:trHeight w:val="243"/>
        </w:trPr>
        <w:tc>
          <w:tcPr>
            <w:tcW w:w="3900" w:type="dxa"/>
            <w:vAlign w:val="bottom"/>
          </w:tcPr>
          <w:p>
            <w:pPr>
              <w:spacing w:after="0"/>
              <w:rPr>
                <w:sz w:val="21"/>
                <w:szCs w:val="21"/>
                <w:color w:val="auto"/>
              </w:rPr>
            </w:pPr>
          </w:p>
        </w:tc>
        <w:tc>
          <w:tcPr>
            <w:tcW w:w="7360" w:type="dxa"/>
            <w:vAlign w:val="bottom"/>
            <w:gridSpan w:val="5"/>
          </w:tcPr>
          <w:p>
            <w:pPr>
              <w:ind w:left="700"/>
              <w:spacing w:after="0" w:line="243" w:lineRule="exact"/>
              <w:rPr>
                <w:sz w:val="20"/>
                <w:szCs w:val="20"/>
                <w:color w:val="auto"/>
              </w:rPr>
            </w:pPr>
            <w:r>
              <w:rPr>
                <w:rFonts w:ascii="Arial" w:cs="Arial" w:eastAsia="Arial" w:hAnsi="Arial"/>
                <w:sz w:val="22"/>
                <w:szCs w:val="22"/>
                <w:color w:val="auto"/>
                <w:w w:val="96"/>
              </w:rPr>
              <w:t>notified by any Lender to the Administrative Agent to be the cost to that</w:t>
            </w:r>
          </w:p>
        </w:tc>
      </w:tr>
      <w:tr>
        <w:trPr>
          <w:trHeight w:val="243"/>
        </w:trPr>
        <w:tc>
          <w:tcPr>
            <w:tcW w:w="3900" w:type="dxa"/>
            <w:vAlign w:val="bottom"/>
          </w:tcPr>
          <w:p>
            <w:pPr>
              <w:spacing w:after="0"/>
              <w:rPr>
                <w:sz w:val="21"/>
                <w:szCs w:val="21"/>
                <w:color w:val="auto"/>
              </w:rPr>
            </w:pPr>
          </w:p>
        </w:tc>
        <w:tc>
          <w:tcPr>
            <w:tcW w:w="7360" w:type="dxa"/>
            <w:vAlign w:val="bottom"/>
            <w:gridSpan w:val="5"/>
          </w:tcPr>
          <w:p>
            <w:pPr>
              <w:ind w:left="700"/>
              <w:spacing w:after="0" w:line="243" w:lineRule="exact"/>
              <w:rPr>
                <w:sz w:val="20"/>
                <w:szCs w:val="20"/>
                <w:color w:val="auto"/>
              </w:rPr>
            </w:pPr>
            <w:r>
              <w:rPr>
                <w:rFonts w:ascii="Arial" w:cs="Arial" w:eastAsia="Arial" w:hAnsi="Arial"/>
                <w:sz w:val="22"/>
                <w:szCs w:val="22"/>
                <w:color w:val="auto"/>
                <w:w w:val="96"/>
              </w:rPr>
              <w:t>Lender of compliance with all reserve asset, liquidity or cash margin or</w:t>
            </w:r>
          </w:p>
        </w:tc>
      </w:tr>
      <w:tr>
        <w:trPr>
          <w:trHeight w:val="274"/>
        </w:trPr>
        <w:tc>
          <w:tcPr>
            <w:tcW w:w="3900" w:type="dxa"/>
            <w:vAlign w:val="bottom"/>
          </w:tcPr>
          <w:p>
            <w:pPr>
              <w:spacing w:after="0"/>
              <w:rPr>
                <w:sz w:val="23"/>
                <w:szCs w:val="23"/>
                <w:color w:val="auto"/>
              </w:rPr>
            </w:pPr>
          </w:p>
        </w:tc>
        <w:tc>
          <w:tcPr>
            <w:tcW w:w="7360" w:type="dxa"/>
            <w:vAlign w:val="bottom"/>
            <w:gridSpan w:val="5"/>
          </w:tcPr>
          <w:p>
            <w:pPr>
              <w:ind w:left="700"/>
              <w:spacing w:after="0"/>
              <w:rPr>
                <w:sz w:val="20"/>
                <w:szCs w:val="20"/>
                <w:color w:val="auto"/>
              </w:rPr>
            </w:pPr>
            <w:r>
              <w:rPr>
                <w:rFonts w:ascii="Arial" w:cs="Arial" w:eastAsia="Arial" w:hAnsi="Arial"/>
                <w:sz w:val="22"/>
                <w:szCs w:val="22"/>
                <w:color w:val="auto"/>
                <w:w w:val="97"/>
              </w:rPr>
              <w:t>similar requirement of the Financial Conduct Authority (UK) and/or the</w:t>
            </w:r>
          </w:p>
        </w:tc>
      </w:tr>
      <w:tr>
        <w:trPr>
          <w:trHeight w:val="765"/>
        </w:trPr>
        <w:tc>
          <w:tcPr>
            <w:tcW w:w="3900" w:type="dxa"/>
            <w:vAlign w:val="bottom"/>
          </w:tcPr>
          <w:p>
            <w:pPr>
              <w:spacing w:after="0"/>
              <w:rPr>
                <w:sz w:val="24"/>
                <w:szCs w:val="24"/>
                <w:color w:val="auto"/>
              </w:rPr>
            </w:pPr>
          </w:p>
        </w:tc>
        <w:tc>
          <w:tcPr>
            <w:tcW w:w="7360" w:type="dxa"/>
            <w:vAlign w:val="bottom"/>
            <w:gridSpan w:val="5"/>
          </w:tcPr>
          <w:p>
            <w:pPr>
              <w:ind w:left="700"/>
              <w:spacing w:after="0"/>
              <w:rPr>
                <w:sz w:val="20"/>
                <w:szCs w:val="20"/>
                <w:color w:val="auto"/>
              </w:rPr>
            </w:pPr>
            <w:r>
              <w:rPr>
                <w:rFonts w:ascii="Arial" w:cs="Arial" w:eastAsia="Arial" w:hAnsi="Arial"/>
                <w:sz w:val="22"/>
                <w:szCs w:val="22"/>
                <w:color w:val="auto"/>
                <w:w w:val="92"/>
              </w:rPr>
              <w:t>Prudential Regulation Authority (UK) or, in any case, any similar institution</w:t>
            </w:r>
          </w:p>
        </w:tc>
      </w:tr>
      <w:tr>
        <w:trPr>
          <w:trHeight w:val="243"/>
        </w:trPr>
        <w:tc>
          <w:tcPr>
            <w:tcW w:w="3900" w:type="dxa"/>
            <w:vAlign w:val="bottom"/>
          </w:tcPr>
          <w:p>
            <w:pPr>
              <w:spacing w:after="0"/>
              <w:rPr>
                <w:sz w:val="21"/>
                <w:szCs w:val="21"/>
                <w:color w:val="auto"/>
              </w:rPr>
            </w:pPr>
          </w:p>
        </w:tc>
        <w:tc>
          <w:tcPr>
            <w:tcW w:w="7360" w:type="dxa"/>
            <w:vAlign w:val="bottom"/>
            <w:gridSpan w:val="5"/>
          </w:tcPr>
          <w:p>
            <w:pPr>
              <w:ind w:left="700"/>
              <w:spacing w:after="0" w:line="243" w:lineRule="exact"/>
              <w:rPr>
                <w:sz w:val="20"/>
                <w:szCs w:val="20"/>
                <w:color w:val="auto"/>
              </w:rPr>
            </w:pPr>
            <w:r>
              <w:rPr>
                <w:rFonts w:ascii="Arial" w:cs="Arial" w:eastAsia="Arial" w:hAnsi="Arial"/>
                <w:sz w:val="22"/>
                <w:szCs w:val="22"/>
                <w:color w:val="auto"/>
                <w:w w:val="89"/>
              </w:rPr>
              <w:t>which replaces all or any of their functions whose requirements such Lender</w:t>
            </w:r>
          </w:p>
        </w:tc>
      </w:tr>
      <w:tr>
        <w:trPr>
          <w:trHeight w:val="274"/>
        </w:trPr>
        <w:tc>
          <w:tcPr>
            <w:tcW w:w="3900" w:type="dxa"/>
            <w:vAlign w:val="bottom"/>
          </w:tcPr>
          <w:p>
            <w:pPr>
              <w:spacing w:after="0"/>
              <w:rPr>
                <w:sz w:val="23"/>
                <w:szCs w:val="23"/>
                <w:color w:val="auto"/>
              </w:rPr>
            </w:pPr>
          </w:p>
        </w:tc>
        <w:tc>
          <w:tcPr>
            <w:tcW w:w="7360" w:type="dxa"/>
            <w:vAlign w:val="bottom"/>
            <w:gridSpan w:val="5"/>
          </w:tcPr>
          <w:p>
            <w:pPr>
              <w:ind w:left="700"/>
              <w:spacing w:after="0"/>
              <w:rPr>
                <w:sz w:val="20"/>
                <w:szCs w:val="20"/>
                <w:color w:val="auto"/>
              </w:rPr>
            </w:pPr>
            <w:r>
              <w:rPr>
                <w:rFonts w:ascii="Arial" w:cs="Arial" w:eastAsia="Arial" w:hAnsi="Arial"/>
                <w:sz w:val="22"/>
                <w:szCs w:val="22"/>
                <w:color w:val="auto"/>
              </w:rPr>
              <w:t>complies with;</w:t>
            </w:r>
          </w:p>
        </w:tc>
      </w:tr>
      <w:tr>
        <w:trPr>
          <w:trHeight w:val="459"/>
        </w:trPr>
        <w:tc>
          <w:tcPr>
            <w:tcW w:w="39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Margin</w:t>
            </w:r>
            <w:r>
              <w:rPr>
                <w:rFonts w:ascii="Arial" w:cs="Arial" w:eastAsia="Arial" w:hAnsi="Arial"/>
                <w:sz w:val="22"/>
                <w:szCs w:val="22"/>
                <w:color w:val="auto"/>
              </w:rPr>
              <w:t>”</w:t>
            </w:r>
          </w:p>
        </w:tc>
        <w:tc>
          <w:tcPr>
            <w:tcW w:w="7360" w:type="dxa"/>
            <w:vAlign w:val="bottom"/>
            <w:gridSpan w:val="5"/>
          </w:tcPr>
          <w:p>
            <w:pPr>
              <w:ind w:left="700"/>
              <w:spacing w:after="0"/>
              <w:rPr>
                <w:sz w:val="20"/>
                <w:szCs w:val="20"/>
                <w:color w:val="auto"/>
              </w:rPr>
            </w:pPr>
            <w:r>
              <w:rPr>
                <w:rFonts w:ascii="Arial" w:cs="Arial" w:eastAsia="Arial" w:hAnsi="Arial"/>
                <w:sz w:val="22"/>
                <w:szCs w:val="22"/>
                <w:color w:val="auto"/>
              </w:rPr>
              <w:t>shall mean the rate per annum equal to 4.68;</w:t>
            </w:r>
          </w:p>
        </w:tc>
      </w:tr>
      <w:tr>
        <w:trPr>
          <w:trHeight w:val="513"/>
        </w:trPr>
        <w:tc>
          <w:tcPr>
            <w:tcW w:w="390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Market-Disruption Notification</w:t>
            </w:r>
            <w:r>
              <w:rPr>
                <w:rFonts w:ascii="Arial" w:cs="Arial" w:eastAsia="Arial" w:hAnsi="Arial"/>
                <w:sz w:val="22"/>
                <w:szCs w:val="22"/>
                <w:color w:val="auto"/>
              </w:rPr>
              <w:t>”</w:t>
            </w:r>
          </w:p>
        </w:tc>
        <w:tc>
          <w:tcPr>
            <w:tcW w:w="7360" w:type="dxa"/>
            <w:vAlign w:val="bottom"/>
            <w:gridSpan w:val="5"/>
          </w:tcPr>
          <w:p>
            <w:pPr>
              <w:ind w:left="700"/>
              <w:spacing w:after="0"/>
              <w:rPr>
                <w:sz w:val="20"/>
                <w:szCs w:val="20"/>
                <w:color w:val="auto"/>
              </w:rPr>
            </w:pPr>
            <w:r>
              <w:rPr>
                <w:rFonts w:ascii="Arial" w:cs="Arial" w:eastAsia="Arial" w:hAnsi="Arial"/>
                <w:sz w:val="22"/>
                <w:szCs w:val="22"/>
                <w:color w:val="auto"/>
              </w:rPr>
              <w:t>shall have the meaning ascribed thereto in Section 11.4;</w:t>
            </w:r>
          </w:p>
        </w:tc>
      </w:tr>
      <w:tr>
        <w:trPr>
          <w:trHeight w:val="561"/>
        </w:trPr>
        <w:tc>
          <w:tcPr>
            <w:tcW w:w="3900" w:type="dxa"/>
            <w:vAlign w:val="bottom"/>
          </w:tcPr>
          <w:p>
            <w:pPr>
              <w:spacing w:after="0"/>
              <w:rPr>
                <w:sz w:val="24"/>
                <w:szCs w:val="24"/>
                <w:color w:val="auto"/>
              </w:rPr>
            </w:pPr>
          </w:p>
        </w:tc>
        <w:tc>
          <w:tcPr>
            <w:tcW w:w="3500" w:type="dxa"/>
            <w:vAlign w:val="bottom"/>
          </w:tcPr>
          <w:p>
            <w:pPr>
              <w:ind w:left="1620"/>
              <w:spacing w:after="0"/>
              <w:rPr>
                <w:sz w:val="20"/>
                <w:szCs w:val="20"/>
                <w:color w:val="auto"/>
              </w:rPr>
            </w:pPr>
            <w:r>
              <w:rPr>
                <w:rFonts w:ascii="Arial" w:cs="Arial" w:eastAsia="Arial" w:hAnsi="Arial"/>
                <w:sz w:val="20"/>
                <w:szCs w:val="20"/>
                <w:color w:val="auto"/>
              </w:rPr>
              <w:t>15</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27"/>
        </w:trPr>
        <w:tc>
          <w:tcPr>
            <w:tcW w:w="390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32" w:right="319" w:bottom="1440" w:gutter="0" w:footer="0" w:header="0"/>
        </w:sectPr>
      </w:pPr>
    </w:p>
    <w:bookmarkStart w:id="153" w:name="page154"/>
    <w:bookmarkEnd w:id="153"/>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Adverse Effect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jc w:val="both"/>
        <w:spacing w:after="0" w:line="245" w:lineRule="auto"/>
        <w:rPr>
          <w:sz w:val="20"/>
          <w:szCs w:val="20"/>
          <w:color w:val="auto"/>
        </w:rPr>
      </w:pPr>
      <w:r>
        <w:rPr>
          <w:rFonts w:ascii="Arial" w:cs="Arial" w:eastAsia="Arial" w:hAnsi="Arial"/>
          <w:sz w:val="21"/>
          <w:szCs w:val="21"/>
          <w:color w:val="auto"/>
        </w:rPr>
        <w:t>shall mean (i) a material adverse effect on (A) the ability or prospective ability of the Borrowers to meet any of their respective obligations with regard to any Transaction Document, the Facility and the financing arrangements established in connection therewith, (B) the ability or prospective ability of the Borrowers to meet any of their respective Indebtedness or other obligations that, considered as a whole, are material to the Borrowers, or (C) the business, property, assets, liabilities, operations, condition (financial or otherwise) or prospects of the Credit Parties taken as a whole or (ii) a material impairment of the validity or enforceability of any Transaction Document;</w:t>
      </w:r>
    </w:p>
    <w:p>
      <w:pPr>
        <w:spacing w:after="0" w:line="200" w:lineRule="exact"/>
        <w:rPr>
          <w:sz w:val="20"/>
          <w:szCs w:val="20"/>
          <w:color w:val="auto"/>
        </w:rPr>
      </w:pPr>
    </w:p>
    <w:p>
      <w:pPr>
        <w:sectPr>
          <w:pgSz w:w="11900" w:h="16838" w:orient="portrait"/>
          <w:cols w:equalWidth="0" w:num="2">
            <w:col w:w="3780" w:space="720"/>
            <w:col w:w="6640"/>
          </w:cols>
          <w:pgMar w:left="420" w:top="436"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spacing w:after="0"/>
        <w:tabs>
          <w:tab w:leader="none" w:pos="448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Materials of Environmental Concern</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shall have the meaning ascribed thereto in Section 2.1(p);</w:t>
      </w:r>
    </w:p>
    <w:p>
      <w:pPr>
        <w:spacing w:after="0" w:line="200" w:lineRule="exact"/>
        <w:rPr>
          <w:sz w:val="20"/>
          <w:szCs w:val="20"/>
          <w:color w:val="auto"/>
        </w:rPr>
      </w:pPr>
    </w:p>
    <w:p>
      <w:pPr>
        <w:spacing w:after="0" w:line="263" w:lineRule="exact"/>
        <w:rPr>
          <w:sz w:val="20"/>
          <w:szCs w:val="20"/>
          <w:color w:val="auto"/>
        </w:rPr>
      </w:pPr>
    </w:p>
    <w:p>
      <w:pPr>
        <w:jc w:val="both"/>
        <w:ind w:left="4500" w:hanging="4495"/>
        <w:spacing w:after="0" w:line="246" w:lineRule="auto"/>
        <w:tabs>
          <w:tab w:leader="none" w:pos="448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Mortgage(s)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shall mean each of the first preferred United States or Marshall Islands ship mortgages, as applicable, on each of the Vessels executed by the relevant Borrower in favor of the Security Trustee, substantially in the form set out in Exhibit G-1, as may be amended from time to time, including as shall be amended by the relevant Mortgage Amendment, or such other first preferred/priority ship mortgage given in compliance with such other jurisdiction as the Lenders may approve;</w:t>
      </w:r>
    </w:p>
    <w:p>
      <w:pPr>
        <w:sectPr>
          <w:pgSz w:w="11900" w:h="16838" w:orient="portrait"/>
          <w:cols w:equalWidth="0" w:num="1">
            <w:col w:w="11140"/>
          </w:cols>
          <w:pgMar w:left="420" w:top="43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Mortgage Amendment(s)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shall mean the amendments to each of the Mortgages, to be executed by the relevant Borrower, substantially in the forms set out in Exhibit G-2;</w:t>
      </w:r>
    </w:p>
    <w:p>
      <w:pPr>
        <w:spacing w:after="0" w:line="200" w:lineRule="exact"/>
        <w:rPr>
          <w:sz w:val="20"/>
          <w:szCs w:val="20"/>
          <w:color w:val="auto"/>
        </w:rPr>
      </w:pPr>
    </w:p>
    <w:p>
      <w:pPr>
        <w:sectPr>
          <w:pgSz w:w="11900" w:h="16838" w:orient="portrait"/>
          <w:cols w:equalWidth="0" w:num="2">
            <w:col w:w="3780" w:space="720"/>
            <w:col w:w="6640"/>
          </w:cols>
          <w:pgMar w:left="420" w:top="436" w:right="339" w:bottom="1440" w:gutter="0" w:footer="0" w:header="0"/>
          <w:type w:val="continuous"/>
        </w:sectPr>
      </w:pP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MTSA</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right="720"/>
        <w:spacing w:after="0" w:line="250" w:lineRule="auto"/>
        <w:rPr>
          <w:sz w:val="20"/>
          <w:szCs w:val="20"/>
          <w:color w:val="auto"/>
        </w:rPr>
      </w:pPr>
      <w:r>
        <w:rPr>
          <w:rFonts w:ascii="Arial" w:cs="Arial" w:eastAsia="Arial" w:hAnsi="Arial"/>
          <w:sz w:val="22"/>
          <w:szCs w:val="22"/>
          <w:color w:val="auto"/>
        </w:rPr>
        <w:t>shall mean the Maritime &amp; Transportation Security Act, 2002, as amended, inter alia, by Public Law 107-295;</w:t>
      </w:r>
    </w:p>
    <w:p>
      <w:pPr>
        <w:spacing w:after="0" w:line="182" w:lineRule="exact"/>
        <w:rPr>
          <w:sz w:val="20"/>
          <w:szCs w:val="20"/>
          <w:color w:val="auto"/>
        </w:rPr>
      </w:pPr>
    </w:p>
    <w:p>
      <w:pPr>
        <w:sectPr>
          <w:pgSz w:w="11900" w:h="16838" w:orient="portrait"/>
          <w:cols w:equalWidth="0" w:num="2">
            <w:col w:w="3780" w:space="720"/>
            <w:col w:w="6640"/>
          </w:cols>
          <w:pgMar w:left="420" w:top="436" w:right="339" w:bottom="1440" w:gutter="0" w:footer="0" w:header="0"/>
          <w:type w:val="continuous"/>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Multiemployer Plan</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jc w:val="both"/>
        <w:spacing w:after="0" w:line="236" w:lineRule="auto"/>
        <w:rPr>
          <w:sz w:val="20"/>
          <w:szCs w:val="20"/>
          <w:color w:val="auto"/>
        </w:rPr>
      </w:pPr>
      <w:r>
        <w:rPr>
          <w:rFonts w:ascii="Arial" w:cs="Arial" w:eastAsia="Arial" w:hAnsi="Arial"/>
          <w:sz w:val="22"/>
          <w:szCs w:val="22"/>
          <w:color w:val="auto"/>
        </w:rPr>
        <w:t>shall mean, at any time, a “multiemployer plan” as defined in Section 4001(a)(3) of ERISA to which any Security Party or any ERISA Affiliate is making or accruing an obligation to make contributions or has within any of the six preceding plan years made or accrued an obligation to make contributions;</w:t>
      </w:r>
    </w:p>
    <w:p>
      <w:pPr>
        <w:spacing w:after="0" w:line="200" w:lineRule="exact"/>
        <w:rPr>
          <w:sz w:val="20"/>
          <w:szCs w:val="20"/>
          <w:color w:val="auto"/>
        </w:rPr>
      </w:pPr>
    </w:p>
    <w:p>
      <w:pPr>
        <w:sectPr>
          <w:pgSz w:w="11900" w:h="16838" w:orient="portrait"/>
          <w:cols w:equalWidth="0" w:num="2">
            <w:col w:w="3780" w:space="720"/>
            <w:col w:w="6640"/>
          </w:cols>
          <w:pgMar w:left="420" w:top="436" w:right="339" w:bottom="1440" w:gutter="0" w:footer="0" w:header="0"/>
          <w:type w:val="continuous"/>
        </w:sectPr>
      </w:pP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“Non-U.S. Lender”</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shall have the meaning ascribed thereto in Section 7.4(a);</w:t>
      </w:r>
    </w:p>
    <w:p>
      <w:pPr>
        <w:spacing w:after="0" w:line="200" w:lineRule="exact"/>
        <w:rPr>
          <w:sz w:val="20"/>
          <w:szCs w:val="20"/>
          <w:color w:val="auto"/>
        </w:rPr>
      </w:pPr>
    </w:p>
    <w:p>
      <w:pPr>
        <w:sectPr>
          <w:pgSz w:w="11900" w:h="16838" w:orient="portrait"/>
          <w:cols w:equalWidth="0" w:num="2">
            <w:col w:w="3780" w:space="720"/>
            <w:col w:w="6640"/>
          </w:cols>
          <w:pgMar w:left="420" w:top="436"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Note(s)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shall mean each of the amended and restated promissory notes to be executed by the Borrowers to the order of each Lender to evidence such Lender’s ratable portion of the Facility, substantially in the form set out in Exhibit A (as such promissory note may be amended, amended and restated, supplemented or otherwise modified from time to time);</w:t>
      </w:r>
    </w:p>
    <w:p>
      <w:pPr>
        <w:spacing w:after="0" w:line="200" w:lineRule="exact"/>
        <w:rPr>
          <w:sz w:val="20"/>
          <w:szCs w:val="20"/>
          <w:color w:val="auto"/>
        </w:rPr>
      </w:pPr>
    </w:p>
    <w:p>
      <w:pPr>
        <w:sectPr>
          <w:pgSz w:w="11900" w:h="16838" w:orient="portrait"/>
          <w:cols w:equalWidth="0" w:num="2">
            <w:col w:w="3780" w:space="720"/>
            <w:col w:w="6640"/>
          </w:cols>
          <w:pgMar w:left="420" w:top="436" w:right="339" w:bottom="1440" w:gutter="0" w:footer="0" w:header="0"/>
          <w:type w:val="continuous"/>
        </w:sectPr>
      </w:pPr>
    </w:p>
    <w:p>
      <w:pPr>
        <w:spacing w:after="0" w:line="200" w:lineRule="exact"/>
        <w:rPr>
          <w:sz w:val="20"/>
          <w:szCs w:val="20"/>
          <w:color w:val="auto"/>
        </w:rPr>
      </w:pPr>
    </w:p>
    <w:p>
      <w:pPr>
        <w:spacing w:after="0" w:line="37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232410</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436" w:right="339" w:bottom="1440" w:gutter="0" w:footer="0" w:header="0"/>
          <w:type w:val="continuous"/>
        </w:sectPr>
      </w:pPr>
    </w:p>
    <w:bookmarkStart w:id="154" w:name="page155"/>
    <w:bookmarkEnd w:id="154"/>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OFAC</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OFAC Sanctions Programs</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Operator</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Original Closing Date</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“Original Effective Date”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“Original Loan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Patriot Act</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Payment Date(s)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PBGC</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Periodic Term SOFR Determination Day</w:t>
      </w:r>
      <w:r>
        <w:rPr>
          <w:rFonts w:ascii="Arial" w:cs="Arial" w:eastAsia="Arial" w:hAnsi="Arial"/>
          <w:sz w:val="19"/>
          <w:szCs w:val="19"/>
          <w:color w:val="auto"/>
        </w:rPr>
        <w: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Liens</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ind w:right="180"/>
        <w:spacing w:after="0" w:line="250" w:lineRule="auto"/>
        <w:rPr>
          <w:sz w:val="20"/>
          <w:szCs w:val="20"/>
          <w:color w:val="auto"/>
        </w:rPr>
      </w:pPr>
      <w:r>
        <w:rPr>
          <w:rFonts w:ascii="Arial" w:cs="Arial" w:eastAsia="Arial" w:hAnsi="Arial"/>
          <w:sz w:val="22"/>
          <w:szCs w:val="22"/>
          <w:color w:val="auto"/>
        </w:rPr>
        <w:t>shall mean the U.S. Department of the Treasury’s Office of Foreign Assets Control;</w:t>
      </w:r>
    </w:p>
    <w:p>
      <w:pPr>
        <w:spacing w:after="0" w:line="188"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shall mean the laws, regulations and Executive Orders administered by OFAC, including the Blocked Persons List;</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shall mean the Person who is concerned with the operation of the Vessels and falls within the definition of “Company” set out in rule 1.1.2 of the ISM Code;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shall have the meaning ascribed thereto in the preamble;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shall mean September 28, 2018;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shall have the meaning ascribed thereto in the preamble;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shall have the meaning ascribed thereto in Section 10;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shall have the meaning ascribed thereto in Section 17.9;</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shall mean, with respect to each Tranche, the Initial Payment Date and the dates falling at three (3) month intervals thereafter, the last of which is the Final Payment Date;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shall mean the Pension Benefit Guaranty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has the meaning specified in the definition of “Term SOFR”;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shall have the meaning ascribed thereto in Section 9.2(a);</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shall mean any individual, sole proprietorship, corporation, partnership (general or limited), limited liability company, business trust, bank, trust company, joint venture, association, joint stock company, trust or other unincorporated organization, whether or not a legal entity, or any government or agency or political subdivision thereof;</w:t>
      </w:r>
    </w:p>
    <w:p>
      <w:pPr>
        <w:spacing w:after="0" w:line="200" w:lineRule="exact"/>
        <w:rPr>
          <w:sz w:val="20"/>
          <w:szCs w:val="20"/>
          <w:color w:val="auto"/>
        </w:rPr>
      </w:pP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shall mean any employee benefit plan (other than a Multiemployer Plan) subject to the provisions of Title IV of ERISA or Section 412 of the Code or Section 302 of ERISA, and in respect to which any Security Party or ERISA Affiliate</w:t>
      </w:r>
    </w:p>
    <w:p>
      <w:pPr>
        <w:spacing w:after="0" w:line="266" w:lineRule="exact"/>
        <w:rPr>
          <w:sz w:val="20"/>
          <w:szCs w:val="20"/>
          <w:color w:val="auto"/>
        </w:rPr>
      </w:pPr>
    </w:p>
    <w:p>
      <w:pPr>
        <w:jc w:val="both"/>
        <w:spacing w:after="0"/>
        <w:rPr>
          <w:sz w:val="20"/>
          <w:szCs w:val="20"/>
          <w:color w:val="auto"/>
        </w:rPr>
      </w:pPr>
      <w:r>
        <w:rPr>
          <w:rFonts w:ascii="Arial" w:cs="Arial" w:eastAsia="Arial" w:hAnsi="Arial"/>
          <w:sz w:val="22"/>
          <w:szCs w:val="22"/>
          <w:color w:val="auto"/>
        </w:rPr>
        <w:t>is (or, if such plan were terminated, would under Section 4069 of ERISA be deemed to be) an “employer” as defined in Section 3(5) of ERISA;</w:t>
      </w:r>
    </w:p>
    <w:p>
      <w:pPr>
        <w:spacing w:after="0" w:line="285" w:lineRule="exact"/>
        <w:rPr>
          <w:sz w:val="20"/>
          <w:szCs w:val="20"/>
          <w:color w:val="auto"/>
        </w:rPr>
      </w:pPr>
    </w:p>
    <w:p>
      <w:pPr>
        <w:ind w:left="92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203200</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3900" w:space="600"/>
            <w:col w:w="6640"/>
          </w:cols>
          <w:pgMar w:left="420" w:top="436" w:right="339" w:bottom="1440" w:gutter="0" w:footer="0" w:header="0"/>
        </w:sectPr>
      </w:pPr>
    </w:p>
    <w:bookmarkStart w:id="155" w:name="page156"/>
    <w:bookmarkEnd w:id="155"/>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Pledge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ind w:right="60"/>
        <w:spacing w:after="0" w:line="238" w:lineRule="auto"/>
        <w:rPr>
          <w:sz w:val="20"/>
          <w:szCs w:val="20"/>
          <w:color w:val="auto"/>
        </w:rPr>
      </w:pPr>
      <w:r>
        <w:rPr>
          <w:rFonts w:ascii="Arial" w:cs="Arial" w:eastAsia="Arial" w:hAnsi="Arial"/>
          <w:sz w:val="22"/>
          <w:szCs w:val="22"/>
          <w:color w:val="auto"/>
        </w:rPr>
        <w:t>shall mean the pledge of limited liability company interests of the Borrowers (other than the Holding Company) to be executed by the Holding Company, as the pledgor, in favor of the Security Trustee, substantially in the form set out in Exhibit H;</w:t>
      </w:r>
    </w:p>
    <w:p>
      <w:pPr>
        <w:spacing w:after="0" w:line="200" w:lineRule="exact"/>
        <w:rPr>
          <w:sz w:val="20"/>
          <w:szCs w:val="20"/>
          <w:color w:val="auto"/>
        </w:rPr>
      </w:pPr>
    </w:p>
    <w:p>
      <w:pPr>
        <w:sectPr>
          <w:pgSz w:w="11900" w:h="16838" w:orient="portrait"/>
          <w:cols w:equalWidth="0" w:num="2">
            <w:col w:w="3780" w:space="720"/>
            <w:col w:w="6640"/>
          </w:cols>
          <w:pgMar w:left="420" w:top="409" w:right="339" w:bottom="1135"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Pledged Interests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both"/>
        <w:ind w:right="200"/>
        <w:spacing w:after="0" w:line="297" w:lineRule="auto"/>
        <w:rPr>
          <w:sz w:val="20"/>
          <w:szCs w:val="20"/>
          <w:color w:val="auto"/>
        </w:rPr>
      </w:pPr>
      <w:r>
        <w:rPr>
          <w:rFonts w:ascii="Arial" w:cs="Arial" w:eastAsia="Arial" w:hAnsi="Arial"/>
          <w:sz w:val="19"/>
          <w:szCs w:val="19"/>
          <w:color w:val="auto"/>
        </w:rPr>
        <w:t>shall mean the limited liability company interests of the Borrowers (other than the Holding Company), owned by the Holding Company and pledged to the Security Trustee pursuant to the Pledge Agreement;</w:t>
      </w:r>
    </w:p>
    <w:p>
      <w:pPr>
        <w:spacing w:after="0" w:line="200" w:lineRule="exact"/>
        <w:rPr>
          <w:sz w:val="20"/>
          <w:szCs w:val="20"/>
          <w:color w:val="auto"/>
        </w:rPr>
      </w:pPr>
    </w:p>
    <w:p>
      <w:pPr>
        <w:sectPr>
          <w:pgSz w:w="11900" w:h="16838" w:orient="portrait"/>
          <w:cols w:equalWidth="0" w:num="2">
            <w:col w:w="3780" w:space="720"/>
            <w:col w:w="6640"/>
          </w:cols>
          <w:pgMar w:left="420" w:top="409" w:right="339" w:bottom="1135"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Proceeding</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shall have the meaning ascribed thereto in Section 8.1(i);</w:t>
      </w:r>
    </w:p>
    <w:p>
      <w:pPr>
        <w:spacing w:after="0" w:line="200" w:lineRule="exact"/>
        <w:rPr>
          <w:sz w:val="20"/>
          <w:szCs w:val="20"/>
          <w:color w:val="auto"/>
        </w:rPr>
      </w:pPr>
    </w:p>
    <w:p>
      <w:pPr>
        <w:sectPr>
          <w:pgSz w:w="11900" w:h="16838" w:orient="portrait"/>
          <w:cols w:equalWidth="0" w:num="2">
            <w:col w:w="3780" w:space="720"/>
            <w:col w:w="6640"/>
          </w:cols>
          <w:pgMar w:left="420" w:top="409" w:right="339" w:bottom="1135"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Reference Bank</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both"/>
        <w:spacing w:after="0"/>
        <w:rPr>
          <w:sz w:val="20"/>
          <w:szCs w:val="20"/>
          <w:color w:val="auto"/>
        </w:rPr>
      </w:pPr>
      <w:r>
        <w:rPr>
          <w:rFonts w:ascii="Arial" w:cs="Arial" w:eastAsia="Arial" w:hAnsi="Arial"/>
          <w:sz w:val="22"/>
          <w:szCs w:val="22"/>
          <w:color w:val="auto"/>
        </w:rPr>
        <w:t>shall mean DNB Bank ASA, New York Branch and/or such other banks as may be appointed by the Administrative Agent and consented to by the Borrowers;</w:t>
      </w:r>
    </w:p>
    <w:p>
      <w:pPr>
        <w:spacing w:after="0" w:line="194" w:lineRule="exact"/>
        <w:rPr>
          <w:sz w:val="20"/>
          <w:szCs w:val="20"/>
          <w:color w:val="auto"/>
        </w:rPr>
      </w:pPr>
    </w:p>
    <w:p>
      <w:pPr>
        <w:sectPr>
          <w:pgSz w:w="11900" w:h="16838" w:orient="portrait"/>
          <w:cols w:equalWidth="0" w:num="2">
            <w:col w:w="3780" w:space="720"/>
            <w:col w:w="6640"/>
          </w:cols>
          <w:pgMar w:left="420" w:top="409" w:right="339" w:bottom="1135" w:gutter="0" w:footer="0" w:header="0"/>
          <w:type w:val="continuous"/>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Register</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shall have the meaning ascribed thereto in Section 10;</w:t>
      </w:r>
    </w:p>
    <w:p>
      <w:pPr>
        <w:spacing w:after="0" w:line="200" w:lineRule="exact"/>
        <w:rPr>
          <w:sz w:val="20"/>
          <w:szCs w:val="20"/>
          <w:color w:val="auto"/>
        </w:rPr>
      </w:pPr>
    </w:p>
    <w:p>
      <w:pPr>
        <w:sectPr>
          <w:pgSz w:w="11900" w:h="16838" w:orient="portrait"/>
          <w:cols w:equalWidth="0" w:num="2">
            <w:col w:w="3780" w:space="720"/>
            <w:col w:w="6640"/>
          </w:cols>
          <w:pgMar w:left="420" w:top="409" w:right="339" w:bottom="1135"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Regulation 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shall mean Regulation T of the Board of Governors of the Federal Reserve System, as in effect from time to time;</w:t>
      </w:r>
    </w:p>
    <w:p>
      <w:pPr>
        <w:spacing w:after="0" w:line="182" w:lineRule="exact"/>
        <w:rPr>
          <w:sz w:val="20"/>
          <w:szCs w:val="20"/>
          <w:color w:val="auto"/>
        </w:rPr>
      </w:pPr>
    </w:p>
    <w:p>
      <w:pPr>
        <w:sectPr>
          <w:pgSz w:w="11900" w:h="16838" w:orient="portrait"/>
          <w:cols w:equalWidth="0" w:num="2">
            <w:col w:w="3780" w:space="720"/>
            <w:col w:w="6640"/>
          </w:cols>
          <w:pgMar w:left="420" w:top="409" w:right="339" w:bottom="1135" w:gutter="0" w:footer="0" w:header="0"/>
          <w:type w:val="continuous"/>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Regulation U</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ind w:right="40"/>
        <w:spacing w:after="0" w:line="250" w:lineRule="auto"/>
        <w:rPr>
          <w:sz w:val="20"/>
          <w:szCs w:val="20"/>
          <w:color w:val="auto"/>
        </w:rPr>
      </w:pPr>
      <w:r>
        <w:rPr>
          <w:rFonts w:ascii="Arial" w:cs="Arial" w:eastAsia="Arial" w:hAnsi="Arial"/>
          <w:sz w:val="22"/>
          <w:szCs w:val="22"/>
          <w:color w:val="auto"/>
        </w:rPr>
        <w:t>shall mean Regulation U of the Board of Governors of the Federal Reserve System, as in effect from time to time;</w:t>
      </w:r>
    </w:p>
    <w:p>
      <w:pPr>
        <w:spacing w:after="0" w:line="182" w:lineRule="exact"/>
        <w:rPr>
          <w:sz w:val="20"/>
          <w:szCs w:val="20"/>
          <w:color w:val="auto"/>
        </w:rPr>
      </w:pPr>
    </w:p>
    <w:p>
      <w:pPr>
        <w:sectPr>
          <w:pgSz w:w="11900" w:h="16838" w:orient="portrait"/>
          <w:cols w:equalWidth="0" w:num="2">
            <w:col w:w="3780" w:space="720"/>
            <w:col w:w="6640"/>
          </w:cols>
          <w:pgMar w:left="420" w:top="409" w:right="339" w:bottom="1135" w:gutter="0" w:footer="0" w:header="0"/>
          <w:type w:val="continuous"/>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Regulation X</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ind w:right="40"/>
        <w:spacing w:after="0" w:line="250" w:lineRule="auto"/>
        <w:rPr>
          <w:sz w:val="20"/>
          <w:szCs w:val="20"/>
          <w:color w:val="auto"/>
        </w:rPr>
      </w:pPr>
      <w:r>
        <w:rPr>
          <w:rFonts w:ascii="Arial" w:cs="Arial" w:eastAsia="Arial" w:hAnsi="Arial"/>
          <w:sz w:val="22"/>
          <w:szCs w:val="22"/>
          <w:color w:val="auto"/>
        </w:rPr>
        <w:t>shall mean Regulation X of the Board of Governors of the Federal Reserve System, as in effect from time to time;</w:t>
      </w:r>
    </w:p>
    <w:p>
      <w:pPr>
        <w:spacing w:after="0" w:line="182" w:lineRule="exact"/>
        <w:rPr>
          <w:sz w:val="20"/>
          <w:szCs w:val="20"/>
          <w:color w:val="auto"/>
        </w:rPr>
      </w:pPr>
    </w:p>
    <w:p>
      <w:pPr>
        <w:sectPr>
          <w:pgSz w:w="11900" w:h="16838" w:orient="portrait"/>
          <w:cols w:equalWidth="0" w:num="2">
            <w:col w:w="3780" w:space="720"/>
            <w:col w:w="6640"/>
          </w:cols>
          <w:pgMar w:left="420" w:top="409" w:right="339" w:bottom="1135" w:gutter="0" w:footer="0" w:header="0"/>
          <w:type w:val="continuous"/>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Related Party</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Arial" w:cs="Arial" w:eastAsia="Arial" w:hAnsi="Arial"/>
          <w:sz w:val="22"/>
          <w:szCs w:val="22"/>
          <w:color w:val="auto"/>
        </w:rPr>
        <w:t>shall mean, with respect to any Person, such Person’s Affiliates and the partners, directors, officers, employees, agents and advisors of such Person and of such Person’s Affiliates;</w:t>
      </w:r>
    </w:p>
    <w:p>
      <w:pPr>
        <w:spacing w:after="0" w:line="200" w:lineRule="exact"/>
        <w:rPr>
          <w:sz w:val="20"/>
          <w:szCs w:val="20"/>
          <w:color w:val="auto"/>
        </w:rPr>
      </w:pPr>
    </w:p>
    <w:p>
      <w:pPr>
        <w:sectPr>
          <w:pgSz w:w="11900" w:h="16838" w:orient="portrait"/>
          <w:cols w:equalWidth="0" w:num="2">
            <w:col w:w="3780" w:space="720"/>
            <w:col w:w="6640"/>
          </w:cols>
          <w:pgMar w:left="420" w:top="409" w:right="339" w:bottom="1135"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Relevant Government Body</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shall have the meaning given thereto in Section 6.4(e);</w:t>
      </w:r>
    </w:p>
    <w:p>
      <w:pPr>
        <w:spacing w:after="0" w:line="200" w:lineRule="exact"/>
        <w:rPr>
          <w:sz w:val="20"/>
          <w:szCs w:val="20"/>
          <w:color w:val="auto"/>
        </w:rPr>
      </w:pPr>
    </w:p>
    <w:p>
      <w:pPr>
        <w:sectPr>
          <w:pgSz w:w="11900" w:h="16838" w:orient="portrait"/>
          <w:cols w:equalWidth="0" w:num="2">
            <w:col w:w="3780" w:space="720"/>
            <w:col w:w="6640"/>
          </w:cols>
          <w:pgMar w:left="420" w:top="409" w:right="339" w:bottom="1135"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Repayment Fee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shall have the meaning ascribed thereto in Section 5.7;</w:t>
      </w:r>
    </w:p>
    <w:p>
      <w:pPr>
        <w:spacing w:after="0" w:line="200" w:lineRule="exact"/>
        <w:rPr>
          <w:sz w:val="20"/>
          <w:szCs w:val="20"/>
          <w:color w:val="auto"/>
        </w:rPr>
      </w:pPr>
    </w:p>
    <w:p>
      <w:pPr>
        <w:sectPr>
          <w:pgSz w:w="11900" w:h="16838" w:orient="portrait"/>
          <w:cols w:equalWidth="0" w:num="2">
            <w:col w:w="3780" w:space="720"/>
            <w:col w:w="6640"/>
          </w:cols>
          <w:pgMar w:left="420" w:top="409" w:right="339" w:bottom="1135"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Required Percentage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shall mean one hundred sixty percent (160%);</w:t>
      </w:r>
    </w:p>
    <w:p>
      <w:pPr>
        <w:spacing w:after="0" w:line="200" w:lineRule="exact"/>
        <w:rPr>
          <w:sz w:val="20"/>
          <w:szCs w:val="20"/>
          <w:color w:val="auto"/>
        </w:rPr>
      </w:pPr>
    </w:p>
    <w:p>
      <w:pPr>
        <w:sectPr>
          <w:pgSz w:w="11900" w:h="16838" w:orient="portrait"/>
          <w:cols w:equalWidth="0" w:num="2">
            <w:col w:w="3780" w:space="720"/>
            <w:col w:w="6640"/>
          </w:cols>
          <w:pgMar w:left="420" w:top="409" w:right="339" w:bottom="1135"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Resolution Authority</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780"/>
        <w:spacing w:after="0" w:line="250" w:lineRule="auto"/>
        <w:rPr>
          <w:sz w:val="20"/>
          <w:szCs w:val="20"/>
          <w:color w:val="auto"/>
        </w:rPr>
      </w:pPr>
      <w:r>
        <w:rPr>
          <w:rFonts w:ascii="Arial" w:cs="Arial" w:eastAsia="Arial" w:hAnsi="Arial"/>
          <w:sz w:val="22"/>
          <w:szCs w:val="22"/>
          <w:color w:val="auto"/>
        </w:rPr>
        <w:t>shall mean an EEA Resolution Authority or, with respect to any UK Financial Institution, a UK Resolution Authority;</w:t>
      </w:r>
    </w:p>
    <w:p>
      <w:pPr>
        <w:spacing w:after="0" w:line="182" w:lineRule="exact"/>
        <w:rPr>
          <w:sz w:val="20"/>
          <w:szCs w:val="20"/>
          <w:color w:val="auto"/>
        </w:rPr>
      </w:pPr>
    </w:p>
    <w:p>
      <w:pPr>
        <w:sectPr>
          <w:pgSz w:w="11900" w:h="16838" w:orient="portrait"/>
          <w:cols w:equalWidth="0" w:num="2">
            <w:col w:w="3780" w:space="720"/>
            <w:col w:w="6640"/>
          </w:cols>
          <w:pgMar w:left="420" w:top="409" w:right="339" w:bottom="1135" w:gutter="0" w:footer="0" w:header="0"/>
          <w:type w:val="continuous"/>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Sanctioned Country</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jc w:val="center"/>
        <w:ind w:right="2380"/>
        <w:spacing w:after="0"/>
        <w:rPr>
          <w:sz w:val="20"/>
          <w:szCs w:val="20"/>
          <w:color w:val="auto"/>
        </w:rPr>
      </w:pPr>
      <w:r>
        <w:rPr>
          <w:rFonts w:ascii="Arial" w:cs="Arial" w:eastAsia="Arial" w:hAnsi="Arial"/>
          <w:sz w:val="19"/>
          <w:szCs w:val="19"/>
          <w:color w:val="auto"/>
        </w:rPr>
        <w:t>shall mean a country targeted by Sanctions Laws;</w:t>
      </w:r>
    </w:p>
    <w:p>
      <w:pPr>
        <w:spacing w:after="0" w:line="200" w:lineRule="exact"/>
        <w:rPr>
          <w:sz w:val="20"/>
          <w:szCs w:val="20"/>
          <w:color w:val="auto"/>
        </w:rPr>
      </w:pPr>
    </w:p>
    <w:p>
      <w:pPr>
        <w:sectPr>
          <w:pgSz w:w="11900" w:h="16838" w:orient="portrait"/>
          <w:cols w:equalWidth="0" w:num="2">
            <w:col w:w="3780" w:space="720"/>
            <w:col w:w="6640"/>
          </w:cols>
          <w:pgMar w:left="420" w:top="409" w:right="339" w:bottom="1135"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Sanctions Laws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Arial" w:cs="Arial" w:eastAsia="Arial" w:hAnsi="Arial"/>
          <w:sz w:val="22"/>
          <w:szCs w:val="22"/>
          <w:color w:val="auto"/>
        </w:rPr>
        <w:t>shall mean (i) the U.S. sanctions laws, including the Trading With The Enemy Act, the International Emergency, Economic Powers Act, the Iran Sanctions Act of 1996, as</w:t>
      </w:r>
    </w:p>
    <w:p>
      <w:pPr>
        <w:spacing w:after="0" w:line="200" w:lineRule="exact"/>
        <w:rPr>
          <w:sz w:val="20"/>
          <w:szCs w:val="20"/>
          <w:color w:val="auto"/>
        </w:rPr>
      </w:pPr>
    </w:p>
    <w:p>
      <w:pPr>
        <w:sectPr>
          <w:pgSz w:w="11900" w:h="16838" w:orient="portrait"/>
          <w:cols w:equalWidth="0" w:num="2">
            <w:col w:w="3780" w:space="720"/>
            <w:col w:w="6640"/>
          </w:cols>
          <w:pgMar w:left="420" w:top="409" w:right="339" w:bottom="1135" w:gutter="0" w:footer="0" w:header="0"/>
          <w:type w:val="continuous"/>
        </w:sectPr>
      </w:pPr>
    </w:p>
    <w:p>
      <w:pPr>
        <w:spacing w:after="0" w:line="67" w:lineRule="exact"/>
        <w:rPr>
          <w:sz w:val="20"/>
          <w:szCs w:val="20"/>
          <w:color w:val="auto"/>
        </w:rPr>
      </w:pPr>
    </w:p>
    <w:p>
      <w:pPr>
        <w:jc w:val="both"/>
        <w:ind w:left="4500"/>
        <w:spacing w:after="0" w:line="271" w:lineRule="auto"/>
        <w:rPr>
          <w:sz w:val="20"/>
          <w:szCs w:val="20"/>
          <w:color w:val="auto"/>
        </w:rPr>
      </w:pPr>
      <w:r>
        <w:rPr>
          <w:rFonts w:ascii="Arial" w:cs="Arial" w:eastAsia="Arial" w:hAnsi="Arial"/>
          <w:sz w:val="19"/>
          <w:szCs w:val="19"/>
          <w:color w:val="auto"/>
        </w:rPr>
        <w:t>amended, the Comprehensive Iran Sanctions, Accountability, and Divestment Act of 2010, the National Defense Authorization Act of 2012 (including the Iran Freedom Counter-Proliferation Act), the Iran Threat Reduction and Syria Human Rights Act of 2012, the OFAC Sanctions Programs (including the Blocked Persons List), and (ii) any other similar or equivalent U.S. or non-U.S. economic or financial sanctions, regulations, trade embargoes or other restrictive measures administered by any other Governmental Authority that are applicable to (A) a Security Party or any Affiliate thereof in the operation of its business or (B) a Lender and have been designated as a “Sanctions Laws” by the Administrative Agent (acting on the request of such Lender) but only to the extent that compliance with such sanctions, regulations, trade embargoes or other restrictive measures so designated does not conflict with any of the provisions listed in (i) and (ii)(A) hereof;</w:t>
      </w:r>
    </w:p>
    <w:p>
      <w:pPr>
        <w:sectPr>
          <w:pgSz w:w="11900" w:h="16838" w:orient="portrait"/>
          <w:cols w:equalWidth="0" w:num="1">
            <w:col w:w="11140"/>
          </w:cols>
          <w:pgMar w:left="420" w:top="409" w:right="339" w:bottom="1135" w:gutter="0" w:footer="0" w:header="0"/>
          <w:type w:val="continuous"/>
        </w:sectPr>
      </w:pPr>
    </w:p>
    <w:bookmarkStart w:id="156" w:name="page157"/>
    <w:bookmarkEnd w:id="156"/>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233680</wp:posOffset>
            </wp:positionV>
            <wp:extent cx="71748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53"/>
        </w:trPr>
        <w:tc>
          <w:tcPr>
            <w:tcW w:w="412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SEACOR BRAVE</w:t>
            </w:r>
            <w:r>
              <w:rPr>
                <w:rFonts w:ascii="Arial" w:cs="Arial" w:eastAsia="Arial" w:hAnsi="Arial"/>
                <w:sz w:val="22"/>
                <w:szCs w:val="22"/>
                <w:color w:val="auto"/>
              </w:rPr>
              <w:t>”</w:t>
            </w:r>
          </w:p>
        </w:tc>
        <w:tc>
          <w:tcPr>
            <w:tcW w:w="7140" w:type="dxa"/>
            <w:vAlign w:val="bottom"/>
          </w:tcPr>
          <w:p>
            <w:pPr>
              <w:ind w:left="480"/>
              <w:spacing w:after="0"/>
              <w:rPr>
                <w:sz w:val="20"/>
                <w:szCs w:val="20"/>
                <w:color w:val="auto"/>
              </w:rPr>
            </w:pPr>
            <w:r>
              <w:rPr>
                <w:rFonts w:ascii="Arial" w:cs="Arial" w:eastAsia="Arial" w:hAnsi="Arial"/>
                <w:sz w:val="22"/>
                <w:szCs w:val="22"/>
                <w:color w:val="auto"/>
                <w:w w:val="90"/>
              </w:rPr>
              <w:t>shall mean that offshore support vessel: (i) owned or to be owned by Brave,</w:t>
            </w:r>
          </w:p>
        </w:tc>
      </w:tr>
      <w:tr>
        <w:trPr>
          <w:trHeight w:val="243"/>
        </w:trPr>
        <w:tc>
          <w:tcPr>
            <w:tcW w:w="4120" w:type="dxa"/>
            <w:vAlign w:val="bottom"/>
          </w:tcPr>
          <w:p>
            <w:pPr>
              <w:spacing w:after="0"/>
              <w:rPr>
                <w:sz w:val="21"/>
                <w:szCs w:val="21"/>
                <w:color w:val="auto"/>
              </w:rPr>
            </w:pPr>
          </w:p>
        </w:tc>
        <w:tc>
          <w:tcPr>
            <w:tcW w:w="7140" w:type="dxa"/>
            <w:vAlign w:val="bottom"/>
          </w:tcPr>
          <w:p>
            <w:pPr>
              <w:ind w:left="480"/>
              <w:spacing w:after="0" w:line="243" w:lineRule="exact"/>
              <w:rPr>
                <w:sz w:val="20"/>
                <w:szCs w:val="20"/>
                <w:color w:val="auto"/>
              </w:rPr>
            </w:pPr>
            <w:r>
              <w:rPr>
                <w:rFonts w:ascii="Arial" w:cs="Arial" w:eastAsia="Arial" w:hAnsi="Arial"/>
                <w:sz w:val="22"/>
                <w:szCs w:val="22"/>
                <w:color w:val="auto"/>
              </w:rPr>
              <w:t>(ii) built by the Builder, (iii) having Official Number 1255577 and (iv)</w:t>
            </w:r>
          </w:p>
        </w:tc>
      </w:tr>
      <w:tr>
        <w:trPr>
          <w:trHeight w:val="243"/>
        </w:trPr>
        <w:tc>
          <w:tcPr>
            <w:tcW w:w="4120" w:type="dxa"/>
            <w:vAlign w:val="bottom"/>
          </w:tcPr>
          <w:p>
            <w:pPr>
              <w:spacing w:after="0"/>
              <w:rPr>
                <w:sz w:val="21"/>
                <w:szCs w:val="21"/>
                <w:color w:val="auto"/>
              </w:rPr>
            </w:pPr>
          </w:p>
        </w:tc>
        <w:tc>
          <w:tcPr>
            <w:tcW w:w="7140" w:type="dxa"/>
            <w:vAlign w:val="bottom"/>
          </w:tcPr>
          <w:p>
            <w:pPr>
              <w:ind w:left="480"/>
              <w:spacing w:after="0" w:line="243" w:lineRule="exact"/>
              <w:rPr>
                <w:sz w:val="20"/>
                <w:szCs w:val="20"/>
                <w:color w:val="auto"/>
              </w:rPr>
            </w:pPr>
            <w:r>
              <w:rPr>
                <w:rFonts w:ascii="Arial" w:cs="Arial" w:eastAsia="Arial" w:hAnsi="Arial"/>
                <w:sz w:val="22"/>
                <w:szCs w:val="22"/>
                <w:color w:val="auto"/>
                <w:w w:val="92"/>
              </w:rPr>
              <w:t>flagged under United States flag or such other flag that is approved by the</w:t>
            </w:r>
          </w:p>
        </w:tc>
      </w:tr>
      <w:tr>
        <w:trPr>
          <w:trHeight w:val="274"/>
        </w:trPr>
        <w:tc>
          <w:tcPr>
            <w:tcW w:w="4120" w:type="dxa"/>
            <w:vAlign w:val="bottom"/>
          </w:tcPr>
          <w:p>
            <w:pPr>
              <w:spacing w:after="0"/>
              <w:rPr>
                <w:sz w:val="23"/>
                <w:szCs w:val="23"/>
                <w:color w:val="auto"/>
              </w:rPr>
            </w:pPr>
          </w:p>
        </w:tc>
        <w:tc>
          <w:tcPr>
            <w:tcW w:w="7140" w:type="dxa"/>
            <w:vAlign w:val="bottom"/>
          </w:tcPr>
          <w:p>
            <w:pPr>
              <w:ind w:left="480"/>
              <w:spacing w:after="0"/>
              <w:rPr>
                <w:sz w:val="20"/>
                <w:szCs w:val="20"/>
                <w:color w:val="auto"/>
              </w:rPr>
            </w:pPr>
            <w:r>
              <w:rPr>
                <w:rFonts w:ascii="Arial" w:cs="Arial" w:eastAsia="Arial" w:hAnsi="Arial"/>
                <w:sz w:val="22"/>
                <w:szCs w:val="22"/>
                <w:color w:val="auto"/>
              </w:rPr>
              <w:t>Majority Lenders with the name SEACOR BRAVE;</w:t>
            </w:r>
          </w:p>
        </w:tc>
      </w:tr>
      <w:tr>
        <w:trPr>
          <w:trHeight w:val="698"/>
        </w:trPr>
        <w:tc>
          <w:tcPr>
            <w:tcW w:w="412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SEACOR CHIEF</w:t>
            </w:r>
            <w:r>
              <w:rPr>
                <w:rFonts w:ascii="Arial" w:cs="Arial" w:eastAsia="Arial" w:hAnsi="Arial"/>
                <w:sz w:val="22"/>
                <w:szCs w:val="22"/>
                <w:color w:val="auto"/>
              </w:rPr>
              <w:t>”</w:t>
            </w:r>
          </w:p>
        </w:tc>
        <w:tc>
          <w:tcPr>
            <w:tcW w:w="7140" w:type="dxa"/>
            <w:vAlign w:val="bottom"/>
          </w:tcPr>
          <w:p>
            <w:pPr>
              <w:ind w:left="480"/>
              <w:spacing w:after="0"/>
              <w:rPr>
                <w:sz w:val="20"/>
                <w:szCs w:val="20"/>
                <w:color w:val="auto"/>
              </w:rPr>
            </w:pPr>
            <w:r>
              <w:rPr>
                <w:rFonts w:ascii="Arial" w:cs="Arial" w:eastAsia="Arial" w:hAnsi="Arial"/>
                <w:sz w:val="22"/>
                <w:szCs w:val="22"/>
                <w:color w:val="auto"/>
                <w:w w:val="90"/>
              </w:rPr>
              <w:t>shall mean that offshore support vessel: (i) owned or to be owned by Chief,</w:t>
            </w:r>
          </w:p>
        </w:tc>
      </w:tr>
      <w:tr>
        <w:trPr>
          <w:trHeight w:val="243"/>
        </w:trPr>
        <w:tc>
          <w:tcPr>
            <w:tcW w:w="4120" w:type="dxa"/>
            <w:vAlign w:val="bottom"/>
          </w:tcPr>
          <w:p>
            <w:pPr>
              <w:spacing w:after="0"/>
              <w:rPr>
                <w:sz w:val="21"/>
                <w:szCs w:val="21"/>
                <w:color w:val="auto"/>
              </w:rPr>
            </w:pPr>
          </w:p>
        </w:tc>
        <w:tc>
          <w:tcPr>
            <w:tcW w:w="7140" w:type="dxa"/>
            <w:vAlign w:val="bottom"/>
          </w:tcPr>
          <w:p>
            <w:pPr>
              <w:ind w:left="480"/>
              <w:spacing w:after="0" w:line="243" w:lineRule="exact"/>
              <w:rPr>
                <w:sz w:val="20"/>
                <w:szCs w:val="20"/>
                <w:color w:val="auto"/>
              </w:rPr>
            </w:pPr>
            <w:r>
              <w:rPr>
                <w:rFonts w:ascii="Arial" w:cs="Arial" w:eastAsia="Arial" w:hAnsi="Arial"/>
                <w:sz w:val="22"/>
                <w:szCs w:val="22"/>
                <w:color w:val="auto"/>
              </w:rPr>
              <w:t xml:space="preserve">(ii) built by the Builder, (iii) having Official Number </w:t>
            </w:r>
            <w:r>
              <w:rPr>
                <w:rFonts w:ascii="Arial" w:cs="Arial" w:eastAsia="Arial" w:hAnsi="Arial"/>
                <w:sz w:val="22"/>
                <w:szCs w:val="22"/>
                <w:color w:val="1F487C"/>
              </w:rPr>
              <w:t>1257898</w:t>
            </w:r>
            <w:r>
              <w:rPr>
                <w:rFonts w:ascii="Arial" w:cs="Arial" w:eastAsia="Arial" w:hAnsi="Arial"/>
                <w:sz w:val="22"/>
                <w:szCs w:val="22"/>
                <w:color w:val="auto"/>
              </w:rPr>
              <w:t xml:space="preserve"> and (iv)</w:t>
            </w:r>
          </w:p>
        </w:tc>
      </w:tr>
      <w:tr>
        <w:trPr>
          <w:trHeight w:val="243"/>
        </w:trPr>
        <w:tc>
          <w:tcPr>
            <w:tcW w:w="4120" w:type="dxa"/>
            <w:vAlign w:val="bottom"/>
          </w:tcPr>
          <w:p>
            <w:pPr>
              <w:spacing w:after="0"/>
              <w:rPr>
                <w:sz w:val="21"/>
                <w:szCs w:val="21"/>
                <w:color w:val="auto"/>
              </w:rPr>
            </w:pPr>
          </w:p>
        </w:tc>
        <w:tc>
          <w:tcPr>
            <w:tcW w:w="7140" w:type="dxa"/>
            <w:vAlign w:val="bottom"/>
          </w:tcPr>
          <w:p>
            <w:pPr>
              <w:ind w:left="480"/>
              <w:spacing w:after="0" w:line="243" w:lineRule="exact"/>
              <w:rPr>
                <w:sz w:val="20"/>
                <w:szCs w:val="20"/>
                <w:color w:val="auto"/>
              </w:rPr>
            </w:pPr>
            <w:r>
              <w:rPr>
                <w:rFonts w:ascii="Arial" w:cs="Arial" w:eastAsia="Arial" w:hAnsi="Arial"/>
                <w:sz w:val="22"/>
                <w:szCs w:val="22"/>
                <w:color w:val="auto"/>
                <w:w w:val="92"/>
              </w:rPr>
              <w:t>flagged under United States flag or such other flag that is approved by the</w:t>
            </w:r>
          </w:p>
        </w:tc>
      </w:tr>
      <w:tr>
        <w:trPr>
          <w:trHeight w:val="274"/>
        </w:trPr>
        <w:tc>
          <w:tcPr>
            <w:tcW w:w="4120" w:type="dxa"/>
            <w:vAlign w:val="bottom"/>
          </w:tcPr>
          <w:p>
            <w:pPr>
              <w:spacing w:after="0"/>
              <w:rPr>
                <w:sz w:val="23"/>
                <w:szCs w:val="23"/>
                <w:color w:val="auto"/>
              </w:rPr>
            </w:pPr>
          </w:p>
        </w:tc>
        <w:tc>
          <w:tcPr>
            <w:tcW w:w="7140" w:type="dxa"/>
            <w:vAlign w:val="bottom"/>
          </w:tcPr>
          <w:p>
            <w:pPr>
              <w:ind w:left="480"/>
              <w:spacing w:after="0"/>
              <w:rPr>
                <w:sz w:val="20"/>
                <w:szCs w:val="20"/>
                <w:color w:val="auto"/>
              </w:rPr>
            </w:pPr>
            <w:r>
              <w:rPr>
                <w:rFonts w:ascii="Arial" w:cs="Arial" w:eastAsia="Arial" w:hAnsi="Arial"/>
                <w:sz w:val="22"/>
                <w:szCs w:val="22"/>
                <w:color w:val="auto"/>
              </w:rPr>
              <w:t>Majority Lenders with the name SEACOR CHIEF;</w:t>
            </w:r>
          </w:p>
        </w:tc>
      </w:tr>
      <w:tr>
        <w:trPr>
          <w:trHeight w:val="698"/>
        </w:trPr>
        <w:tc>
          <w:tcPr>
            <w:tcW w:w="412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SEACOR COURAGEOUS</w:t>
            </w:r>
            <w:r>
              <w:rPr>
                <w:rFonts w:ascii="Arial" w:cs="Arial" w:eastAsia="Arial" w:hAnsi="Arial"/>
                <w:sz w:val="22"/>
                <w:szCs w:val="22"/>
                <w:color w:val="auto"/>
              </w:rPr>
              <w:t>”</w:t>
            </w:r>
          </w:p>
        </w:tc>
        <w:tc>
          <w:tcPr>
            <w:tcW w:w="7140" w:type="dxa"/>
            <w:vAlign w:val="bottom"/>
          </w:tcPr>
          <w:p>
            <w:pPr>
              <w:ind w:left="480"/>
              <w:spacing w:after="0"/>
              <w:rPr>
                <w:sz w:val="20"/>
                <w:szCs w:val="20"/>
                <w:color w:val="auto"/>
              </w:rPr>
            </w:pPr>
            <w:r>
              <w:rPr>
                <w:rFonts w:ascii="Arial" w:cs="Arial" w:eastAsia="Arial" w:hAnsi="Arial"/>
                <w:sz w:val="22"/>
                <w:szCs w:val="22"/>
                <w:color w:val="auto"/>
                <w:w w:val="99"/>
              </w:rPr>
              <w:t>shall mean that offshore support vessel: (i) owned or to be owned by</w:t>
            </w:r>
          </w:p>
        </w:tc>
      </w:tr>
      <w:tr>
        <w:trPr>
          <w:trHeight w:val="243"/>
        </w:trPr>
        <w:tc>
          <w:tcPr>
            <w:tcW w:w="4120" w:type="dxa"/>
            <w:vAlign w:val="bottom"/>
          </w:tcPr>
          <w:p>
            <w:pPr>
              <w:spacing w:after="0"/>
              <w:rPr>
                <w:sz w:val="21"/>
                <w:szCs w:val="21"/>
                <w:color w:val="auto"/>
              </w:rPr>
            </w:pPr>
          </w:p>
        </w:tc>
        <w:tc>
          <w:tcPr>
            <w:tcW w:w="7140" w:type="dxa"/>
            <w:vAlign w:val="bottom"/>
          </w:tcPr>
          <w:p>
            <w:pPr>
              <w:ind w:left="480"/>
              <w:spacing w:after="0" w:line="243" w:lineRule="exact"/>
              <w:rPr>
                <w:sz w:val="20"/>
                <w:szCs w:val="20"/>
                <w:color w:val="auto"/>
              </w:rPr>
            </w:pPr>
            <w:r>
              <w:rPr>
                <w:rFonts w:ascii="Arial" w:cs="Arial" w:eastAsia="Arial" w:hAnsi="Arial"/>
                <w:sz w:val="22"/>
                <w:szCs w:val="22"/>
                <w:color w:val="auto"/>
                <w:w w:val="93"/>
              </w:rPr>
              <w:t>Courageous, (ii) built by the Builder, (iii) having Official Number 8056 and</w:t>
            </w:r>
          </w:p>
        </w:tc>
      </w:tr>
      <w:tr>
        <w:trPr>
          <w:trHeight w:val="243"/>
        </w:trPr>
        <w:tc>
          <w:tcPr>
            <w:tcW w:w="4120" w:type="dxa"/>
            <w:vAlign w:val="bottom"/>
          </w:tcPr>
          <w:p>
            <w:pPr>
              <w:spacing w:after="0"/>
              <w:rPr>
                <w:sz w:val="21"/>
                <w:szCs w:val="21"/>
                <w:color w:val="auto"/>
              </w:rPr>
            </w:pPr>
          </w:p>
        </w:tc>
        <w:tc>
          <w:tcPr>
            <w:tcW w:w="7140" w:type="dxa"/>
            <w:vAlign w:val="bottom"/>
          </w:tcPr>
          <w:p>
            <w:pPr>
              <w:ind w:left="480"/>
              <w:spacing w:after="0" w:line="243" w:lineRule="exact"/>
              <w:rPr>
                <w:sz w:val="20"/>
                <w:szCs w:val="20"/>
                <w:color w:val="auto"/>
              </w:rPr>
            </w:pPr>
            <w:r>
              <w:rPr>
                <w:rFonts w:ascii="Arial" w:cs="Arial" w:eastAsia="Arial" w:hAnsi="Arial"/>
                <w:sz w:val="22"/>
                <w:szCs w:val="22"/>
                <w:color w:val="auto"/>
              </w:rPr>
              <w:t>(iv) flagged under the Marshall Islands flag or such other flag that is</w:t>
            </w:r>
          </w:p>
        </w:tc>
      </w:tr>
      <w:tr>
        <w:trPr>
          <w:trHeight w:val="243"/>
        </w:trPr>
        <w:tc>
          <w:tcPr>
            <w:tcW w:w="4120" w:type="dxa"/>
            <w:vAlign w:val="bottom"/>
          </w:tcPr>
          <w:p>
            <w:pPr>
              <w:spacing w:after="0"/>
              <w:rPr>
                <w:sz w:val="21"/>
                <w:szCs w:val="21"/>
                <w:color w:val="auto"/>
              </w:rPr>
            </w:pPr>
          </w:p>
        </w:tc>
        <w:tc>
          <w:tcPr>
            <w:tcW w:w="7140" w:type="dxa"/>
            <w:vAlign w:val="bottom"/>
          </w:tcPr>
          <w:p>
            <w:pPr>
              <w:ind w:left="480"/>
              <w:spacing w:after="0" w:line="243" w:lineRule="exact"/>
              <w:rPr>
                <w:sz w:val="20"/>
                <w:szCs w:val="20"/>
                <w:color w:val="auto"/>
              </w:rPr>
            </w:pPr>
            <w:r>
              <w:rPr>
                <w:rFonts w:ascii="Arial" w:cs="Arial" w:eastAsia="Arial" w:hAnsi="Arial"/>
                <w:sz w:val="22"/>
                <w:szCs w:val="22"/>
                <w:color w:val="auto"/>
              </w:rPr>
              <w:t>approved  by  the  Majority  Lenders  with  the  name  SEACOR</w:t>
            </w:r>
          </w:p>
        </w:tc>
      </w:tr>
      <w:tr>
        <w:trPr>
          <w:trHeight w:val="274"/>
        </w:trPr>
        <w:tc>
          <w:tcPr>
            <w:tcW w:w="4120" w:type="dxa"/>
            <w:vAlign w:val="bottom"/>
          </w:tcPr>
          <w:p>
            <w:pPr>
              <w:spacing w:after="0"/>
              <w:rPr>
                <w:sz w:val="23"/>
                <w:szCs w:val="23"/>
                <w:color w:val="auto"/>
              </w:rPr>
            </w:pPr>
          </w:p>
        </w:tc>
        <w:tc>
          <w:tcPr>
            <w:tcW w:w="7140" w:type="dxa"/>
            <w:vAlign w:val="bottom"/>
          </w:tcPr>
          <w:p>
            <w:pPr>
              <w:ind w:left="480"/>
              <w:spacing w:after="0"/>
              <w:rPr>
                <w:sz w:val="20"/>
                <w:szCs w:val="20"/>
                <w:color w:val="auto"/>
              </w:rPr>
            </w:pPr>
            <w:r>
              <w:rPr>
                <w:rFonts w:ascii="Arial" w:cs="Arial" w:eastAsia="Arial" w:hAnsi="Arial"/>
                <w:sz w:val="22"/>
                <w:szCs w:val="22"/>
                <w:color w:val="auto"/>
              </w:rPr>
              <w:t>COURAGEOUS;</w:t>
            </w:r>
          </w:p>
        </w:tc>
      </w:tr>
      <w:tr>
        <w:trPr>
          <w:trHeight w:val="455"/>
        </w:trPr>
        <w:tc>
          <w:tcPr>
            <w:tcW w:w="412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SEACOR FEARLESS</w:t>
            </w:r>
            <w:r>
              <w:rPr>
                <w:rFonts w:ascii="Arial" w:cs="Arial" w:eastAsia="Arial" w:hAnsi="Arial"/>
                <w:sz w:val="22"/>
                <w:szCs w:val="22"/>
                <w:color w:val="auto"/>
              </w:rPr>
              <w:t>”</w:t>
            </w:r>
          </w:p>
        </w:tc>
        <w:tc>
          <w:tcPr>
            <w:tcW w:w="7140" w:type="dxa"/>
            <w:vAlign w:val="bottom"/>
          </w:tcPr>
          <w:p>
            <w:pPr>
              <w:ind w:left="480"/>
              <w:spacing w:after="0"/>
              <w:rPr>
                <w:sz w:val="20"/>
                <w:szCs w:val="20"/>
                <w:color w:val="auto"/>
              </w:rPr>
            </w:pPr>
            <w:r>
              <w:rPr>
                <w:rFonts w:ascii="Arial" w:cs="Arial" w:eastAsia="Arial" w:hAnsi="Arial"/>
                <w:sz w:val="22"/>
                <w:szCs w:val="22"/>
                <w:color w:val="auto"/>
                <w:w w:val="99"/>
              </w:rPr>
              <w:t>shall mean that offshore support vessel: (i) owned or to be owned by</w:t>
            </w:r>
          </w:p>
        </w:tc>
      </w:tr>
      <w:tr>
        <w:trPr>
          <w:trHeight w:val="243"/>
        </w:trPr>
        <w:tc>
          <w:tcPr>
            <w:tcW w:w="4120" w:type="dxa"/>
            <w:vAlign w:val="bottom"/>
          </w:tcPr>
          <w:p>
            <w:pPr>
              <w:spacing w:after="0"/>
              <w:rPr>
                <w:sz w:val="21"/>
                <w:szCs w:val="21"/>
                <w:color w:val="auto"/>
              </w:rPr>
            </w:pPr>
          </w:p>
        </w:tc>
        <w:tc>
          <w:tcPr>
            <w:tcW w:w="7140" w:type="dxa"/>
            <w:vAlign w:val="bottom"/>
          </w:tcPr>
          <w:p>
            <w:pPr>
              <w:ind w:left="480"/>
              <w:spacing w:after="0" w:line="243" w:lineRule="exact"/>
              <w:rPr>
                <w:sz w:val="20"/>
                <w:szCs w:val="20"/>
                <w:color w:val="auto"/>
              </w:rPr>
            </w:pPr>
            <w:r>
              <w:rPr>
                <w:rFonts w:ascii="Arial" w:cs="Arial" w:eastAsia="Arial" w:hAnsi="Arial"/>
                <w:sz w:val="22"/>
                <w:szCs w:val="22"/>
                <w:color w:val="auto"/>
                <w:w w:val="93"/>
              </w:rPr>
              <w:t>Fearless, (ii) built by the Builder, (iii) having Official Number 1250470 and</w:t>
            </w:r>
          </w:p>
        </w:tc>
      </w:tr>
      <w:tr>
        <w:trPr>
          <w:trHeight w:val="243"/>
        </w:trPr>
        <w:tc>
          <w:tcPr>
            <w:tcW w:w="4120" w:type="dxa"/>
            <w:vAlign w:val="bottom"/>
          </w:tcPr>
          <w:p>
            <w:pPr>
              <w:spacing w:after="0"/>
              <w:rPr>
                <w:sz w:val="21"/>
                <w:szCs w:val="21"/>
                <w:color w:val="auto"/>
              </w:rPr>
            </w:pPr>
          </w:p>
        </w:tc>
        <w:tc>
          <w:tcPr>
            <w:tcW w:w="7140" w:type="dxa"/>
            <w:vAlign w:val="bottom"/>
          </w:tcPr>
          <w:p>
            <w:pPr>
              <w:ind w:left="480"/>
              <w:spacing w:after="0" w:line="243" w:lineRule="exact"/>
              <w:rPr>
                <w:sz w:val="20"/>
                <w:szCs w:val="20"/>
                <w:color w:val="auto"/>
              </w:rPr>
            </w:pPr>
            <w:r>
              <w:rPr>
                <w:rFonts w:ascii="Arial" w:cs="Arial" w:eastAsia="Arial" w:hAnsi="Arial"/>
                <w:sz w:val="22"/>
                <w:szCs w:val="22"/>
                <w:color w:val="auto"/>
                <w:w w:val="92"/>
              </w:rPr>
              <w:t>(iv) flagged under United States flag or such other flag that is approved by</w:t>
            </w:r>
          </w:p>
        </w:tc>
      </w:tr>
      <w:tr>
        <w:trPr>
          <w:trHeight w:val="274"/>
        </w:trPr>
        <w:tc>
          <w:tcPr>
            <w:tcW w:w="4120" w:type="dxa"/>
            <w:vAlign w:val="bottom"/>
          </w:tcPr>
          <w:p>
            <w:pPr>
              <w:spacing w:after="0"/>
              <w:rPr>
                <w:sz w:val="23"/>
                <w:szCs w:val="23"/>
                <w:color w:val="auto"/>
              </w:rPr>
            </w:pPr>
          </w:p>
        </w:tc>
        <w:tc>
          <w:tcPr>
            <w:tcW w:w="7140" w:type="dxa"/>
            <w:vAlign w:val="bottom"/>
          </w:tcPr>
          <w:p>
            <w:pPr>
              <w:ind w:left="480"/>
              <w:spacing w:after="0"/>
              <w:rPr>
                <w:sz w:val="20"/>
                <w:szCs w:val="20"/>
                <w:color w:val="auto"/>
              </w:rPr>
            </w:pPr>
            <w:r>
              <w:rPr>
                <w:rFonts w:ascii="Arial" w:cs="Arial" w:eastAsia="Arial" w:hAnsi="Arial"/>
                <w:sz w:val="22"/>
                <w:szCs w:val="22"/>
                <w:color w:val="auto"/>
              </w:rPr>
              <w:t>the Majority Lenders with the name SEACOR FEARLESS;</w:t>
            </w:r>
          </w:p>
        </w:tc>
      </w:tr>
      <w:tr>
        <w:trPr>
          <w:trHeight w:val="671"/>
        </w:trPr>
        <w:tc>
          <w:tcPr>
            <w:tcW w:w="412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SEACOR RESOLUTE</w:t>
            </w:r>
            <w:r>
              <w:rPr>
                <w:rFonts w:ascii="Arial" w:cs="Arial" w:eastAsia="Arial" w:hAnsi="Arial"/>
                <w:sz w:val="22"/>
                <w:szCs w:val="22"/>
                <w:color w:val="auto"/>
              </w:rPr>
              <w:t>”</w:t>
            </w:r>
          </w:p>
        </w:tc>
        <w:tc>
          <w:tcPr>
            <w:tcW w:w="7140" w:type="dxa"/>
            <w:vAlign w:val="bottom"/>
          </w:tcPr>
          <w:p>
            <w:pPr>
              <w:ind w:left="480"/>
              <w:spacing w:after="0"/>
              <w:rPr>
                <w:sz w:val="20"/>
                <w:szCs w:val="20"/>
                <w:color w:val="auto"/>
              </w:rPr>
            </w:pPr>
            <w:r>
              <w:rPr>
                <w:rFonts w:ascii="Arial" w:cs="Arial" w:eastAsia="Arial" w:hAnsi="Arial"/>
                <w:sz w:val="22"/>
                <w:szCs w:val="22"/>
                <w:color w:val="auto"/>
                <w:w w:val="99"/>
              </w:rPr>
              <w:t>shall mean that offshore support vessel: (i) owned or to be owned by</w:t>
            </w:r>
          </w:p>
        </w:tc>
      </w:tr>
      <w:tr>
        <w:trPr>
          <w:trHeight w:val="243"/>
        </w:trPr>
        <w:tc>
          <w:tcPr>
            <w:tcW w:w="4120" w:type="dxa"/>
            <w:vAlign w:val="bottom"/>
          </w:tcPr>
          <w:p>
            <w:pPr>
              <w:spacing w:after="0"/>
              <w:rPr>
                <w:sz w:val="21"/>
                <w:szCs w:val="21"/>
                <w:color w:val="auto"/>
              </w:rPr>
            </w:pPr>
          </w:p>
        </w:tc>
        <w:tc>
          <w:tcPr>
            <w:tcW w:w="7140" w:type="dxa"/>
            <w:vAlign w:val="bottom"/>
          </w:tcPr>
          <w:p>
            <w:pPr>
              <w:ind w:left="480"/>
              <w:spacing w:after="0" w:line="243" w:lineRule="exact"/>
              <w:rPr>
                <w:sz w:val="20"/>
                <w:szCs w:val="20"/>
                <w:color w:val="auto"/>
              </w:rPr>
            </w:pPr>
            <w:r>
              <w:rPr>
                <w:rFonts w:ascii="Arial" w:cs="Arial" w:eastAsia="Arial" w:hAnsi="Arial"/>
                <w:sz w:val="22"/>
                <w:szCs w:val="22"/>
                <w:color w:val="auto"/>
                <w:w w:val="92"/>
              </w:rPr>
              <w:t>Resolute, (ii) built by the Builder, (iii) having Official Number 8057 and (iv)</w:t>
            </w:r>
          </w:p>
        </w:tc>
      </w:tr>
      <w:tr>
        <w:trPr>
          <w:trHeight w:val="243"/>
        </w:trPr>
        <w:tc>
          <w:tcPr>
            <w:tcW w:w="4120" w:type="dxa"/>
            <w:vAlign w:val="bottom"/>
          </w:tcPr>
          <w:p>
            <w:pPr>
              <w:spacing w:after="0"/>
              <w:rPr>
                <w:sz w:val="21"/>
                <w:szCs w:val="21"/>
                <w:color w:val="auto"/>
              </w:rPr>
            </w:pPr>
          </w:p>
        </w:tc>
        <w:tc>
          <w:tcPr>
            <w:tcW w:w="7140" w:type="dxa"/>
            <w:vAlign w:val="bottom"/>
          </w:tcPr>
          <w:p>
            <w:pPr>
              <w:ind w:left="480"/>
              <w:spacing w:after="0" w:line="243" w:lineRule="exact"/>
              <w:rPr>
                <w:sz w:val="20"/>
                <w:szCs w:val="20"/>
                <w:color w:val="auto"/>
              </w:rPr>
            </w:pPr>
            <w:r>
              <w:rPr>
                <w:rFonts w:ascii="Arial" w:cs="Arial" w:eastAsia="Arial" w:hAnsi="Arial"/>
                <w:sz w:val="22"/>
                <w:szCs w:val="22"/>
                <w:color w:val="auto"/>
                <w:w w:val="97"/>
              </w:rPr>
              <w:t>flagged under the Marshall Islands flag or under such other flag that is</w:t>
            </w:r>
          </w:p>
        </w:tc>
      </w:tr>
      <w:tr>
        <w:trPr>
          <w:trHeight w:val="274"/>
        </w:trPr>
        <w:tc>
          <w:tcPr>
            <w:tcW w:w="4120" w:type="dxa"/>
            <w:vAlign w:val="bottom"/>
          </w:tcPr>
          <w:p>
            <w:pPr>
              <w:spacing w:after="0"/>
              <w:rPr>
                <w:sz w:val="23"/>
                <w:szCs w:val="23"/>
                <w:color w:val="auto"/>
              </w:rPr>
            </w:pPr>
          </w:p>
        </w:tc>
        <w:tc>
          <w:tcPr>
            <w:tcW w:w="7140" w:type="dxa"/>
            <w:vAlign w:val="bottom"/>
          </w:tcPr>
          <w:p>
            <w:pPr>
              <w:ind w:left="480"/>
              <w:spacing w:after="0"/>
              <w:rPr>
                <w:sz w:val="20"/>
                <w:szCs w:val="20"/>
                <w:color w:val="auto"/>
              </w:rPr>
            </w:pPr>
            <w:r>
              <w:rPr>
                <w:rFonts w:ascii="Arial" w:cs="Arial" w:eastAsia="Arial" w:hAnsi="Arial"/>
                <w:sz w:val="22"/>
                <w:szCs w:val="22"/>
                <w:color w:val="auto"/>
                <w:w w:val="94"/>
              </w:rPr>
              <w:t>approved by the Majority Lenders with the name SEACOR RESOLUTE;</w:t>
            </w:r>
          </w:p>
        </w:tc>
      </w:tr>
      <w:tr>
        <w:trPr>
          <w:trHeight w:val="796"/>
        </w:trPr>
        <w:tc>
          <w:tcPr>
            <w:tcW w:w="4120" w:type="dxa"/>
            <w:vAlign w:val="bottom"/>
          </w:tcPr>
          <w:p>
            <w:pPr>
              <w:ind w:left="100"/>
              <w:spacing w:after="0"/>
              <w:rPr>
                <w:sz w:val="20"/>
                <w:szCs w:val="20"/>
                <w:color w:val="auto"/>
              </w:rPr>
            </w:pPr>
            <w:r>
              <w:rPr>
                <w:rFonts w:ascii="Arial" w:cs="Arial" w:eastAsia="Arial" w:hAnsi="Arial"/>
                <w:sz w:val="22"/>
                <w:szCs w:val="22"/>
                <w:b w:val="1"/>
                <w:bCs w:val="1"/>
                <w:color w:val="auto"/>
              </w:rPr>
              <w:t>“SEACOR Marine”</w:t>
            </w:r>
          </w:p>
        </w:tc>
        <w:tc>
          <w:tcPr>
            <w:tcW w:w="7140" w:type="dxa"/>
            <w:vAlign w:val="bottom"/>
          </w:tcPr>
          <w:p>
            <w:pPr>
              <w:ind w:left="480"/>
              <w:spacing w:after="0"/>
              <w:rPr>
                <w:sz w:val="20"/>
                <w:szCs w:val="20"/>
                <w:color w:val="auto"/>
              </w:rPr>
            </w:pPr>
            <w:r>
              <w:rPr>
                <w:rFonts w:ascii="Arial" w:cs="Arial" w:eastAsia="Arial" w:hAnsi="Arial"/>
                <w:sz w:val="22"/>
                <w:szCs w:val="22"/>
                <w:color w:val="auto"/>
              </w:rPr>
              <w:t>shall mean SEACOR Marine Holdings Inc., a Delaware corporation.</w:t>
            </w:r>
          </w:p>
        </w:tc>
      </w:tr>
      <w:tr>
        <w:trPr>
          <w:trHeight w:val="657"/>
        </w:trPr>
        <w:tc>
          <w:tcPr>
            <w:tcW w:w="4120" w:type="dxa"/>
            <w:vAlign w:val="bottom"/>
          </w:tcPr>
          <w:p>
            <w:pPr>
              <w:ind w:left="100"/>
              <w:spacing w:after="0"/>
              <w:rPr>
                <w:sz w:val="20"/>
                <w:szCs w:val="20"/>
                <w:color w:val="auto"/>
              </w:rPr>
            </w:pPr>
            <w:r>
              <w:rPr>
                <w:rFonts w:ascii="Arial" w:cs="Arial" w:eastAsia="Arial" w:hAnsi="Arial"/>
                <w:sz w:val="22"/>
                <w:szCs w:val="22"/>
                <w:b w:val="1"/>
                <w:bCs w:val="1"/>
                <w:color w:val="auto"/>
              </w:rPr>
              <w:t>“SEACOR Marine Change of Control”</w:t>
            </w:r>
          </w:p>
        </w:tc>
        <w:tc>
          <w:tcPr>
            <w:tcW w:w="7140" w:type="dxa"/>
            <w:vAlign w:val="bottom"/>
          </w:tcPr>
          <w:p>
            <w:pPr>
              <w:ind w:left="480"/>
              <w:spacing w:after="0"/>
              <w:rPr>
                <w:sz w:val="20"/>
                <w:szCs w:val="20"/>
                <w:color w:val="auto"/>
              </w:rPr>
            </w:pPr>
            <w:r>
              <w:rPr>
                <w:rFonts w:ascii="Arial" w:cs="Arial" w:eastAsia="Arial" w:hAnsi="Arial"/>
                <w:sz w:val="22"/>
                <w:szCs w:val="22"/>
                <w:color w:val="auto"/>
                <w:w w:val="87"/>
              </w:rPr>
              <w:t>shall mean with respect to the Guarantor, any event or series of events occurs</w:t>
            </w:r>
          </w:p>
        </w:tc>
      </w:tr>
      <w:tr>
        <w:trPr>
          <w:trHeight w:val="243"/>
        </w:trPr>
        <w:tc>
          <w:tcPr>
            <w:tcW w:w="4120" w:type="dxa"/>
            <w:vAlign w:val="bottom"/>
          </w:tcPr>
          <w:p>
            <w:pPr>
              <w:spacing w:after="0"/>
              <w:rPr>
                <w:sz w:val="21"/>
                <w:szCs w:val="21"/>
                <w:color w:val="auto"/>
              </w:rPr>
            </w:pPr>
          </w:p>
        </w:tc>
        <w:tc>
          <w:tcPr>
            <w:tcW w:w="7140" w:type="dxa"/>
            <w:vAlign w:val="bottom"/>
          </w:tcPr>
          <w:p>
            <w:pPr>
              <w:ind w:left="480"/>
              <w:spacing w:after="0" w:line="243" w:lineRule="exact"/>
              <w:rPr>
                <w:sz w:val="20"/>
                <w:szCs w:val="20"/>
                <w:color w:val="auto"/>
              </w:rPr>
            </w:pPr>
            <w:r>
              <w:rPr>
                <w:rFonts w:ascii="Arial" w:cs="Arial" w:eastAsia="Arial" w:hAnsi="Arial"/>
                <w:sz w:val="22"/>
                <w:szCs w:val="22"/>
                <w:color w:val="auto"/>
                <w:w w:val="99"/>
              </w:rPr>
              <w:t>pursuant to which any “person” or “group” (as such terms are used in</w:t>
            </w:r>
          </w:p>
        </w:tc>
      </w:tr>
      <w:tr>
        <w:trPr>
          <w:trHeight w:val="243"/>
        </w:trPr>
        <w:tc>
          <w:tcPr>
            <w:tcW w:w="4120" w:type="dxa"/>
            <w:vAlign w:val="bottom"/>
          </w:tcPr>
          <w:p>
            <w:pPr>
              <w:spacing w:after="0"/>
              <w:rPr>
                <w:sz w:val="21"/>
                <w:szCs w:val="21"/>
                <w:color w:val="auto"/>
              </w:rPr>
            </w:pPr>
          </w:p>
        </w:tc>
        <w:tc>
          <w:tcPr>
            <w:tcW w:w="7140" w:type="dxa"/>
            <w:vAlign w:val="bottom"/>
          </w:tcPr>
          <w:p>
            <w:pPr>
              <w:ind w:left="480"/>
              <w:spacing w:after="0" w:line="243" w:lineRule="exact"/>
              <w:rPr>
                <w:sz w:val="20"/>
                <w:szCs w:val="20"/>
                <w:color w:val="auto"/>
              </w:rPr>
            </w:pPr>
            <w:r>
              <w:rPr>
                <w:rFonts w:ascii="Arial" w:cs="Arial" w:eastAsia="Arial" w:hAnsi="Arial"/>
                <w:sz w:val="22"/>
                <w:szCs w:val="22"/>
                <w:color w:val="auto"/>
                <w:w w:val="97"/>
              </w:rPr>
              <w:t>Sections 13(d) and 14(d) of the Exchange Act) becomes the beneficial</w:t>
            </w:r>
          </w:p>
        </w:tc>
      </w:tr>
      <w:tr>
        <w:trPr>
          <w:trHeight w:val="243"/>
        </w:trPr>
        <w:tc>
          <w:tcPr>
            <w:tcW w:w="4120" w:type="dxa"/>
            <w:vAlign w:val="bottom"/>
          </w:tcPr>
          <w:p>
            <w:pPr>
              <w:spacing w:after="0"/>
              <w:rPr>
                <w:sz w:val="21"/>
                <w:szCs w:val="21"/>
                <w:color w:val="auto"/>
              </w:rPr>
            </w:pPr>
          </w:p>
        </w:tc>
        <w:tc>
          <w:tcPr>
            <w:tcW w:w="7140" w:type="dxa"/>
            <w:vAlign w:val="bottom"/>
          </w:tcPr>
          <w:p>
            <w:pPr>
              <w:ind w:left="480"/>
              <w:spacing w:after="0" w:line="243" w:lineRule="exact"/>
              <w:rPr>
                <w:sz w:val="20"/>
                <w:szCs w:val="20"/>
                <w:color w:val="auto"/>
              </w:rPr>
            </w:pPr>
            <w:r>
              <w:rPr>
                <w:rFonts w:ascii="Arial" w:cs="Arial" w:eastAsia="Arial" w:hAnsi="Arial"/>
                <w:sz w:val="22"/>
                <w:szCs w:val="22"/>
                <w:color w:val="auto"/>
                <w:w w:val="97"/>
              </w:rPr>
              <w:t>owner (as defined in Rules 13d-3 and 13d-5 under the Exchange Act),</w:t>
            </w:r>
          </w:p>
        </w:tc>
      </w:tr>
      <w:tr>
        <w:trPr>
          <w:trHeight w:val="243"/>
        </w:trPr>
        <w:tc>
          <w:tcPr>
            <w:tcW w:w="4120" w:type="dxa"/>
            <w:vAlign w:val="bottom"/>
          </w:tcPr>
          <w:p>
            <w:pPr>
              <w:spacing w:after="0"/>
              <w:rPr>
                <w:sz w:val="21"/>
                <w:szCs w:val="21"/>
                <w:color w:val="auto"/>
              </w:rPr>
            </w:pPr>
          </w:p>
        </w:tc>
        <w:tc>
          <w:tcPr>
            <w:tcW w:w="7140" w:type="dxa"/>
            <w:vAlign w:val="bottom"/>
          </w:tcPr>
          <w:p>
            <w:pPr>
              <w:ind w:left="480"/>
              <w:spacing w:after="0" w:line="243" w:lineRule="exact"/>
              <w:rPr>
                <w:sz w:val="20"/>
                <w:szCs w:val="20"/>
                <w:color w:val="auto"/>
              </w:rPr>
            </w:pPr>
            <w:r>
              <w:rPr>
                <w:rFonts w:ascii="Arial" w:cs="Arial" w:eastAsia="Arial" w:hAnsi="Arial"/>
                <w:sz w:val="22"/>
                <w:szCs w:val="22"/>
                <w:color w:val="auto"/>
              </w:rPr>
              <w:t>directly or indirectly, of more than 50% of the total voting power or</w:t>
            </w:r>
          </w:p>
        </w:tc>
      </w:tr>
      <w:tr>
        <w:trPr>
          <w:trHeight w:val="274"/>
        </w:trPr>
        <w:tc>
          <w:tcPr>
            <w:tcW w:w="4120" w:type="dxa"/>
            <w:vAlign w:val="bottom"/>
          </w:tcPr>
          <w:p>
            <w:pPr>
              <w:spacing w:after="0"/>
              <w:rPr>
                <w:sz w:val="23"/>
                <w:szCs w:val="23"/>
                <w:color w:val="auto"/>
              </w:rPr>
            </w:pPr>
          </w:p>
        </w:tc>
        <w:tc>
          <w:tcPr>
            <w:tcW w:w="7140" w:type="dxa"/>
            <w:vAlign w:val="bottom"/>
          </w:tcPr>
          <w:p>
            <w:pPr>
              <w:ind w:left="480"/>
              <w:spacing w:after="0"/>
              <w:rPr>
                <w:sz w:val="20"/>
                <w:szCs w:val="20"/>
                <w:color w:val="auto"/>
              </w:rPr>
            </w:pPr>
            <w:r>
              <w:rPr>
                <w:rFonts w:ascii="Arial" w:cs="Arial" w:eastAsia="Arial" w:hAnsi="Arial"/>
                <w:sz w:val="22"/>
                <w:szCs w:val="22"/>
                <w:color w:val="auto"/>
              </w:rPr>
              <w:t>ownership interest of the Guarantor;</w:t>
            </w:r>
          </w:p>
        </w:tc>
      </w:tr>
      <w:tr>
        <w:trPr>
          <w:trHeight w:val="711"/>
        </w:trPr>
        <w:tc>
          <w:tcPr>
            <w:tcW w:w="412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Document(s)</w:t>
            </w:r>
            <w:r>
              <w:rPr>
                <w:rFonts w:ascii="Arial" w:cs="Arial" w:eastAsia="Arial" w:hAnsi="Arial"/>
                <w:sz w:val="22"/>
                <w:szCs w:val="22"/>
                <w:color w:val="auto"/>
              </w:rPr>
              <w:t>”</w:t>
            </w:r>
          </w:p>
        </w:tc>
        <w:tc>
          <w:tcPr>
            <w:tcW w:w="7140" w:type="dxa"/>
            <w:vAlign w:val="bottom"/>
          </w:tcPr>
          <w:p>
            <w:pPr>
              <w:ind w:left="480"/>
              <w:spacing w:after="0"/>
              <w:rPr>
                <w:sz w:val="20"/>
                <w:szCs w:val="20"/>
                <w:color w:val="auto"/>
              </w:rPr>
            </w:pPr>
            <w:r>
              <w:rPr>
                <w:rFonts w:ascii="Arial" w:cs="Arial" w:eastAsia="Arial" w:hAnsi="Arial"/>
                <w:sz w:val="22"/>
                <w:szCs w:val="22"/>
                <w:color w:val="auto"/>
                <w:w w:val="94"/>
              </w:rPr>
              <w:t>shall mean the Mortgages, the Assignments, the Pledge Agreement, the</w:t>
            </w:r>
          </w:p>
        </w:tc>
      </w:tr>
      <w:tr>
        <w:trPr>
          <w:trHeight w:val="243"/>
        </w:trPr>
        <w:tc>
          <w:tcPr>
            <w:tcW w:w="4120" w:type="dxa"/>
            <w:vAlign w:val="bottom"/>
          </w:tcPr>
          <w:p>
            <w:pPr>
              <w:spacing w:after="0"/>
              <w:rPr>
                <w:sz w:val="21"/>
                <w:szCs w:val="21"/>
                <w:color w:val="auto"/>
              </w:rPr>
            </w:pPr>
          </w:p>
        </w:tc>
        <w:tc>
          <w:tcPr>
            <w:tcW w:w="7140" w:type="dxa"/>
            <w:vAlign w:val="bottom"/>
          </w:tcPr>
          <w:p>
            <w:pPr>
              <w:ind w:left="480"/>
              <w:spacing w:after="0" w:line="243" w:lineRule="exact"/>
              <w:rPr>
                <w:sz w:val="20"/>
                <w:szCs w:val="20"/>
                <w:color w:val="auto"/>
              </w:rPr>
            </w:pPr>
            <w:r>
              <w:rPr>
                <w:rFonts w:ascii="Arial" w:cs="Arial" w:eastAsia="Arial" w:hAnsi="Arial"/>
                <w:sz w:val="22"/>
                <w:szCs w:val="22"/>
                <w:color w:val="auto"/>
                <w:w w:val="94"/>
              </w:rPr>
              <w:t>Approved Manager’s Undertaking and any other documents that may be</w:t>
            </w:r>
          </w:p>
        </w:tc>
      </w:tr>
      <w:tr>
        <w:trPr>
          <w:trHeight w:val="243"/>
        </w:trPr>
        <w:tc>
          <w:tcPr>
            <w:tcW w:w="4120" w:type="dxa"/>
            <w:vAlign w:val="bottom"/>
          </w:tcPr>
          <w:p>
            <w:pPr>
              <w:spacing w:after="0"/>
              <w:rPr>
                <w:sz w:val="21"/>
                <w:szCs w:val="21"/>
                <w:color w:val="auto"/>
              </w:rPr>
            </w:pPr>
          </w:p>
        </w:tc>
        <w:tc>
          <w:tcPr>
            <w:tcW w:w="7140" w:type="dxa"/>
            <w:vAlign w:val="bottom"/>
          </w:tcPr>
          <w:p>
            <w:pPr>
              <w:ind w:left="480"/>
              <w:spacing w:after="0" w:line="243" w:lineRule="exact"/>
              <w:rPr>
                <w:sz w:val="20"/>
                <w:szCs w:val="20"/>
                <w:color w:val="auto"/>
              </w:rPr>
            </w:pPr>
            <w:r>
              <w:rPr>
                <w:rFonts w:ascii="Arial" w:cs="Arial" w:eastAsia="Arial" w:hAnsi="Arial"/>
                <w:sz w:val="22"/>
                <w:szCs w:val="22"/>
                <w:color w:val="auto"/>
                <w:w w:val="99"/>
              </w:rPr>
              <w:t>executed as security for the Facility and the Borrowers’ obligations in</w:t>
            </w:r>
          </w:p>
        </w:tc>
      </w:tr>
      <w:tr>
        <w:trPr>
          <w:trHeight w:val="274"/>
        </w:trPr>
        <w:tc>
          <w:tcPr>
            <w:tcW w:w="4120" w:type="dxa"/>
            <w:vAlign w:val="bottom"/>
          </w:tcPr>
          <w:p>
            <w:pPr>
              <w:spacing w:after="0"/>
              <w:rPr>
                <w:sz w:val="23"/>
                <w:szCs w:val="23"/>
                <w:color w:val="auto"/>
              </w:rPr>
            </w:pPr>
          </w:p>
        </w:tc>
        <w:tc>
          <w:tcPr>
            <w:tcW w:w="7140" w:type="dxa"/>
            <w:vAlign w:val="bottom"/>
          </w:tcPr>
          <w:p>
            <w:pPr>
              <w:ind w:left="480"/>
              <w:spacing w:after="0"/>
              <w:rPr>
                <w:sz w:val="20"/>
                <w:szCs w:val="20"/>
                <w:color w:val="auto"/>
              </w:rPr>
            </w:pPr>
            <w:r>
              <w:rPr>
                <w:rFonts w:ascii="Arial" w:cs="Arial" w:eastAsia="Arial" w:hAnsi="Arial"/>
                <w:sz w:val="22"/>
                <w:szCs w:val="22"/>
                <w:color w:val="auto"/>
              </w:rPr>
              <w:t>connection therewith;</w:t>
            </w:r>
          </w:p>
        </w:tc>
      </w:tr>
      <w:tr>
        <w:trPr>
          <w:trHeight w:val="729"/>
        </w:trPr>
        <w:tc>
          <w:tcPr>
            <w:tcW w:w="412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Party(ies)</w:t>
            </w:r>
            <w:r>
              <w:rPr>
                <w:rFonts w:ascii="Arial" w:cs="Arial" w:eastAsia="Arial" w:hAnsi="Arial"/>
                <w:sz w:val="22"/>
                <w:szCs w:val="22"/>
                <w:color w:val="auto"/>
              </w:rPr>
              <w:t>”</w:t>
            </w:r>
          </w:p>
        </w:tc>
        <w:tc>
          <w:tcPr>
            <w:tcW w:w="7140" w:type="dxa"/>
            <w:vAlign w:val="bottom"/>
          </w:tcPr>
          <w:p>
            <w:pPr>
              <w:ind w:left="480"/>
              <w:spacing w:after="0"/>
              <w:rPr>
                <w:sz w:val="20"/>
                <w:szCs w:val="20"/>
                <w:color w:val="auto"/>
              </w:rPr>
            </w:pPr>
            <w:r>
              <w:rPr>
                <w:rFonts w:ascii="Arial" w:cs="Arial" w:eastAsia="Arial" w:hAnsi="Arial"/>
                <w:sz w:val="22"/>
                <w:szCs w:val="22"/>
                <w:color w:val="auto"/>
              </w:rPr>
              <w:t>shall mean the Holding Company and each of the other Borrowers;</w:t>
            </w:r>
          </w:p>
        </w:tc>
      </w:tr>
      <w:tr>
        <w:trPr>
          <w:trHeight w:val="817"/>
        </w:trPr>
        <w:tc>
          <w:tcPr>
            <w:tcW w:w="4120" w:type="dxa"/>
            <w:vAlign w:val="bottom"/>
          </w:tcPr>
          <w:p>
            <w:pPr>
              <w:spacing w:after="0"/>
              <w:rPr>
                <w:sz w:val="24"/>
                <w:szCs w:val="24"/>
                <w:color w:val="auto"/>
              </w:rPr>
            </w:pPr>
          </w:p>
        </w:tc>
        <w:tc>
          <w:tcPr>
            <w:tcW w:w="7140" w:type="dxa"/>
            <w:vAlign w:val="bottom"/>
          </w:tcPr>
          <w:p>
            <w:pPr>
              <w:ind w:left="1400"/>
              <w:spacing w:after="0"/>
              <w:rPr>
                <w:sz w:val="20"/>
                <w:szCs w:val="20"/>
                <w:color w:val="auto"/>
              </w:rPr>
            </w:pPr>
            <w:r>
              <w:rPr>
                <w:rFonts w:ascii="Arial" w:cs="Arial" w:eastAsia="Arial" w:hAnsi="Arial"/>
                <w:sz w:val="20"/>
                <w:szCs w:val="20"/>
                <w:color w:val="auto"/>
              </w:rPr>
              <w:t>19</w:t>
            </w:r>
          </w:p>
        </w:tc>
      </w:tr>
      <w:tr>
        <w:trPr>
          <w:trHeight w:val="327"/>
        </w:trPr>
        <w:tc>
          <w:tcPr>
            <w:tcW w:w="4120" w:type="dxa"/>
            <w:vAlign w:val="bottom"/>
            <w:tcBorders>
              <w:bottom w:val="single" w:sz="8" w:color="9A9A9A"/>
            </w:tcBorders>
          </w:tcPr>
          <w:p>
            <w:pPr>
              <w:spacing w:after="0"/>
              <w:rPr>
                <w:sz w:val="24"/>
                <w:szCs w:val="24"/>
                <w:color w:val="auto"/>
              </w:rPr>
            </w:pPr>
          </w:p>
        </w:tc>
        <w:tc>
          <w:tcPr>
            <w:tcW w:w="7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32" w:right="319" w:bottom="1440" w:gutter="0" w:footer="0" w:header="0"/>
        </w:sectPr>
      </w:pPr>
    </w:p>
    <w:bookmarkStart w:id="158" w:name="page159"/>
    <w:bookmarkEnd w:id="158"/>
    <w:p>
      <w:pPr>
        <w:spacing w:after="0"/>
        <w:tabs>
          <w:tab w:leader="none" w:pos="448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Trustee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shall have the meaning ascribed thereto in the preamble;</w:t>
      </w:r>
    </w:p>
    <w:p>
      <w:pPr>
        <w:spacing w:after="0" w:line="206" w:lineRule="exact"/>
        <w:rPr>
          <w:sz w:val="20"/>
          <w:szCs w:val="20"/>
          <w:color w:val="auto"/>
        </w:rPr>
      </w:pPr>
    </w:p>
    <w:p>
      <w:pPr>
        <w:spacing w:after="0"/>
        <w:tabs>
          <w:tab w:leader="none" w:pos="448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Seventh Amendment</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shall have the meaning ascribed thereto in the recitals;</w:t>
      </w:r>
    </w:p>
    <w:p>
      <w:pPr>
        <w:spacing w:after="0" w:line="206" w:lineRule="exact"/>
        <w:rPr>
          <w:sz w:val="20"/>
          <w:szCs w:val="20"/>
          <w:color w:val="auto"/>
        </w:rPr>
      </w:pPr>
    </w:p>
    <w:p>
      <w:pPr>
        <w:spacing w:after="0"/>
        <w:tabs>
          <w:tab w:leader="none" w:pos="448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Seventh Amendment Effective Date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shall mean December 31, 2021;</w:t>
      </w:r>
    </w:p>
    <w:p>
      <w:pPr>
        <w:spacing w:after="0" w:line="200" w:lineRule="exact"/>
        <w:rPr>
          <w:sz w:val="20"/>
          <w:szCs w:val="20"/>
          <w:color w:val="auto"/>
        </w:rPr>
      </w:pPr>
    </w:p>
    <w:p>
      <w:pPr>
        <w:spacing w:after="0" w:line="263" w:lineRule="exact"/>
        <w:rPr>
          <w:sz w:val="20"/>
          <w:szCs w:val="20"/>
          <w:color w:val="auto"/>
        </w:rPr>
      </w:pPr>
    </w:p>
    <w:p>
      <w:pPr>
        <w:spacing w:after="0"/>
        <w:tabs>
          <w:tab w:leader="none" w:pos="448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SMC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shall mean the safety management certificate issued in respect of a Vessel in</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accordance with rule 13 of the ISM Code;</w:t>
      </w:r>
    </w:p>
    <w:p>
      <w:pPr>
        <w:spacing w:after="0" w:line="200" w:lineRule="exact"/>
        <w:rPr>
          <w:sz w:val="20"/>
          <w:szCs w:val="20"/>
          <w:color w:val="auto"/>
        </w:rPr>
      </w:pPr>
    </w:p>
    <w:p>
      <w:pPr>
        <w:spacing w:after="0" w:line="239" w:lineRule="exact"/>
        <w:rPr>
          <w:sz w:val="20"/>
          <w:szCs w:val="20"/>
          <w:color w:val="auto"/>
        </w:rPr>
      </w:pPr>
    </w:p>
    <w:p>
      <w:pPr>
        <w:spacing w:after="0"/>
        <w:tabs>
          <w:tab w:leader="none" w:pos="448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SOFR</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shall mean a rate equal to the secured overnight financing rate as</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administered by the SOFR Administrator;</w:t>
      </w:r>
    </w:p>
    <w:p>
      <w:pPr>
        <w:spacing w:after="0" w:line="196" w:lineRule="exact"/>
        <w:rPr>
          <w:sz w:val="20"/>
          <w:szCs w:val="20"/>
          <w:color w:val="auto"/>
        </w:rPr>
      </w:pPr>
    </w:p>
    <w:p>
      <w:pPr>
        <w:spacing w:after="0"/>
        <w:tabs>
          <w:tab w:leader="none" w:pos="448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SOFR Administrator</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shall mean the Federal Reserve Bank of New York (or a successor</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administrator of the secured overnight financing rate);</w:t>
      </w:r>
    </w:p>
    <w:p>
      <w:pPr>
        <w:spacing w:after="0" w:line="200" w:lineRule="exact"/>
        <w:rPr>
          <w:sz w:val="20"/>
          <w:szCs w:val="20"/>
          <w:color w:val="auto"/>
        </w:rPr>
      </w:pPr>
    </w:p>
    <w:p>
      <w:pPr>
        <w:spacing w:after="0" w:line="239" w:lineRule="exact"/>
        <w:rPr>
          <w:sz w:val="20"/>
          <w:szCs w:val="20"/>
          <w:color w:val="auto"/>
        </w:rPr>
      </w:pPr>
    </w:p>
    <w:p>
      <w:pPr>
        <w:spacing w:after="0"/>
        <w:tabs>
          <w:tab w:leader="none" w:pos="448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shall mean, with respect to any Person, any business entity of which more</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than 50% of the outstanding voting stock or other equity interest is owned</w:t>
      </w:r>
    </w:p>
    <w:p>
      <w:pPr>
        <w:spacing w:after="0" w:line="25"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directly or indirectly by such Person and/or one or more other subsidiaries of</w:t>
      </w:r>
    </w:p>
    <w:p>
      <w:pPr>
        <w:spacing w:after="0" w:line="25"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such Person;</w:t>
      </w:r>
    </w:p>
    <w:p>
      <w:pPr>
        <w:sectPr>
          <w:pgSz w:w="11900" w:h="16838" w:orient="portrait"/>
          <w:cols w:equalWidth="0" w:num="1">
            <w:col w:w="11140"/>
          </w:cols>
          <w:pgMar w:left="420" w:top="436" w:right="33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Subsidiary(ies)</w:t>
      </w:r>
      <w:r>
        <w:rPr>
          <w:rFonts w:ascii="Arial" w:cs="Arial" w:eastAsia="Arial" w:hAnsi="Arial"/>
          <w:sz w:val="19"/>
          <w:szCs w:val="19"/>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Taxes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shall mean all of the subsidiaries of the Holding Company;</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shall mean any present or future income or other taxes, levies, duties, charges, fees, deductions or withholdings of any nature now or hereafter imposed, levied, collected, withheld or assessed by any taxing authority whatsoever, except for: (a) taxes on or measured by the overall net income</w:t>
      </w:r>
    </w:p>
    <w:p>
      <w:pPr>
        <w:spacing w:after="0" w:line="200" w:lineRule="exact"/>
        <w:rPr>
          <w:sz w:val="20"/>
          <w:szCs w:val="20"/>
          <w:color w:val="auto"/>
        </w:rPr>
      </w:pPr>
    </w:p>
    <w:p>
      <w:pPr>
        <w:spacing w:after="0" w:line="28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of each Lender imposed by its jurisdiction of incorporation or applicable lending office, the United States of America, the State or City of New York or any governmental subdivision or taxing authority of any thereof or by any other taxing authority having jurisdiction over such Lender (unless such jurisdiction is asserted by reason of the activities of the Borrowers or any of the Subsidiaries) and (b) any FATCA Deductions;</w:t>
      </w:r>
    </w:p>
    <w:p>
      <w:pPr>
        <w:spacing w:after="0" w:line="200" w:lineRule="exact"/>
        <w:rPr>
          <w:sz w:val="20"/>
          <w:szCs w:val="20"/>
          <w:color w:val="auto"/>
        </w:rPr>
      </w:pPr>
    </w:p>
    <w:p>
      <w:pPr>
        <w:sectPr>
          <w:pgSz w:w="11900" w:h="16838" w:orient="portrait"/>
          <w:cols w:equalWidth="0" w:num="2">
            <w:col w:w="3780" w:space="720"/>
            <w:col w:w="6640"/>
          </w:cols>
          <w:pgMar w:left="420" w:top="43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232410</wp:posOffset>
            </wp:positionV>
            <wp:extent cx="71748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436" w:right="339" w:bottom="1440" w:gutter="0" w:footer="0" w:header="0"/>
          <w:type w:val="continuous"/>
        </w:sectPr>
      </w:pPr>
    </w:p>
    <w:bookmarkStart w:id="159" w:name="page160"/>
    <w:bookmarkEnd w:id="159"/>
    <w:tbl>
      <w:tblPr>
        <w:tblLayout w:type="fixed"/>
        <w:tblInd w:w="0" w:type="dxa"/>
        <w:tblCellMar>
          <w:top w:w="0" w:type="dxa"/>
          <w:left w:w="0" w:type="dxa"/>
          <w:bottom w:w="0" w:type="dxa"/>
          <w:right w:w="0" w:type="dxa"/>
        </w:tblCellMar>
      </w:tblPr>
      <w:tr>
        <w:trPr>
          <w:trHeight w:val="253"/>
        </w:trPr>
        <w:tc>
          <w:tcPr>
            <w:tcW w:w="290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SOFR</w:t>
            </w:r>
            <w:r>
              <w:rPr>
                <w:rFonts w:ascii="Arial" w:cs="Arial" w:eastAsia="Arial" w:hAnsi="Arial"/>
                <w:sz w:val="22"/>
                <w:szCs w:val="22"/>
                <w:color w:val="auto"/>
              </w:rPr>
              <w:t>”</w:t>
            </w:r>
          </w:p>
        </w:tc>
        <w:tc>
          <w:tcPr>
            <w:tcW w:w="8240" w:type="dxa"/>
            <w:vAlign w:val="bottom"/>
            <w:gridSpan w:val="3"/>
          </w:tcPr>
          <w:p>
            <w:pPr>
              <w:ind w:left="1600"/>
              <w:spacing w:after="0"/>
              <w:rPr>
                <w:sz w:val="20"/>
                <w:szCs w:val="20"/>
                <w:color w:val="auto"/>
              </w:rPr>
            </w:pPr>
            <w:r>
              <w:rPr>
                <w:rFonts w:ascii="Arial" w:cs="Arial" w:eastAsia="Arial" w:hAnsi="Arial"/>
                <w:sz w:val="22"/>
                <w:szCs w:val="22"/>
                <w:color w:val="auto"/>
                <w:w w:val="92"/>
              </w:rPr>
              <w:t>shall mean the Term SOFR Reference Rate for a tenor comparable to the</w:t>
            </w:r>
          </w:p>
        </w:tc>
      </w:tr>
      <w:tr>
        <w:trPr>
          <w:trHeight w:val="243"/>
        </w:trPr>
        <w:tc>
          <w:tcPr>
            <w:tcW w:w="2900" w:type="dxa"/>
            <w:vAlign w:val="bottom"/>
          </w:tcPr>
          <w:p>
            <w:pPr>
              <w:spacing w:after="0"/>
              <w:rPr>
                <w:sz w:val="21"/>
                <w:szCs w:val="21"/>
                <w:color w:val="auto"/>
              </w:rPr>
            </w:pPr>
          </w:p>
        </w:tc>
        <w:tc>
          <w:tcPr>
            <w:tcW w:w="8240" w:type="dxa"/>
            <w:vAlign w:val="bottom"/>
            <w:gridSpan w:val="3"/>
          </w:tcPr>
          <w:p>
            <w:pPr>
              <w:ind w:left="1600"/>
              <w:spacing w:after="0" w:line="243" w:lineRule="exact"/>
              <w:rPr>
                <w:sz w:val="20"/>
                <w:szCs w:val="20"/>
                <w:color w:val="auto"/>
              </w:rPr>
            </w:pPr>
            <w:r>
              <w:rPr>
                <w:rFonts w:ascii="Arial" w:cs="Arial" w:eastAsia="Arial" w:hAnsi="Arial"/>
                <w:sz w:val="22"/>
                <w:szCs w:val="22"/>
                <w:color w:val="auto"/>
                <w:w w:val="90"/>
              </w:rPr>
              <w:t>applicable Interest Period on the day (such day, the “</w:t>
            </w:r>
            <w:r>
              <w:rPr>
                <w:rFonts w:ascii="Arial" w:cs="Arial" w:eastAsia="Arial" w:hAnsi="Arial"/>
                <w:sz w:val="22"/>
                <w:szCs w:val="22"/>
                <w:b w:val="1"/>
                <w:bCs w:val="1"/>
                <w:color w:val="auto"/>
                <w:w w:val="90"/>
              </w:rPr>
              <w:t>Periodic Term SOFR</w:t>
            </w:r>
          </w:p>
        </w:tc>
      </w:tr>
      <w:tr>
        <w:trPr>
          <w:trHeight w:val="249"/>
        </w:trPr>
        <w:tc>
          <w:tcPr>
            <w:tcW w:w="2900" w:type="dxa"/>
            <w:vAlign w:val="bottom"/>
          </w:tcPr>
          <w:p>
            <w:pPr>
              <w:spacing w:after="0"/>
              <w:rPr>
                <w:sz w:val="21"/>
                <w:szCs w:val="21"/>
                <w:color w:val="auto"/>
              </w:rPr>
            </w:pPr>
          </w:p>
        </w:tc>
        <w:tc>
          <w:tcPr>
            <w:tcW w:w="8240" w:type="dxa"/>
            <w:vAlign w:val="bottom"/>
            <w:gridSpan w:val="3"/>
          </w:tcPr>
          <w:p>
            <w:pPr>
              <w:ind w:left="1600"/>
              <w:spacing w:after="0" w:line="249" w:lineRule="exact"/>
              <w:rPr>
                <w:sz w:val="20"/>
                <w:szCs w:val="20"/>
                <w:color w:val="auto"/>
              </w:rPr>
            </w:pPr>
            <w:r>
              <w:rPr>
                <w:rFonts w:ascii="Arial" w:cs="Arial" w:eastAsia="Arial" w:hAnsi="Arial"/>
                <w:sz w:val="22"/>
                <w:szCs w:val="22"/>
                <w:b w:val="1"/>
                <w:bCs w:val="1"/>
                <w:color w:val="auto"/>
                <w:w w:val="93"/>
              </w:rPr>
              <w:t>Determination Day</w:t>
            </w:r>
            <w:r>
              <w:rPr>
                <w:rFonts w:ascii="Arial" w:cs="Arial" w:eastAsia="Arial" w:hAnsi="Arial"/>
                <w:sz w:val="22"/>
                <w:szCs w:val="22"/>
                <w:color w:val="auto"/>
                <w:w w:val="93"/>
              </w:rPr>
              <w:t>”) that is two (2) U.S. Government Securities Banking</w:t>
            </w:r>
          </w:p>
        </w:tc>
      </w:tr>
      <w:tr>
        <w:trPr>
          <w:trHeight w:val="243"/>
        </w:trPr>
        <w:tc>
          <w:tcPr>
            <w:tcW w:w="2900" w:type="dxa"/>
            <w:vAlign w:val="bottom"/>
          </w:tcPr>
          <w:p>
            <w:pPr>
              <w:spacing w:after="0"/>
              <w:rPr>
                <w:sz w:val="21"/>
                <w:szCs w:val="21"/>
                <w:color w:val="auto"/>
              </w:rPr>
            </w:pPr>
          </w:p>
        </w:tc>
        <w:tc>
          <w:tcPr>
            <w:tcW w:w="8240" w:type="dxa"/>
            <w:vAlign w:val="bottom"/>
            <w:gridSpan w:val="3"/>
          </w:tcPr>
          <w:p>
            <w:pPr>
              <w:ind w:left="1600"/>
              <w:spacing w:after="0" w:line="243" w:lineRule="exact"/>
              <w:rPr>
                <w:sz w:val="20"/>
                <w:szCs w:val="20"/>
                <w:color w:val="auto"/>
              </w:rPr>
            </w:pPr>
            <w:r>
              <w:rPr>
                <w:rFonts w:ascii="Arial" w:cs="Arial" w:eastAsia="Arial" w:hAnsi="Arial"/>
                <w:sz w:val="22"/>
                <w:szCs w:val="22"/>
                <w:color w:val="auto"/>
                <w:w w:val="87"/>
              </w:rPr>
              <w:t>Days prior to the first day of such Interest Period, as such rate is published by</w:t>
            </w:r>
          </w:p>
        </w:tc>
      </w:tr>
      <w:tr>
        <w:trPr>
          <w:trHeight w:val="224"/>
        </w:trPr>
        <w:tc>
          <w:tcPr>
            <w:tcW w:w="2900" w:type="dxa"/>
            <w:vAlign w:val="bottom"/>
          </w:tcPr>
          <w:p>
            <w:pPr>
              <w:spacing w:after="0"/>
              <w:rPr>
                <w:sz w:val="19"/>
                <w:szCs w:val="19"/>
                <w:color w:val="auto"/>
              </w:rPr>
            </w:pPr>
          </w:p>
        </w:tc>
        <w:tc>
          <w:tcPr>
            <w:tcW w:w="8240" w:type="dxa"/>
            <w:vAlign w:val="bottom"/>
            <w:gridSpan w:val="3"/>
          </w:tcPr>
          <w:p>
            <w:pPr>
              <w:ind w:left="1600"/>
              <w:spacing w:after="0" w:line="224" w:lineRule="exact"/>
              <w:rPr>
                <w:sz w:val="20"/>
                <w:szCs w:val="20"/>
                <w:color w:val="auto"/>
              </w:rPr>
            </w:pPr>
            <w:r>
              <w:rPr>
                <w:rFonts w:ascii="Arial" w:cs="Arial" w:eastAsia="Arial" w:hAnsi="Arial"/>
                <w:sz w:val="22"/>
                <w:szCs w:val="22"/>
                <w:color w:val="auto"/>
                <w:w w:val="94"/>
              </w:rPr>
              <w:t>the Term SOFR Administrator; provided, however, that if as of 5:00 p.m.</w:t>
            </w:r>
          </w:p>
        </w:tc>
      </w:tr>
      <w:tr>
        <w:trPr>
          <w:trHeight w:val="20"/>
        </w:trPr>
        <w:tc>
          <w:tcPr>
            <w:tcW w:w="29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42"/>
        </w:trPr>
        <w:tc>
          <w:tcPr>
            <w:tcW w:w="2900" w:type="dxa"/>
            <w:vAlign w:val="bottom"/>
          </w:tcPr>
          <w:p>
            <w:pPr>
              <w:spacing w:after="0"/>
              <w:rPr>
                <w:sz w:val="21"/>
                <w:szCs w:val="21"/>
                <w:color w:val="auto"/>
              </w:rPr>
            </w:pPr>
          </w:p>
        </w:tc>
        <w:tc>
          <w:tcPr>
            <w:tcW w:w="8240" w:type="dxa"/>
            <w:vAlign w:val="bottom"/>
            <w:gridSpan w:val="3"/>
          </w:tcPr>
          <w:p>
            <w:pPr>
              <w:ind w:left="1600"/>
              <w:spacing w:after="0" w:line="242" w:lineRule="exact"/>
              <w:rPr>
                <w:sz w:val="20"/>
                <w:szCs w:val="20"/>
                <w:color w:val="auto"/>
              </w:rPr>
            </w:pPr>
            <w:r>
              <w:rPr>
                <w:rFonts w:ascii="Arial" w:cs="Arial" w:eastAsia="Arial" w:hAnsi="Arial"/>
                <w:sz w:val="22"/>
                <w:szCs w:val="22"/>
                <w:color w:val="auto"/>
                <w:w w:val="93"/>
              </w:rPr>
              <w:t>(New York City time) on any Periodic Term SOFR Determination Day the</w:t>
            </w:r>
          </w:p>
        </w:tc>
      </w:tr>
      <w:tr>
        <w:trPr>
          <w:trHeight w:val="243"/>
        </w:trPr>
        <w:tc>
          <w:tcPr>
            <w:tcW w:w="2900" w:type="dxa"/>
            <w:vAlign w:val="bottom"/>
          </w:tcPr>
          <w:p>
            <w:pPr>
              <w:spacing w:after="0"/>
              <w:rPr>
                <w:sz w:val="21"/>
                <w:szCs w:val="21"/>
                <w:color w:val="auto"/>
              </w:rPr>
            </w:pPr>
          </w:p>
        </w:tc>
        <w:tc>
          <w:tcPr>
            <w:tcW w:w="8240" w:type="dxa"/>
            <w:vAlign w:val="bottom"/>
            <w:gridSpan w:val="3"/>
          </w:tcPr>
          <w:p>
            <w:pPr>
              <w:ind w:left="1600"/>
              <w:spacing w:after="0" w:line="243" w:lineRule="exact"/>
              <w:rPr>
                <w:sz w:val="20"/>
                <w:szCs w:val="20"/>
                <w:color w:val="auto"/>
              </w:rPr>
            </w:pPr>
            <w:r>
              <w:rPr>
                <w:rFonts w:ascii="Arial" w:cs="Arial" w:eastAsia="Arial" w:hAnsi="Arial"/>
                <w:sz w:val="22"/>
                <w:szCs w:val="22"/>
                <w:color w:val="auto"/>
                <w:w w:val="89"/>
              </w:rPr>
              <w:t>Term SOFR Reference Rate for the applicable tenor has not been published</w:t>
            </w:r>
          </w:p>
        </w:tc>
      </w:tr>
      <w:tr>
        <w:trPr>
          <w:trHeight w:val="243"/>
        </w:trPr>
        <w:tc>
          <w:tcPr>
            <w:tcW w:w="2900" w:type="dxa"/>
            <w:vAlign w:val="bottom"/>
          </w:tcPr>
          <w:p>
            <w:pPr>
              <w:spacing w:after="0"/>
              <w:rPr>
                <w:sz w:val="21"/>
                <w:szCs w:val="21"/>
                <w:color w:val="auto"/>
              </w:rPr>
            </w:pPr>
          </w:p>
        </w:tc>
        <w:tc>
          <w:tcPr>
            <w:tcW w:w="8240" w:type="dxa"/>
            <w:vAlign w:val="bottom"/>
            <w:gridSpan w:val="3"/>
          </w:tcPr>
          <w:p>
            <w:pPr>
              <w:ind w:left="1600"/>
              <w:spacing w:after="0" w:line="243" w:lineRule="exact"/>
              <w:rPr>
                <w:sz w:val="20"/>
                <w:szCs w:val="20"/>
                <w:color w:val="auto"/>
              </w:rPr>
            </w:pPr>
            <w:r>
              <w:rPr>
                <w:rFonts w:ascii="Arial" w:cs="Arial" w:eastAsia="Arial" w:hAnsi="Arial"/>
                <w:sz w:val="22"/>
                <w:szCs w:val="22"/>
                <w:color w:val="auto"/>
                <w:w w:val="90"/>
              </w:rPr>
              <w:t>by the Term SOFR Administrator and a Benchmark Replacement Date with</w:t>
            </w:r>
          </w:p>
        </w:tc>
      </w:tr>
      <w:tr>
        <w:trPr>
          <w:trHeight w:val="243"/>
        </w:trPr>
        <w:tc>
          <w:tcPr>
            <w:tcW w:w="2900" w:type="dxa"/>
            <w:vAlign w:val="bottom"/>
          </w:tcPr>
          <w:p>
            <w:pPr>
              <w:spacing w:after="0"/>
              <w:rPr>
                <w:sz w:val="21"/>
                <w:szCs w:val="21"/>
                <w:color w:val="auto"/>
              </w:rPr>
            </w:pPr>
          </w:p>
        </w:tc>
        <w:tc>
          <w:tcPr>
            <w:tcW w:w="8240" w:type="dxa"/>
            <w:vAlign w:val="bottom"/>
            <w:gridSpan w:val="3"/>
          </w:tcPr>
          <w:p>
            <w:pPr>
              <w:ind w:left="1600"/>
              <w:spacing w:after="0" w:line="243" w:lineRule="exact"/>
              <w:rPr>
                <w:sz w:val="20"/>
                <w:szCs w:val="20"/>
                <w:color w:val="auto"/>
              </w:rPr>
            </w:pPr>
            <w:r>
              <w:rPr>
                <w:rFonts w:ascii="Arial" w:cs="Arial" w:eastAsia="Arial" w:hAnsi="Arial"/>
                <w:sz w:val="22"/>
                <w:szCs w:val="22"/>
                <w:color w:val="auto"/>
                <w:w w:val="94"/>
              </w:rPr>
              <w:t>respect to the Term SOFR Reference Rate has not occurred, then Term</w:t>
            </w:r>
          </w:p>
        </w:tc>
      </w:tr>
      <w:tr>
        <w:trPr>
          <w:trHeight w:val="243"/>
        </w:trPr>
        <w:tc>
          <w:tcPr>
            <w:tcW w:w="2900" w:type="dxa"/>
            <w:vAlign w:val="bottom"/>
          </w:tcPr>
          <w:p>
            <w:pPr>
              <w:spacing w:after="0"/>
              <w:rPr>
                <w:sz w:val="21"/>
                <w:szCs w:val="21"/>
                <w:color w:val="auto"/>
              </w:rPr>
            </w:pPr>
          </w:p>
        </w:tc>
        <w:tc>
          <w:tcPr>
            <w:tcW w:w="8240" w:type="dxa"/>
            <w:vAlign w:val="bottom"/>
            <w:gridSpan w:val="3"/>
          </w:tcPr>
          <w:p>
            <w:pPr>
              <w:ind w:left="1600"/>
              <w:spacing w:after="0" w:line="243" w:lineRule="exact"/>
              <w:rPr>
                <w:sz w:val="20"/>
                <w:szCs w:val="20"/>
                <w:color w:val="auto"/>
              </w:rPr>
            </w:pPr>
            <w:r>
              <w:rPr>
                <w:rFonts w:ascii="Arial" w:cs="Arial" w:eastAsia="Arial" w:hAnsi="Arial"/>
                <w:sz w:val="22"/>
                <w:szCs w:val="22"/>
                <w:color w:val="auto"/>
                <w:w w:val="88"/>
              </w:rPr>
              <w:t>SOFR will be the Term SOFR Reference Rate for such tenor as published by</w:t>
            </w:r>
          </w:p>
        </w:tc>
      </w:tr>
      <w:tr>
        <w:trPr>
          <w:trHeight w:val="243"/>
        </w:trPr>
        <w:tc>
          <w:tcPr>
            <w:tcW w:w="2900" w:type="dxa"/>
            <w:vAlign w:val="bottom"/>
          </w:tcPr>
          <w:p>
            <w:pPr>
              <w:spacing w:after="0"/>
              <w:rPr>
                <w:sz w:val="21"/>
                <w:szCs w:val="21"/>
                <w:color w:val="auto"/>
              </w:rPr>
            </w:pPr>
          </w:p>
        </w:tc>
        <w:tc>
          <w:tcPr>
            <w:tcW w:w="8240" w:type="dxa"/>
            <w:vAlign w:val="bottom"/>
            <w:gridSpan w:val="3"/>
          </w:tcPr>
          <w:p>
            <w:pPr>
              <w:ind w:left="1600"/>
              <w:spacing w:after="0" w:line="243" w:lineRule="exact"/>
              <w:rPr>
                <w:sz w:val="20"/>
                <w:szCs w:val="20"/>
                <w:color w:val="auto"/>
              </w:rPr>
            </w:pPr>
            <w:r>
              <w:rPr>
                <w:rFonts w:ascii="Arial" w:cs="Arial" w:eastAsia="Arial" w:hAnsi="Arial"/>
                <w:sz w:val="22"/>
                <w:szCs w:val="22"/>
                <w:color w:val="auto"/>
                <w:w w:val="97"/>
              </w:rPr>
              <w:t>the Term SOFR Administrator on the first preceding U.S. Government</w:t>
            </w:r>
          </w:p>
        </w:tc>
      </w:tr>
      <w:tr>
        <w:trPr>
          <w:trHeight w:val="243"/>
        </w:trPr>
        <w:tc>
          <w:tcPr>
            <w:tcW w:w="2900" w:type="dxa"/>
            <w:vAlign w:val="bottom"/>
          </w:tcPr>
          <w:p>
            <w:pPr>
              <w:spacing w:after="0"/>
              <w:rPr>
                <w:sz w:val="21"/>
                <w:szCs w:val="21"/>
                <w:color w:val="auto"/>
              </w:rPr>
            </w:pPr>
          </w:p>
        </w:tc>
        <w:tc>
          <w:tcPr>
            <w:tcW w:w="8240" w:type="dxa"/>
            <w:vAlign w:val="bottom"/>
            <w:gridSpan w:val="3"/>
          </w:tcPr>
          <w:p>
            <w:pPr>
              <w:ind w:left="1600"/>
              <w:spacing w:after="0" w:line="243" w:lineRule="exact"/>
              <w:rPr>
                <w:sz w:val="20"/>
                <w:szCs w:val="20"/>
                <w:color w:val="auto"/>
              </w:rPr>
            </w:pPr>
            <w:r>
              <w:rPr>
                <w:rFonts w:ascii="Arial" w:cs="Arial" w:eastAsia="Arial" w:hAnsi="Arial"/>
                <w:sz w:val="22"/>
                <w:szCs w:val="22"/>
                <w:color w:val="auto"/>
                <w:w w:val="89"/>
              </w:rPr>
              <w:t>Securities Banking Day for which such Term SOFR Reference Rate for such</w:t>
            </w:r>
          </w:p>
        </w:tc>
      </w:tr>
      <w:tr>
        <w:trPr>
          <w:trHeight w:val="243"/>
        </w:trPr>
        <w:tc>
          <w:tcPr>
            <w:tcW w:w="2900" w:type="dxa"/>
            <w:vAlign w:val="bottom"/>
          </w:tcPr>
          <w:p>
            <w:pPr>
              <w:spacing w:after="0"/>
              <w:rPr>
                <w:sz w:val="21"/>
                <w:szCs w:val="21"/>
                <w:color w:val="auto"/>
              </w:rPr>
            </w:pPr>
          </w:p>
        </w:tc>
        <w:tc>
          <w:tcPr>
            <w:tcW w:w="8240" w:type="dxa"/>
            <w:vAlign w:val="bottom"/>
            <w:gridSpan w:val="3"/>
          </w:tcPr>
          <w:p>
            <w:pPr>
              <w:ind w:left="1600"/>
              <w:spacing w:after="0" w:line="243" w:lineRule="exact"/>
              <w:rPr>
                <w:sz w:val="20"/>
                <w:szCs w:val="20"/>
                <w:color w:val="auto"/>
              </w:rPr>
            </w:pPr>
            <w:r>
              <w:rPr>
                <w:rFonts w:ascii="Arial" w:cs="Arial" w:eastAsia="Arial" w:hAnsi="Arial"/>
                <w:sz w:val="22"/>
                <w:szCs w:val="22"/>
                <w:color w:val="auto"/>
                <w:w w:val="91"/>
              </w:rPr>
              <w:t>tenor was published by the Term SOFR Administrator so long as such first</w:t>
            </w:r>
          </w:p>
        </w:tc>
      </w:tr>
      <w:tr>
        <w:trPr>
          <w:trHeight w:val="243"/>
        </w:trPr>
        <w:tc>
          <w:tcPr>
            <w:tcW w:w="2900" w:type="dxa"/>
            <w:vAlign w:val="bottom"/>
          </w:tcPr>
          <w:p>
            <w:pPr>
              <w:spacing w:after="0"/>
              <w:rPr>
                <w:sz w:val="21"/>
                <w:szCs w:val="21"/>
                <w:color w:val="auto"/>
              </w:rPr>
            </w:pPr>
          </w:p>
        </w:tc>
        <w:tc>
          <w:tcPr>
            <w:tcW w:w="8240" w:type="dxa"/>
            <w:vAlign w:val="bottom"/>
            <w:gridSpan w:val="3"/>
          </w:tcPr>
          <w:p>
            <w:pPr>
              <w:ind w:left="1600"/>
              <w:spacing w:after="0" w:line="243" w:lineRule="exact"/>
              <w:rPr>
                <w:sz w:val="20"/>
                <w:szCs w:val="20"/>
                <w:color w:val="auto"/>
              </w:rPr>
            </w:pPr>
            <w:r>
              <w:rPr>
                <w:rFonts w:ascii="Arial" w:cs="Arial" w:eastAsia="Arial" w:hAnsi="Arial"/>
                <w:sz w:val="22"/>
                <w:szCs w:val="22"/>
                <w:color w:val="auto"/>
                <w:w w:val="91"/>
              </w:rPr>
              <w:t>preceding U.S. Government Securities Banking Day is not more than three</w:t>
            </w:r>
          </w:p>
        </w:tc>
      </w:tr>
      <w:tr>
        <w:trPr>
          <w:trHeight w:val="243"/>
        </w:trPr>
        <w:tc>
          <w:tcPr>
            <w:tcW w:w="2900" w:type="dxa"/>
            <w:vAlign w:val="bottom"/>
          </w:tcPr>
          <w:p>
            <w:pPr>
              <w:spacing w:after="0"/>
              <w:rPr>
                <w:sz w:val="21"/>
                <w:szCs w:val="21"/>
                <w:color w:val="auto"/>
              </w:rPr>
            </w:pPr>
          </w:p>
        </w:tc>
        <w:tc>
          <w:tcPr>
            <w:tcW w:w="8240" w:type="dxa"/>
            <w:vAlign w:val="bottom"/>
            <w:gridSpan w:val="3"/>
          </w:tcPr>
          <w:p>
            <w:pPr>
              <w:ind w:left="1600"/>
              <w:spacing w:after="0" w:line="243" w:lineRule="exact"/>
              <w:rPr>
                <w:sz w:val="20"/>
                <w:szCs w:val="20"/>
                <w:color w:val="auto"/>
              </w:rPr>
            </w:pPr>
            <w:r>
              <w:rPr>
                <w:rFonts w:ascii="Arial" w:cs="Arial" w:eastAsia="Arial" w:hAnsi="Arial"/>
                <w:sz w:val="22"/>
                <w:szCs w:val="22"/>
                <w:color w:val="auto"/>
                <w:w w:val="92"/>
              </w:rPr>
              <w:t>(3) U.S. Government Securities Banking Days prior to such Periodic Term</w:t>
            </w:r>
          </w:p>
        </w:tc>
      </w:tr>
      <w:tr>
        <w:trPr>
          <w:trHeight w:val="243"/>
        </w:trPr>
        <w:tc>
          <w:tcPr>
            <w:tcW w:w="2900" w:type="dxa"/>
            <w:vAlign w:val="bottom"/>
          </w:tcPr>
          <w:p>
            <w:pPr>
              <w:spacing w:after="0"/>
              <w:rPr>
                <w:sz w:val="21"/>
                <w:szCs w:val="21"/>
                <w:color w:val="auto"/>
              </w:rPr>
            </w:pPr>
          </w:p>
        </w:tc>
        <w:tc>
          <w:tcPr>
            <w:tcW w:w="8240" w:type="dxa"/>
            <w:vAlign w:val="bottom"/>
            <w:gridSpan w:val="3"/>
          </w:tcPr>
          <w:p>
            <w:pPr>
              <w:ind w:left="1600"/>
              <w:spacing w:after="0" w:line="243" w:lineRule="exact"/>
              <w:rPr>
                <w:sz w:val="20"/>
                <w:szCs w:val="20"/>
                <w:color w:val="auto"/>
              </w:rPr>
            </w:pPr>
            <w:r>
              <w:rPr>
                <w:rFonts w:ascii="Arial" w:cs="Arial" w:eastAsia="Arial" w:hAnsi="Arial"/>
                <w:sz w:val="22"/>
                <w:szCs w:val="22"/>
                <w:color w:val="auto"/>
                <w:w w:val="93"/>
              </w:rPr>
              <w:t>SOFR Determination Day; provided that if Term SOFR as so determined</w:t>
            </w:r>
          </w:p>
        </w:tc>
      </w:tr>
      <w:tr>
        <w:trPr>
          <w:trHeight w:val="243"/>
        </w:trPr>
        <w:tc>
          <w:tcPr>
            <w:tcW w:w="2900" w:type="dxa"/>
            <w:vAlign w:val="bottom"/>
          </w:tcPr>
          <w:p>
            <w:pPr>
              <w:spacing w:after="0"/>
              <w:rPr>
                <w:sz w:val="21"/>
                <w:szCs w:val="21"/>
                <w:color w:val="auto"/>
              </w:rPr>
            </w:pPr>
          </w:p>
        </w:tc>
        <w:tc>
          <w:tcPr>
            <w:tcW w:w="8240" w:type="dxa"/>
            <w:vAlign w:val="bottom"/>
            <w:gridSpan w:val="3"/>
          </w:tcPr>
          <w:p>
            <w:pPr>
              <w:ind w:left="1600"/>
              <w:spacing w:after="0" w:line="243" w:lineRule="exact"/>
              <w:rPr>
                <w:sz w:val="20"/>
                <w:szCs w:val="20"/>
                <w:color w:val="auto"/>
              </w:rPr>
            </w:pPr>
            <w:r>
              <w:rPr>
                <w:rFonts w:ascii="Arial" w:cs="Arial" w:eastAsia="Arial" w:hAnsi="Arial"/>
                <w:sz w:val="22"/>
                <w:szCs w:val="22"/>
                <w:color w:val="auto"/>
                <w:w w:val="88"/>
              </w:rPr>
              <w:t>shall ever be less than the Floor, then Term SOFR shall be deemed to be the</w:t>
            </w:r>
          </w:p>
        </w:tc>
      </w:tr>
      <w:tr>
        <w:trPr>
          <w:trHeight w:val="274"/>
        </w:trPr>
        <w:tc>
          <w:tcPr>
            <w:tcW w:w="2900" w:type="dxa"/>
            <w:vAlign w:val="bottom"/>
          </w:tcPr>
          <w:p>
            <w:pPr>
              <w:spacing w:after="0"/>
              <w:rPr>
                <w:sz w:val="23"/>
                <w:szCs w:val="23"/>
                <w:color w:val="auto"/>
              </w:rPr>
            </w:pPr>
          </w:p>
        </w:tc>
        <w:tc>
          <w:tcPr>
            <w:tcW w:w="8240" w:type="dxa"/>
            <w:vAlign w:val="bottom"/>
            <w:gridSpan w:val="3"/>
          </w:tcPr>
          <w:p>
            <w:pPr>
              <w:ind w:left="1600"/>
              <w:spacing w:after="0"/>
              <w:rPr>
                <w:sz w:val="20"/>
                <w:szCs w:val="20"/>
                <w:color w:val="auto"/>
              </w:rPr>
            </w:pPr>
            <w:r>
              <w:rPr>
                <w:rFonts w:ascii="Arial" w:cs="Arial" w:eastAsia="Arial" w:hAnsi="Arial"/>
                <w:sz w:val="22"/>
                <w:szCs w:val="22"/>
                <w:color w:val="auto"/>
              </w:rPr>
              <w:t>Floor;</w:t>
            </w:r>
          </w:p>
        </w:tc>
      </w:tr>
    </w:tbl>
    <w:p>
      <w:pPr>
        <w:spacing w:after="0" w:line="200" w:lineRule="exact"/>
        <w:rPr>
          <w:sz w:val="20"/>
          <w:szCs w:val="20"/>
          <w:color w:val="auto"/>
        </w:rPr>
      </w:pPr>
    </w:p>
    <w:p>
      <w:pPr>
        <w:sectPr>
          <w:pgSz w:w="11900" w:h="16838" w:orient="portrait"/>
          <w:cols w:equalWidth="0" w:num="1">
            <w:col w:w="11140"/>
          </w:cols>
          <w:pgMar w:left="420" w:top="426"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SOFR Administrator</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rPr>
          <w:sz w:val="20"/>
          <w:szCs w:val="20"/>
          <w:color w:val="auto"/>
        </w:rPr>
      </w:pPr>
      <w:r>
        <w:rPr>
          <w:rFonts w:ascii="Arial" w:cs="Arial" w:eastAsia="Arial" w:hAnsi="Arial"/>
          <w:sz w:val="22"/>
          <w:szCs w:val="22"/>
          <w:color w:val="auto"/>
        </w:rPr>
        <w:t>shall mean CME Group Benchmark Administration Limited (CBA) (or a successor administrator of the Term SOFR Reference Rate selected by the Administrative Agent in its reasonable discretion).</w:t>
      </w:r>
    </w:p>
    <w:p>
      <w:pPr>
        <w:spacing w:after="0" w:line="200" w:lineRule="exact"/>
        <w:rPr>
          <w:sz w:val="20"/>
          <w:szCs w:val="20"/>
          <w:color w:val="auto"/>
        </w:rPr>
      </w:pPr>
    </w:p>
    <w:p>
      <w:pPr>
        <w:sectPr>
          <w:pgSz w:w="11900" w:h="16838" w:orient="portrait"/>
          <w:cols w:equalWidth="0" w:num="2">
            <w:col w:w="3780" w:space="720"/>
            <w:col w:w="6640"/>
          </w:cols>
          <w:pgMar w:left="420" w:top="426" w:right="339" w:bottom="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SOFR Reference Rate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1640"/>
        <w:spacing w:after="0"/>
        <w:rPr>
          <w:sz w:val="20"/>
          <w:szCs w:val="20"/>
          <w:color w:val="auto"/>
        </w:rPr>
      </w:pPr>
      <w:r>
        <w:rPr>
          <w:rFonts w:ascii="Arial" w:cs="Arial" w:eastAsia="Arial" w:hAnsi="Arial"/>
          <w:sz w:val="19"/>
          <w:szCs w:val="19"/>
          <w:color w:val="auto"/>
        </w:rPr>
        <w:t>shall mean the forward-looking term rate based on SOFR;</w:t>
      </w:r>
    </w:p>
    <w:p>
      <w:pPr>
        <w:spacing w:after="0" w:line="200" w:lineRule="exact"/>
        <w:rPr>
          <w:sz w:val="20"/>
          <w:szCs w:val="20"/>
          <w:color w:val="auto"/>
        </w:rPr>
      </w:pPr>
    </w:p>
    <w:p>
      <w:pPr>
        <w:sectPr>
          <w:pgSz w:w="11900" w:h="16838" w:orient="portrait"/>
          <w:cols w:equalWidth="0" w:num="2">
            <w:col w:w="3780" w:space="720"/>
            <w:col w:w="6640"/>
          </w:cols>
          <w:pgMar w:left="420" w:top="426" w:right="339" w:bottom="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Total Loss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shall have the meaning ascribed thereto in the Mortgages;</w:t>
      </w:r>
    </w:p>
    <w:p>
      <w:pPr>
        <w:spacing w:after="0" w:line="200" w:lineRule="exact"/>
        <w:rPr>
          <w:sz w:val="20"/>
          <w:szCs w:val="20"/>
          <w:color w:val="auto"/>
        </w:rPr>
      </w:pPr>
    </w:p>
    <w:p>
      <w:pPr>
        <w:sectPr>
          <w:pgSz w:w="11900" w:h="16838" w:orient="portrait"/>
          <w:cols w:equalWidth="0" w:num="2">
            <w:col w:w="3780" w:space="720"/>
            <w:col w:w="6640"/>
          </w:cols>
          <w:pgMar w:left="420" w:top="426" w:right="339" w:bottom="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Total Loss Date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shall mean, in relation to the Total Loss of a Vessel:</w:t>
      </w:r>
    </w:p>
    <w:p>
      <w:pPr>
        <w:spacing w:after="0" w:line="200" w:lineRule="exact"/>
        <w:rPr>
          <w:sz w:val="20"/>
          <w:szCs w:val="20"/>
          <w:color w:val="auto"/>
        </w:rPr>
      </w:pPr>
    </w:p>
    <w:p>
      <w:pPr>
        <w:sectPr>
          <w:pgSz w:w="11900" w:h="16838" w:orient="portrait"/>
          <w:cols w:equalWidth="0" w:num="2">
            <w:col w:w="3780" w:space="720"/>
            <w:col w:w="6640"/>
          </w:cols>
          <w:pgMar w:left="420" w:top="426" w:right="339" w:bottom="0" w:gutter="0" w:footer="0" w:header="0"/>
          <w:type w:val="continuous"/>
        </w:sectPr>
      </w:pPr>
    </w:p>
    <w:p>
      <w:pPr>
        <w:spacing w:after="0" w:line="41" w:lineRule="exact"/>
        <w:rPr>
          <w:sz w:val="20"/>
          <w:szCs w:val="20"/>
          <w:color w:val="auto"/>
        </w:rPr>
      </w:pPr>
    </w:p>
    <w:p>
      <w:pPr>
        <w:ind w:left="4500" w:hanging="499"/>
        <w:spacing w:after="0" w:line="274" w:lineRule="auto"/>
        <w:rPr>
          <w:sz w:val="20"/>
          <w:szCs w:val="20"/>
          <w:color w:val="auto"/>
        </w:rPr>
      </w:pPr>
      <w:r>
        <w:rPr>
          <w:rFonts w:ascii="Arial" w:cs="Arial" w:eastAsia="Arial" w:hAnsi="Arial"/>
          <w:sz w:val="21"/>
          <w:szCs w:val="21"/>
          <w:color w:val="auto"/>
        </w:rPr>
        <w:t>(a)in the case of an actual loss of that Vessel, the date on which it occurred or, if that is unknown, the date when that Vessel was last heard of;</w:t>
      </w:r>
    </w:p>
    <w:p>
      <w:pPr>
        <w:spacing w:after="0" w:line="124" w:lineRule="exact"/>
        <w:rPr>
          <w:sz w:val="20"/>
          <w:szCs w:val="20"/>
          <w:color w:val="auto"/>
        </w:rPr>
      </w:pPr>
    </w:p>
    <w:p>
      <w:pPr>
        <w:ind w:left="4500" w:hanging="499"/>
        <w:spacing w:after="0" w:line="250" w:lineRule="auto"/>
        <w:rPr>
          <w:sz w:val="20"/>
          <w:szCs w:val="20"/>
          <w:color w:val="auto"/>
        </w:rPr>
      </w:pPr>
      <w:r>
        <w:rPr>
          <w:rFonts w:ascii="Arial" w:cs="Arial" w:eastAsia="Arial" w:hAnsi="Arial"/>
          <w:sz w:val="22"/>
          <w:szCs w:val="22"/>
          <w:color w:val="auto"/>
        </w:rPr>
        <w:t>(b)in the case of a constructive or compromised total loss of that Vessel, the earlier of:</w:t>
      </w:r>
    </w:p>
    <w:p>
      <w:pPr>
        <w:spacing w:after="0" w:line="200" w:lineRule="exact"/>
        <w:rPr>
          <w:sz w:val="20"/>
          <w:szCs w:val="20"/>
          <w:color w:val="auto"/>
        </w:rPr>
      </w:pPr>
    </w:p>
    <w:p>
      <w:pPr>
        <w:spacing w:after="0" w:line="312"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9"/>
          <w:szCs w:val="19"/>
          <w:color w:val="auto"/>
        </w:rPr>
        <w:t>(i)</w:t>
        <w:tab/>
        <w:t>the date on which a notice of abandonment is given to the insurers; and</w:t>
      </w:r>
    </w:p>
    <w:p>
      <w:pPr>
        <w:spacing w:after="0" w:line="254" w:lineRule="exact"/>
        <w:rPr>
          <w:sz w:val="20"/>
          <w:szCs w:val="20"/>
          <w:color w:val="auto"/>
        </w:rPr>
      </w:pPr>
    </w:p>
    <w:p>
      <w:pPr>
        <w:ind w:left="4500" w:right="180"/>
        <w:spacing w:after="0" w:line="257" w:lineRule="auto"/>
        <w:rPr>
          <w:sz w:val="20"/>
          <w:szCs w:val="20"/>
          <w:color w:val="auto"/>
        </w:rPr>
      </w:pPr>
      <w:r>
        <w:rPr>
          <w:rFonts w:ascii="Arial" w:cs="Arial" w:eastAsia="Arial" w:hAnsi="Arial"/>
          <w:sz w:val="21"/>
          <w:szCs w:val="21"/>
          <w:color w:val="auto"/>
        </w:rPr>
        <w:t>(ii) the date of any compromise, arrangement or agreement made by or on behalf of the relevant Borrower with that Vessel’s insurers in which the insurers agree to treat that Vessel as a total loss;</w:t>
      </w:r>
    </w:p>
    <w:p>
      <w:pPr>
        <w:spacing w:after="0" w:line="169" w:lineRule="exact"/>
        <w:rPr>
          <w:sz w:val="20"/>
          <w:szCs w:val="20"/>
          <w:color w:val="auto"/>
        </w:rPr>
      </w:pPr>
    </w:p>
    <w:p>
      <w:pPr>
        <w:jc w:val="both"/>
        <w:ind w:left="4500" w:hanging="499"/>
        <w:spacing w:after="0"/>
        <w:rPr>
          <w:sz w:val="20"/>
          <w:szCs w:val="20"/>
          <w:color w:val="auto"/>
        </w:rPr>
      </w:pPr>
      <w:r>
        <w:rPr>
          <w:rFonts w:ascii="Arial" w:cs="Arial" w:eastAsia="Arial" w:hAnsi="Arial"/>
          <w:sz w:val="22"/>
          <w:szCs w:val="22"/>
          <w:color w:val="auto"/>
        </w:rPr>
        <w:t>(c)in the case of requisition for title or other compulsory acquisition of the Vessel the date on which such requisition for title or other compulsory acquisition occurred;</w:t>
      </w:r>
    </w:p>
    <w:p>
      <w:pPr>
        <w:spacing w:after="0" w:line="186" w:lineRule="exact"/>
        <w:rPr>
          <w:sz w:val="20"/>
          <w:szCs w:val="20"/>
          <w:color w:val="auto"/>
        </w:rPr>
      </w:pPr>
    </w:p>
    <w:p>
      <w:pPr>
        <w:jc w:val="both"/>
        <w:ind w:left="4500" w:hanging="499"/>
        <w:spacing w:after="0" w:line="238" w:lineRule="auto"/>
        <w:rPr>
          <w:sz w:val="20"/>
          <w:szCs w:val="20"/>
          <w:color w:val="auto"/>
        </w:rPr>
      </w:pPr>
      <w:r>
        <w:rPr>
          <w:rFonts w:ascii="Arial" w:cs="Arial" w:eastAsia="Arial" w:hAnsi="Arial"/>
          <w:sz w:val="22"/>
          <w:szCs w:val="22"/>
          <w:color w:val="auto"/>
        </w:rPr>
        <w:t>(d)in the case of capture, seizure, arrest, detention or confiscation of the Vessel by any government or by persons acting or purporting to act on behalf of any government, the date on which such capture, seizure, arrest, detention or confiscation occurred; and</w:t>
      </w:r>
    </w:p>
    <w:p>
      <w:pPr>
        <w:spacing w:after="0" w:line="185" w:lineRule="exact"/>
        <w:rPr>
          <w:sz w:val="20"/>
          <w:szCs w:val="20"/>
          <w:color w:val="auto"/>
        </w:rPr>
      </w:pPr>
    </w:p>
    <w:p>
      <w:pPr>
        <w:jc w:val="both"/>
        <w:ind w:left="4500" w:hanging="499"/>
        <w:spacing w:after="0"/>
        <w:rPr>
          <w:sz w:val="20"/>
          <w:szCs w:val="20"/>
          <w:color w:val="auto"/>
        </w:rPr>
      </w:pPr>
      <w:r>
        <w:rPr>
          <w:rFonts w:ascii="Arial" w:cs="Arial" w:eastAsia="Arial" w:hAnsi="Arial"/>
          <w:sz w:val="22"/>
          <w:szCs w:val="22"/>
          <w:color w:val="auto"/>
        </w:rPr>
        <w:t>(d) in the case of any other type of total loss, the date (or the most likely date) on which it appears to the insurers that the event constituting the total loss occurred;</w:t>
      </w:r>
    </w:p>
    <w:p>
      <w:pPr>
        <w:sectPr>
          <w:pgSz w:w="11900" w:h="16838" w:orient="portrait"/>
          <w:cols w:equalWidth="0" w:num="1">
            <w:col w:w="11140"/>
          </w:cols>
          <w:pgMar w:left="420" w:top="426"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232410</wp:posOffset>
            </wp:positionV>
            <wp:extent cx="7174865" cy="18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5">
                      <a:extLst>
                        <a:ext uri="{28A0092B-C50C-407E-A947-70E740481C1C}"/>
                      </a:extLst>
                    </a:blip>
                    <a:srcRect/>
                    <a:stretch>
                      <a:fillRect/>
                    </a:stretch>
                  </pic:blipFill>
                  <pic:spPr bwMode="auto">
                    <a:xfrm>
                      <a:off x="0" y="0"/>
                      <a:ext cx="7174865" cy="18415"/>
                    </a:xfrm>
                    <a:prstGeom prst="rect">
                      <a:avLst/>
                    </a:prstGeom>
                    <a:noFill/>
                  </pic:spPr>
                </pic:pic>
              </a:graphicData>
            </a:graphic>
          </wp:anchor>
        </w:drawing>
      </w:r>
    </w:p>
    <w:p>
      <w:pPr>
        <w:sectPr>
          <w:pgSz w:w="11900" w:h="16838" w:orient="portrait"/>
          <w:cols w:equalWidth="0" w:num="1">
            <w:col w:w="11140"/>
          </w:cols>
          <w:pgMar w:left="420" w:top="426" w:right="339" w:bottom="0" w:gutter="0" w:footer="0" w:header="0"/>
          <w:type w:val="continuous"/>
        </w:sectPr>
      </w:pPr>
    </w:p>
    <w:bookmarkStart w:id="160" w:name="page161"/>
    <w:bookmarkEnd w:id="160"/>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Tranche(s)</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Tranche 1</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Tranche 2</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Tranche 3</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Tranche 4</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Tranche 5</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 Documents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UK Financial Institution</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UK Resolution Authority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Unadjusted Benchmark Replacement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ind w:right="520"/>
        <w:spacing w:after="0" w:line="250" w:lineRule="auto"/>
        <w:rPr>
          <w:sz w:val="20"/>
          <w:szCs w:val="20"/>
          <w:color w:val="auto"/>
        </w:rPr>
      </w:pPr>
      <w:r>
        <w:rPr>
          <w:rFonts w:ascii="Arial" w:cs="Arial" w:eastAsia="Arial" w:hAnsi="Arial"/>
          <w:sz w:val="22"/>
          <w:szCs w:val="22"/>
          <w:color w:val="auto"/>
        </w:rPr>
        <w:t>shall mean any or all, as the context requires, of Tranche 1, Tranche 2, Tranche 3, Tranche 4 or Tranche 5;</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shall mean the portion of the Facility attributable to SEACOR BRAVE made available by the Lenders to the Borrowers in the principal amount of $3,547,314.32.</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shall mean the portion of the Facility attributable to SEACOR CHIEF made available by the Lenders to the Borrowers in the principal amount of $4,171,196.18;</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shall mean the portion of the Facility attributable to SEACOR COURAGEOUS made available by the Lenders to the Borrowers in the principal amount of $3,691,598.16;</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shall mean the portion of the Facility attributable to SEACOR FEARLESS made available by the Lenders to the Borrowers in the principal amount of $3,290,007.14;</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shall mean the portion of the Facility attributable to SEACOR RESOLUTE made available by the Lenders to the Borrowers in the principal amount of $3,352,196.00;</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shall mean each of this Agreement, the Notes, the Guaranty, the Security Documents, any Interest Rate Agreement, any Intercompany Debt Subordination Agreement, and any other</w:t>
      </w:r>
    </w:p>
    <w:p>
      <w:pPr>
        <w:spacing w:after="0" w:line="267" w:lineRule="exact"/>
        <w:rPr>
          <w:sz w:val="20"/>
          <w:szCs w:val="20"/>
          <w:color w:val="auto"/>
        </w:rPr>
      </w:pPr>
    </w:p>
    <w:p>
      <w:pPr>
        <w:ind w:right="820"/>
        <w:spacing w:after="0" w:line="250" w:lineRule="auto"/>
        <w:rPr>
          <w:sz w:val="20"/>
          <w:szCs w:val="20"/>
          <w:color w:val="auto"/>
        </w:rPr>
      </w:pPr>
      <w:r>
        <w:rPr>
          <w:rFonts w:ascii="Arial" w:cs="Arial" w:eastAsia="Arial" w:hAnsi="Arial"/>
          <w:sz w:val="22"/>
          <w:szCs w:val="22"/>
          <w:color w:val="auto"/>
        </w:rPr>
        <w:t>document designated as such by the Administrative Agent and the Borrowers;</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shall mean the Bank of England or any other public administrative authority having responsibility for the resolution of any UK Financial Institution;</w:t>
      </w:r>
    </w:p>
    <w:p>
      <w:pPr>
        <w:spacing w:after="0" w:line="361"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shall mean the applicable Benchmark Replacement excluding the related Benchmark Replacement Adjustment;</w:t>
      </w:r>
    </w:p>
    <w:p>
      <w:pPr>
        <w:spacing w:after="0" w:line="315" w:lineRule="exact"/>
        <w:rPr>
          <w:sz w:val="20"/>
          <w:szCs w:val="20"/>
          <w:color w:val="auto"/>
        </w:rPr>
      </w:pPr>
    </w:p>
    <w:p>
      <w:pPr>
        <w:ind w:left="920"/>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203200</wp:posOffset>
            </wp:positionV>
            <wp:extent cx="71748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3780" w:space="720"/>
            <w:col w:w="6640"/>
          </w:cols>
          <w:pgMar w:left="420" w:top="436" w:right="339" w:bottom="1440" w:gutter="0" w:footer="0" w:header="0"/>
        </w:sectPr>
      </w:pPr>
    </w:p>
    <w:bookmarkStart w:id="161" w:name="page162"/>
    <w:bookmarkEnd w:id="161"/>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 Government Securities Banking Day</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Vessel(s)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Withdrawal Liability(ies)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Write-down and Conversion Powers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ind w:left="7"/>
        <w:spacing w:after="0"/>
        <w:rPr>
          <w:sz w:val="20"/>
          <w:szCs w:val="20"/>
          <w:color w:val="auto"/>
        </w:rPr>
      </w:pPr>
      <w:r>
        <w:rPr>
          <w:rFonts w:ascii="Arial" w:cs="Arial" w:eastAsia="Arial" w:hAnsi="Arial"/>
          <w:sz w:val="22"/>
          <w:szCs w:val="22"/>
          <w:color w:val="auto"/>
        </w:rPr>
        <w:t>shall mean any day except for (a) a Saturday, (b) a Sunday or</w:t>
      </w:r>
    </w:p>
    <w:p>
      <w:pPr>
        <w:spacing w:after="0" w:line="8" w:lineRule="exact"/>
        <w:rPr>
          <w:sz w:val="20"/>
          <w:szCs w:val="20"/>
          <w:color w:val="auto"/>
        </w:rPr>
      </w:pPr>
    </w:p>
    <w:p>
      <w:pPr>
        <w:jc w:val="both"/>
        <w:ind w:left="7" w:hanging="7"/>
        <w:spacing w:after="0" w:line="233" w:lineRule="auto"/>
        <w:tabs>
          <w:tab w:leader="none" w:pos="405"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 day on which the Securities Industry and Financial Markets Association recommends that the fixed income departments of its members be closed for the entire day for purposes of trading in United States government securities;</w:t>
      </w:r>
    </w:p>
    <w:p>
      <w:pPr>
        <w:spacing w:after="0" w:line="215" w:lineRule="exact"/>
        <w:rPr>
          <w:sz w:val="20"/>
          <w:szCs w:val="20"/>
          <w:color w:val="auto"/>
        </w:rPr>
      </w:pPr>
    </w:p>
    <w:p>
      <w:pPr>
        <w:jc w:val="both"/>
        <w:ind w:left="7"/>
        <w:spacing w:after="0"/>
        <w:rPr>
          <w:sz w:val="20"/>
          <w:szCs w:val="20"/>
          <w:color w:val="auto"/>
        </w:rPr>
      </w:pPr>
      <w:r>
        <w:rPr>
          <w:rFonts w:ascii="Arial" w:cs="Arial" w:eastAsia="Arial" w:hAnsi="Arial"/>
          <w:sz w:val="22"/>
          <w:szCs w:val="22"/>
          <w:color w:val="auto"/>
        </w:rPr>
        <w:t>shall mean any or all, as the context requires, of SEACOR BRAVE, SEACOR CHIEF, SEACOR COURAGEOUS, SEACOR FEARLESS, and SEACOR RESOLUTE;</w:t>
      </w:r>
    </w:p>
    <w:p>
      <w:pPr>
        <w:spacing w:after="0" w:line="200" w:lineRule="exact"/>
        <w:rPr>
          <w:sz w:val="20"/>
          <w:szCs w:val="20"/>
          <w:color w:val="auto"/>
        </w:rPr>
      </w:pPr>
    </w:p>
    <w:p>
      <w:pPr>
        <w:jc w:val="both"/>
        <w:ind w:left="7"/>
        <w:spacing w:after="0"/>
        <w:rPr>
          <w:sz w:val="20"/>
          <w:szCs w:val="20"/>
          <w:color w:val="auto"/>
        </w:rPr>
      </w:pPr>
      <w:r>
        <w:rPr>
          <w:rFonts w:ascii="Arial" w:cs="Arial" w:eastAsia="Arial" w:hAnsi="Arial"/>
          <w:sz w:val="22"/>
          <w:szCs w:val="22"/>
          <w:color w:val="auto"/>
        </w:rPr>
        <w:t>shall mean liability to a Multiemployer Plan as a result of a complete or partial withdrawal from such Multiemployer Plan, as such terms are defined in Part 1 of Subtitle E of Title IV of ERISA; and</w:t>
      </w:r>
    </w:p>
    <w:p>
      <w:pPr>
        <w:spacing w:after="0" w:line="362" w:lineRule="exact"/>
        <w:rPr>
          <w:sz w:val="20"/>
          <w:szCs w:val="20"/>
          <w:color w:val="auto"/>
        </w:rPr>
      </w:pPr>
    </w:p>
    <w:p>
      <w:pPr>
        <w:jc w:val="both"/>
        <w:ind w:left="7"/>
        <w:spacing w:after="0" w:line="271" w:lineRule="auto"/>
        <w:rPr>
          <w:sz w:val="20"/>
          <w:szCs w:val="20"/>
          <w:color w:val="auto"/>
        </w:rPr>
      </w:pPr>
      <w:r>
        <w:rPr>
          <w:rFonts w:ascii="Arial" w:cs="Arial" w:eastAsia="Arial" w:hAnsi="Arial"/>
          <w:sz w:val="19"/>
          <w:szCs w:val="19"/>
          <w:color w:val="auto"/>
        </w:rPr>
        <w:t>shall mean: (a) with respect to any EEA Resolution Authority, the write-down and conversion powers of such EEA Resolution Authority from time to time under the Bail- 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27"/>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-2923540</wp:posOffset>
            </wp:positionH>
            <wp:positionV relativeFrom="paragraph">
              <wp:posOffset>203200</wp:posOffset>
            </wp:positionV>
            <wp:extent cx="71748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3940" w:space="553"/>
            <w:col w:w="6647"/>
          </w:cols>
          <w:pgMar w:left="420" w:top="436" w:right="339" w:bottom="1440" w:gutter="0" w:footer="0" w:header="0"/>
        </w:sectPr>
      </w:pPr>
    </w:p>
    <w:bookmarkStart w:id="162" w:name="page163"/>
    <w:bookmarkEnd w:id="162"/>
    <w:p>
      <w:pPr>
        <w:ind w:firstLine="780"/>
        <w:spacing w:after="0" w:line="272"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Computation of Time Periods; Other Definitional Provisions</w:t>
      </w:r>
      <w:r>
        <w:rPr>
          <w:rFonts w:ascii="Arial" w:cs="Arial" w:eastAsia="Arial" w:hAnsi="Arial"/>
          <w:sz w:val="19"/>
          <w:szCs w:val="19"/>
          <w:color w:val="auto"/>
        </w:rPr>
        <w:t>. In this Agreement, the Notes, and the Security Documents, in the computation of periods of time from a specified date to a later specified date, the word “from” means “from and including” and the words “to” and “until” each mean “to but excluding”; words importing either gender include the other gender; references to “writing” include printing, typing, lithography and other means of reproducing words in a tangible visible form; the words “including,” “includes” and “include” shall be deemed to be followed by the words “without limitation”; references to articles, sections (or subdivisions of sections), exhibits, annexes or schedules are to this Agreement, the Notes or such Security Document, as applicable; references to agreements and other contractual instruments (including this Agreement, the Notes and the Security Documents) shall be deemed to include all subsequent amendments, amendments and restatements, supplements, extensions, replacements and other modifications to such instruments (without, however, limiting any prohibition on any such amendments, extensions and other modifications by the terms of this Agreement, the Notes or any Security Document); references to any matter that is “approved” or requires “approval” of a party shall mean approval given in the sole and absolute discretion of such party unless otherwise specified.</w:t>
      </w:r>
    </w:p>
    <w:p>
      <w:pPr>
        <w:spacing w:after="0" w:line="200" w:lineRule="exact"/>
        <w:rPr>
          <w:sz w:val="20"/>
          <w:szCs w:val="20"/>
          <w:color w:val="auto"/>
        </w:rPr>
      </w:pPr>
    </w:p>
    <w:p>
      <w:pPr>
        <w:spacing w:after="0" w:line="208" w:lineRule="exact"/>
        <w:rPr>
          <w:sz w:val="20"/>
          <w:szCs w:val="20"/>
          <w:color w:val="auto"/>
        </w:rPr>
      </w:pPr>
    </w:p>
    <w:p>
      <w:pPr>
        <w:ind w:right="20" w:firstLine="780"/>
        <w:spacing w:after="0" w:line="282"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Accounting Terms</w:t>
      </w:r>
      <w:r>
        <w:rPr>
          <w:rFonts w:ascii="Arial" w:cs="Arial" w:eastAsia="Arial" w:hAnsi="Arial"/>
          <w:sz w:val="19"/>
          <w:szCs w:val="19"/>
          <w:color w:val="auto"/>
        </w:rPr>
        <w:t>. Unless otherwise specified herein, all accounting terms used in this Agreement, the Notes and in the Security Documents shall be interpreted, and all financial statements and certificates and reports as to financial matters required to be delivered to the Administrative Agent or to the Lenders under this Agreement shall be prepared, in accordance with generally accepted accounting principles for the United States (“</w:t>
      </w:r>
      <w:r>
        <w:rPr>
          <w:rFonts w:ascii="Arial" w:cs="Arial" w:eastAsia="Arial" w:hAnsi="Arial"/>
          <w:sz w:val="19"/>
          <w:szCs w:val="19"/>
          <w:b w:val="1"/>
          <w:bCs w:val="1"/>
          <w:color w:val="auto"/>
        </w:rPr>
        <w:t>GAAP</w:t>
      </w:r>
      <w:r>
        <w:rPr>
          <w:rFonts w:ascii="Arial" w:cs="Arial" w:eastAsia="Arial" w:hAnsi="Arial"/>
          <w:sz w:val="19"/>
          <w:szCs w:val="19"/>
          <w:color w:val="auto"/>
        </w:rPr>
        <w:t>”), as amended from time to time including amendments to GAAP made as a result of the conformity of GAAP to International Financial Reporting Standards.</w:t>
      </w:r>
    </w:p>
    <w:p>
      <w:pPr>
        <w:spacing w:after="0" w:line="147" w:lineRule="exact"/>
        <w:rPr>
          <w:sz w:val="20"/>
          <w:szCs w:val="20"/>
          <w:color w:val="auto"/>
        </w:rPr>
      </w:pPr>
    </w:p>
    <w:p>
      <w:pPr>
        <w:ind w:right="140" w:firstLine="780"/>
        <w:spacing w:after="0" w:line="287"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Certain Matters Regarding Materiality</w:t>
      </w:r>
      <w:r>
        <w:rPr>
          <w:rFonts w:ascii="Arial" w:cs="Arial" w:eastAsia="Arial" w:hAnsi="Arial"/>
          <w:sz w:val="19"/>
          <w:szCs w:val="19"/>
          <w:color w:val="auto"/>
        </w:rPr>
        <w:t>. To the extent that any representation, warranty, covenant or other undertaking of any of the Security Parties in this Agreement is qualified by reference to those which are not reasonably expected to result in a “Material Adverse Effect” or language of similar import, no inference shall be drawn therefrom that any Agent or Lender has knowledge or approves of any noncompliance by such Security Party with any governmental rule.</w:t>
      </w:r>
    </w:p>
    <w:p>
      <w:pPr>
        <w:spacing w:after="0" w:line="143" w:lineRule="exact"/>
        <w:rPr>
          <w:sz w:val="20"/>
          <w:szCs w:val="20"/>
          <w:color w:val="auto"/>
        </w:rPr>
      </w:pPr>
    </w:p>
    <w:p>
      <w:pPr>
        <w:ind w:left="820" w:hanging="812"/>
        <w:spacing w:after="0"/>
        <w:tabs>
          <w:tab w:leader="none" w:pos="82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REPRESENTATIONS AND WARRANTIES</w:t>
      </w:r>
    </w:p>
    <w:p>
      <w:pPr>
        <w:spacing w:after="0" w:line="206" w:lineRule="exact"/>
        <w:rPr>
          <w:sz w:val="20"/>
          <w:szCs w:val="20"/>
          <w:color w:val="auto"/>
        </w:rPr>
      </w:pPr>
    </w:p>
    <w:p>
      <w:pPr>
        <w:ind w:right="100" w:firstLine="780"/>
        <w:spacing w:after="0" w:line="238"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In order to induce the Creditors to enter into this Agreement and to continue to make the Facility available to the Borrowers, each Security Party hereby represents and warrants to the Creditors (which representations and warranties shall survive the execution and delivery of this Agreement and the Notes and the drawdown of the Facility) that as of the Seventh Amendment Effective Date:</w:t>
      </w:r>
    </w:p>
    <w:p>
      <w:pPr>
        <w:spacing w:after="0" w:line="185" w:lineRule="exact"/>
        <w:rPr>
          <w:sz w:val="20"/>
          <w:szCs w:val="20"/>
          <w:color w:val="auto"/>
        </w:rPr>
      </w:pPr>
    </w:p>
    <w:p>
      <w:pPr>
        <w:ind w:firstLine="1569"/>
        <w:spacing w:after="0" w:line="252" w:lineRule="auto"/>
        <w:tabs>
          <w:tab w:leader="none" w:pos="2446"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Due Organization and Power</w:t>
      </w:r>
      <w:r>
        <w:rPr>
          <w:rFonts w:ascii="Arial" w:cs="Arial" w:eastAsia="Arial" w:hAnsi="Arial"/>
          <w:sz w:val="21"/>
          <w:szCs w:val="21"/>
          <w:color w:val="auto"/>
        </w:rPr>
        <w:t>. Each Security Party is validly existing in good standing under the laws of its jurisdiction of organization, has full power to carry on its business as now being conducted and to enter into and perform its obligations under this Agreement, the Notes and the Security Documents to which it is a party, and is in compliance with all statutory, regulatory and other requirements relative to such business and such agreements;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847" w:right="359" w:bottom="1440" w:gutter="0" w:footer="0" w:header="0"/>
        </w:sectPr>
      </w:pPr>
    </w:p>
    <w:bookmarkStart w:id="163" w:name="page164"/>
    <w:bookmarkEnd w:id="163"/>
    <w:p>
      <w:pPr>
        <w:ind w:left="-20" w:right="180" w:firstLine="1569"/>
        <w:spacing w:after="0" w:line="249" w:lineRule="auto"/>
        <w:tabs>
          <w:tab w:leader="none" w:pos="2438"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Authorization and Consents</w:t>
      </w:r>
      <w:r>
        <w:rPr>
          <w:rFonts w:ascii="Arial" w:cs="Arial" w:eastAsia="Arial" w:hAnsi="Arial"/>
          <w:sz w:val="21"/>
          <w:szCs w:val="21"/>
          <w:color w:val="auto"/>
        </w:rPr>
        <w:t>. All necessary action has been taken to authorize, and all necessary consents and authorities have been obtained and remain in full force and effect to permit, each Security Party to enter into and perform its obligations under this Agreement, the Notes and the Security Documents and, in the case of each of the Borrowers to borrow, service and repay the Facility and, as of the date of this Agreement, no further consents or authorities are necessary for the service and repayment of the Facility or any part thereof;</w:t>
      </w:r>
    </w:p>
    <w:p>
      <w:pPr>
        <w:spacing w:after="0" w:line="178" w:lineRule="exact"/>
        <w:rPr>
          <w:rFonts w:ascii="Arial" w:cs="Arial" w:eastAsia="Arial" w:hAnsi="Arial"/>
          <w:sz w:val="21"/>
          <w:szCs w:val="21"/>
          <w:color w:val="auto"/>
        </w:rPr>
      </w:pPr>
    </w:p>
    <w:p>
      <w:pPr>
        <w:ind w:left="-20" w:right="240" w:firstLine="1569"/>
        <w:spacing w:after="0" w:line="236" w:lineRule="auto"/>
        <w:tabs>
          <w:tab w:leader="none" w:pos="2426"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Binding Obligations</w:t>
      </w:r>
      <w:r>
        <w:rPr>
          <w:rFonts w:ascii="Arial" w:cs="Arial" w:eastAsia="Arial" w:hAnsi="Arial"/>
          <w:sz w:val="22"/>
          <w:szCs w:val="22"/>
          <w:color w:val="auto"/>
        </w:rPr>
        <w:t>. Each of the Transaction Documents constitute or will, when executed and delivered, constitute the legal, valid and binding obligations of each Security Party that is a party thereto enforceable against such Security Party in accordance with their respective terms, except to the extent that such enforcement may be limited by equitable principles, principles of public policy or applicable bankruptcy, insolvency, reorganization, moratorium or other laws affecting generally the enforcement of creditors' rights;</w:t>
      </w:r>
    </w:p>
    <w:p>
      <w:pPr>
        <w:spacing w:after="0" w:line="187" w:lineRule="exact"/>
        <w:rPr>
          <w:rFonts w:ascii="Arial" w:cs="Arial" w:eastAsia="Arial" w:hAnsi="Arial"/>
          <w:sz w:val="22"/>
          <w:szCs w:val="22"/>
          <w:color w:val="auto"/>
        </w:rPr>
      </w:pPr>
    </w:p>
    <w:p>
      <w:pPr>
        <w:ind w:left="-20" w:right="200" w:firstLine="1569"/>
        <w:spacing w:after="0" w:line="235" w:lineRule="auto"/>
        <w:tabs>
          <w:tab w:leader="none" w:pos="2438" w:val="left"/>
        </w:tabs>
        <w:numPr>
          <w:ilvl w:val="0"/>
          <w:numId w:val="110"/>
        </w:numPr>
        <w:rPr>
          <w:rFonts w:ascii="Arial" w:cs="Arial" w:eastAsia="Arial" w:hAnsi="Arial"/>
          <w:sz w:val="22"/>
          <w:szCs w:val="22"/>
          <w:color w:val="auto"/>
        </w:rPr>
      </w:pPr>
      <w:r>
        <w:rPr>
          <w:rFonts w:ascii="Arial" w:cs="Arial" w:eastAsia="Arial" w:hAnsi="Arial"/>
          <w:sz w:val="22"/>
          <w:szCs w:val="22"/>
          <w:color w:val="auto"/>
        </w:rPr>
        <w:t>No Violation. The execution and delivery of, and the performance of the provisions of, each of the Transaction Documents to which it is to be a party by each Security Party do not contravene any applicable law or regulation material to the conduct of such Security Party’s business existing at the date hereof or any contractual restriction binding on such Security Party or the certificate of formation, the operating agreement or management agreement (or equivalent instruments) thereof and that the proceeds of the Facility shall be used by the Borrowers exclusively for their own account and for the purpose set forth in Section 3.1(a);</w:t>
      </w:r>
    </w:p>
    <w:p>
      <w:pPr>
        <w:spacing w:after="0" w:line="187" w:lineRule="exact"/>
        <w:rPr>
          <w:rFonts w:ascii="Arial" w:cs="Arial" w:eastAsia="Arial" w:hAnsi="Arial"/>
          <w:sz w:val="22"/>
          <w:szCs w:val="22"/>
          <w:color w:val="auto"/>
        </w:rPr>
      </w:pPr>
    </w:p>
    <w:p>
      <w:pPr>
        <w:ind w:left="-20" w:right="60" w:firstLine="1569"/>
        <w:spacing w:after="0" w:line="234" w:lineRule="auto"/>
        <w:tabs>
          <w:tab w:leader="none" w:pos="2426" w:val="left"/>
        </w:tabs>
        <w:numPr>
          <w:ilvl w:val="0"/>
          <w:numId w:val="110"/>
        </w:numPr>
        <w:rPr>
          <w:rFonts w:ascii="Arial" w:cs="Arial" w:eastAsia="Arial" w:hAnsi="Arial"/>
          <w:sz w:val="22"/>
          <w:szCs w:val="22"/>
          <w:color w:val="auto"/>
        </w:rPr>
      </w:pPr>
      <w:r>
        <w:rPr>
          <w:rFonts w:ascii="Arial" w:cs="Arial" w:eastAsia="Arial" w:hAnsi="Arial"/>
          <w:sz w:val="22"/>
          <w:szCs w:val="22"/>
          <w:color w:val="auto"/>
        </w:rPr>
        <w:t>Filings; Stamp Taxes. Other than the recording of the Mortgages and Mortgage Amendments with the appropriate authorities for the United States or Marshall Islands, as applicable, and the filing of Uniform Commercial Code Financing Statements with the Department of State of the State of Delaware in respect of the Assignments, and the payment of filing or recording fees consequent thereto, it is not necessary for the legality, validity, enforceability or admissibility into evidence of the Transaction Documents that any of them or any document relating thereto be registered, filed, recorded or enrolled with any court or authority in any relevant jurisdiction or that any stamp, registration or similar Taxes be paid on or in relation to the Transaction Documents;</w:t>
      </w:r>
    </w:p>
    <w:p>
      <w:pPr>
        <w:spacing w:after="0" w:line="190" w:lineRule="exact"/>
        <w:rPr>
          <w:rFonts w:ascii="Arial" w:cs="Arial" w:eastAsia="Arial" w:hAnsi="Arial"/>
          <w:sz w:val="22"/>
          <w:szCs w:val="22"/>
          <w:color w:val="auto"/>
        </w:rPr>
      </w:pPr>
    </w:p>
    <w:p>
      <w:pPr>
        <w:ind w:left="-20" w:firstLine="1569"/>
        <w:spacing w:after="0" w:line="328" w:lineRule="auto"/>
        <w:tabs>
          <w:tab w:leader="none" w:pos="2402" w:val="left"/>
        </w:tabs>
        <w:numPr>
          <w:ilvl w:val="0"/>
          <w:numId w:val="110"/>
        </w:numPr>
        <w:rPr>
          <w:rFonts w:ascii="Arial" w:cs="Arial" w:eastAsia="Arial" w:hAnsi="Arial"/>
          <w:sz w:val="19"/>
          <w:szCs w:val="19"/>
          <w:color w:val="auto"/>
        </w:rPr>
      </w:pPr>
      <w:r>
        <w:rPr>
          <w:rFonts w:ascii="Arial" w:cs="Arial" w:eastAsia="Arial" w:hAnsi="Arial"/>
          <w:sz w:val="19"/>
          <w:szCs w:val="19"/>
          <w:color w:val="auto"/>
        </w:rPr>
        <w:t>Litigation. No action, suit or proceeding is pending or threatened against any Security Party before any court, board of arbitration or administrative agency which could reasonably be expected to have a Material Adverse Effect;</w:t>
      </w:r>
    </w:p>
    <w:p>
      <w:pPr>
        <w:spacing w:after="0" w:line="104" w:lineRule="exact"/>
        <w:rPr>
          <w:rFonts w:ascii="Arial" w:cs="Arial" w:eastAsia="Arial" w:hAnsi="Arial"/>
          <w:sz w:val="19"/>
          <w:szCs w:val="19"/>
          <w:color w:val="auto"/>
        </w:rPr>
      </w:pPr>
    </w:p>
    <w:p>
      <w:pPr>
        <w:ind w:left="-20" w:right="140" w:firstLine="1569"/>
        <w:spacing w:after="0" w:line="250" w:lineRule="auto"/>
        <w:tabs>
          <w:tab w:leader="none" w:pos="2438" w:val="left"/>
        </w:tabs>
        <w:numPr>
          <w:ilvl w:val="0"/>
          <w:numId w:val="110"/>
        </w:numPr>
        <w:rPr>
          <w:rFonts w:ascii="Arial" w:cs="Arial" w:eastAsia="Arial" w:hAnsi="Arial"/>
          <w:sz w:val="22"/>
          <w:szCs w:val="22"/>
          <w:color w:val="auto"/>
        </w:rPr>
      </w:pPr>
      <w:r>
        <w:rPr>
          <w:rFonts w:ascii="Arial" w:cs="Arial" w:eastAsia="Arial" w:hAnsi="Arial"/>
          <w:sz w:val="22"/>
          <w:szCs w:val="22"/>
          <w:color w:val="auto"/>
        </w:rPr>
        <w:t>No Default. No Security Party is in default under any material agreement by which it is bound, or is in default in respect of any material financial commitment or obligation;</w:t>
      </w:r>
    </w:p>
    <w:p>
      <w:pPr>
        <w:spacing w:after="0" w:line="174" w:lineRule="exact"/>
        <w:rPr>
          <w:rFonts w:ascii="Arial" w:cs="Arial" w:eastAsia="Arial" w:hAnsi="Arial"/>
          <w:sz w:val="22"/>
          <w:szCs w:val="22"/>
          <w:color w:val="auto"/>
        </w:rPr>
      </w:pPr>
    </w:p>
    <w:p>
      <w:pPr>
        <w:ind w:left="2440" w:hanging="891"/>
        <w:spacing w:after="0"/>
        <w:tabs>
          <w:tab w:leader="none" w:pos="244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Vessels. Each Vessel is:</w:t>
      </w:r>
    </w:p>
    <w:p>
      <w:pPr>
        <w:spacing w:after="0" w:line="206" w:lineRule="exact"/>
        <w:rPr>
          <w:rFonts w:ascii="Arial" w:cs="Arial" w:eastAsia="Arial" w:hAnsi="Arial"/>
          <w:sz w:val="22"/>
          <w:szCs w:val="22"/>
          <w:color w:val="auto"/>
        </w:rPr>
      </w:pPr>
    </w:p>
    <w:p>
      <w:pPr>
        <w:ind w:left="3100" w:right="400" w:hanging="777"/>
        <w:spacing w:after="0" w:line="282" w:lineRule="auto"/>
        <w:tabs>
          <w:tab w:leader="none" w:pos="3100" w:val="left"/>
        </w:tabs>
        <w:numPr>
          <w:ilvl w:val="1"/>
          <w:numId w:val="110"/>
        </w:numPr>
        <w:rPr>
          <w:rFonts w:ascii="Arial" w:cs="Arial" w:eastAsia="Arial" w:hAnsi="Arial"/>
          <w:sz w:val="19"/>
          <w:szCs w:val="19"/>
          <w:color w:val="auto"/>
        </w:rPr>
      </w:pPr>
      <w:r>
        <w:rPr>
          <w:rFonts w:ascii="Arial" w:cs="Arial" w:eastAsia="Arial" w:hAnsi="Arial"/>
          <w:sz w:val="19"/>
          <w:szCs w:val="19"/>
          <w:color w:val="auto"/>
        </w:rPr>
        <w:t>in the sole and absolute ownership of the relevant Borrower and duly registered in such Borrower's name under the United States or the Republic of the Marshall Islands flag, as applicable (or such other jurisdiction as may be approved by the Lenders), unencumbered, save and except for the relevant Mortgage recorded against it, the Assignments, Permitted Liens (as defined in Section 9.2(a) hereof) and as permitted hereby and thereby;</w:t>
      </w:r>
    </w:p>
    <w:p>
      <w:pPr>
        <w:spacing w:after="0" w:line="147" w:lineRule="exact"/>
        <w:rPr>
          <w:rFonts w:ascii="Arial" w:cs="Arial" w:eastAsia="Arial" w:hAnsi="Arial"/>
          <w:sz w:val="19"/>
          <w:szCs w:val="19"/>
          <w:color w:val="auto"/>
        </w:rPr>
      </w:pPr>
    </w:p>
    <w:p>
      <w:pPr>
        <w:ind w:left="3100" w:right="440" w:hanging="777"/>
        <w:spacing w:after="0" w:line="328" w:lineRule="auto"/>
        <w:tabs>
          <w:tab w:leader="none" w:pos="3100" w:val="left"/>
        </w:tabs>
        <w:numPr>
          <w:ilvl w:val="1"/>
          <w:numId w:val="110"/>
        </w:numPr>
        <w:rPr>
          <w:rFonts w:ascii="Arial" w:cs="Arial" w:eastAsia="Arial" w:hAnsi="Arial"/>
          <w:sz w:val="19"/>
          <w:szCs w:val="19"/>
          <w:color w:val="auto"/>
        </w:rPr>
      </w:pPr>
      <w:r>
        <w:rPr>
          <w:rFonts w:ascii="Arial" w:cs="Arial" w:eastAsia="Arial" w:hAnsi="Arial"/>
          <w:sz w:val="19"/>
          <w:szCs w:val="19"/>
          <w:color w:val="auto"/>
        </w:rPr>
        <w:t>classed in the highest classification and rating for vessels of the same age and type with its Classification Society without any material outstanding recommendations;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203200</wp:posOffset>
            </wp:positionV>
            <wp:extent cx="71748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577" w:right="339" w:bottom="1440" w:gutter="0" w:footer="0" w:header="0"/>
        </w:sectPr>
      </w:pPr>
    </w:p>
    <w:bookmarkStart w:id="164" w:name="page165"/>
    <w:bookmarkEnd w:id="164"/>
    <w:p>
      <w:pPr>
        <w:ind w:left="3100" w:hanging="777"/>
        <w:spacing w:after="0"/>
        <w:tabs>
          <w:tab w:leader="none" w:pos="310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safely afloat and fit for its intended service; and</w:t>
      </w:r>
    </w:p>
    <w:p>
      <w:pPr>
        <w:spacing w:after="0" w:line="206" w:lineRule="exact"/>
        <w:rPr>
          <w:rFonts w:ascii="Arial" w:cs="Arial" w:eastAsia="Arial" w:hAnsi="Arial"/>
          <w:sz w:val="22"/>
          <w:szCs w:val="22"/>
          <w:color w:val="auto"/>
        </w:rPr>
      </w:pPr>
    </w:p>
    <w:p>
      <w:pPr>
        <w:ind w:left="3100" w:right="20" w:hanging="777"/>
        <w:spacing w:after="0"/>
        <w:tabs>
          <w:tab w:leader="none" w:pos="310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insured in accordance with the provisions of the relevant Mortgage or Mortgages (as applicable) and the requirements thereof in respect of such insurances will have been complied with;</w:t>
      </w:r>
    </w:p>
    <w:p>
      <w:pPr>
        <w:spacing w:after="0" w:line="186" w:lineRule="exact"/>
        <w:rPr>
          <w:rFonts w:ascii="Arial" w:cs="Arial" w:eastAsia="Arial" w:hAnsi="Arial"/>
          <w:sz w:val="22"/>
          <w:szCs w:val="22"/>
          <w:color w:val="auto"/>
        </w:rPr>
      </w:pPr>
    </w:p>
    <w:p>
      <w:pPr>
        <w:ind w:left="-20" w:right="260" w:firstLine="1569"/>
        <w:spacing w:after="0" w:line="250" w:lineRule="auto"/>
        <w:tabs>
          <w:tab w:leader="none" w:pos="239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Each of the Security Parties has insured its properties and assets against such risks and in such amounts as are customary for companies engaged in similar businesses;</w:t>
      </w:r>
    </w:p>
    <w:p>
      <w:pPr>
        <w:spacing w:after="0" w:line="174" w:lineRule="exact"/>
        <w:rPr>
          <w:rFonts w:ascii="Arial" w:cs="Arial" w:eastAsia="Arial" w:hAnsi="Arial"/>
          <w:sz w:val="22"/>
          <w:szCs w:val="22"/>
          <w:color w:val="auto"/>
        </w:rPr>
      </w:pPr>
    </w:p>
    <w:p>
      <w:pPr>
        <w:ind w:left="-20" w:right="40" w:firstLine="1569"/>
        <w:spacing w:after="0" w:line="277" w:lineRule="auto"/>
        <w:tabs>
          <w:tab w:leader="none" w:pos="2390"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Financial Information</w:t>
      </w:r>
      <w:r>
        <w:rPr>
          <w:rFonts w:ascii="Arial" w:cs="Arial" w:eastAsia="Arial" w:hAnsi="Arial"/>
          <w:sz w:val="19"/>
          <w:szCs w:val="19"/>
          <w:color w:val="auto"/>
        </w:rPr>
        <w:t>. All financial statements, information and other data furnished by any Security Party to the Administrative Agent are complete and correct, such financial statements have been prepared in accordance with GAAP and accurately and fairly present the financial condition of the parties covered thereby as of the respective dates thereof and the results of the operations thereof for the period or respective periods covered by such financial statements, and since the date of the Borrowers’ financial statements most recently delivered to the Administrative Agent there has been no Material Adverse Effect as to any of such parties and none thereof has any contingent obligations, liabilities for taxes or other outstanding financial obligations which are material in the aggregate except as disclosed in such statements, information and data;</w:t>
      </w:r>
    </w:p>
    <w:p>
      <w:pPr>
        <w:spacing w:after="0" w:line="151" w:lineRule="exact"/>
        <w:rPr>
          <w:rFonts w:ascii="Arial" w:cs="Arial" w:eastAsia="Arial" w:hAnsi="Arial"/>
          <w:sz w:val="19"/>
          <w:szCs w:val="19"/>
          <w:color w:val="auto"/>
        </w:rPr>
      </w:pPr>
    </w:p>
    <w:p>
      <w:pPr>
        <w:ind w:left="-20" w:right="220" w:firstLine="1569"/>
        <w:spacing w:after="0" w:line="252" w:lineRule="auto"/>
        <w:tabs>
          <w:tab w:leader="none" w:pos="2438"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Tax Returns</w:t>
      </w:r>
      <w:r>
        <w:rPr>
          <w:rFonts w:ascii="Arial" w:cs="Arial" w:eastAsia="Arial" w:hAnsi="Arial"/>
          <w:sz w:val="21"/>
          <w:szCs w:val="21"/>
          <w:color w:val="auto"/>
        </w:rPr>
        <w:t>. Each Security Party has filed all tax returns required to be filed thereby and has paid all taxes payable thereby which have become due, other than those not yet delinquent or the nonpayment of which would not have a Material Adverse Effect and except for those taxes being contested in good faith and by appropriate proceedings or other acts and for which adequate reserves shall have been set aside on its books;</w:t>
      </w:r>
    </w:p>
    <w:p>
      <w:pPr>
        <w:spacing w:after="0" w:line="173" w:lineRule="exact"/>
        <w:rPr>
          <w:rFonts w:ascii="Arial" w:cs="Arial" w:eastAsia="Arial" w:hAnsi="Arial"/>
          <w:sz w:val="21"/>
          <w:szCs w:val="21"/>
          <w:color w:val="auto"/>
        </w:rPr>
      </w:pPr>
    </w:p>
    <w:p>
      <w:pPr>
        <w:ind w:left="-20" w:right="140" w:firstLine="1569"/>
        <w:spacing w:after="0" w:line="279" w:lineRule="auto"/>
        <w:tabs>
          <w:tab w:leader="none" w:pos="2390"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No ERISA Funding Event, ERISA Termination Event, Foreign Termination Event or Foreign Underfunding exists or has occurred, or is reasonably expected to exist or occur, that, when taken together with all other ERISA Funding Events, ERISA Termination Events, Foreign Termination Events and Foreign Underfundings that exist or have occurred, or which would reasonably be expected to exist or occur, could reasonably be expected to have a Material Adverse Effect. The execution and delivery of this Agreement and the consummation of the transactions hereunder will not involve any prohibited transaction within the meaning of ERISA or Section 4975 of the Code;</w:t>
      </w:r>
    </w:p>
    <w:p>
      <w:pPr>
        <w:spacing w:after="0" w:line="150" w:lineRule="exact"/>
        <w:rPr>
          <w:rFonts w:ascii="Arial" w:cs="Arial" w:eastAsia="Arial" w:hAnsi="Arial"/>
          <w:sz w:val="19"/>
          <w:szCs w:val="19"/>
          <w:color w:val="auto"/>
        </w:rPr>
      </w:pPr>
    </w:p>
    <w:p>
      <w:pPr>
        <w:ind w:left="-20" w:right="200" w:firstLine="1569"/>
        <w:spacing w:after="0"/>
        <w:tabs>
          <w:tab w:leader="none" w:pos="2498"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Chief Executive Office</w:t>
      </w:r>
      <w:r>
        <w:rPr>
          <w:rFonts w:ascii="Arial" w:cs="Arial" w:eastAsia="Arial" w:hAnsi="Arial"/>
          <w:sz w:val="22"/>
          <w:szCs w:val="22"/>
          <w:color w:val="auto"/>
        </w:rPr>
        <w:t>. The chief executive office and chief place of business of each Security Party and the office in which the records relating to the earnings and other receivables of each Security Party are kept is located at SEACOR Marine LLC, 5005 Railroad Avenue, Morgan City, LA 70380;</w:t>
      </w:r>
    </w:p>
    <w:p>
      <w:pPr>
        <w:spacing w:after="0" w:line="186" w:lineRule="exact"/>
        <w:rPr>
          <w:rFonts w:ascii="Arial" w:cs="Arial" w:eastAsia="Arial" w:hAnsi="Arial"/>
          <w:sz w:val="22"/>
          <w:szCs w:val="22"/>
          <w:color w:val="auto"/>
        </w:rPr>
      </w:pPr>
    </w:p>
    <w:p>
      <w:pPr>
        <w:ind w:left="-20" w:firstLine="1569"/>
        <w:spacing w:after="0" w:line="234" w:lineRule="auto"/>
        <w:tabs>
          <w:tab w:leader="none" w:pos="2438"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Foreign Trade Control Regulations</w:t>
      </w:r>
      <w:r>
        <w:rPr>
          <w:rFonts w:ascii="Arial" w:cs="Arial" w:eastAsia="Arial" w:hAnsi="Arial"/>
          <w:sz w:val="22"/>
          <w:szCs w:val="22"/>
          <w:color w:val="auto"/>
        </w:rPr>
        <w:t>. None of the transactions contemplated herein will violate the provisions of any applicable statute, regulation or resolution enacted by the United States of America, the European Union or the United Nations to prohibit or limit economic transactions with certain foreign Persons including, but not limited to, any of the provisions of the Foreign Assets Control Regulations of the United States of America (Title 31, Code of Federal Regulations, Chapter V, Part 500, et seq., as amended), any of the provisions of the Cuban Assets Control Regulations of the United States of America (Title 31, Code of Federal Regulations, Chapter V, Part 515, as amended), or any of the provisions of the Comprehensive Iran Sanctions, Accountability and Divestment Act of 2010 or Iranian Transaction Regulations of the United States of America (Title 31,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203200</wp:posOffset>
            </wp:positionV>
            <wp:extent cx="71748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631" w:right="339" w:bottom="1440" w:gutter="0" w:footer="0" w:header="0"/>
        </w:sectPr>
      </w:pPr>
    </w:p>
    <w:bookmarkStart w:id="165" w:name="page166"/>
    <w:bookmarkEnd w:id="165"/>
    <w:p>
      <w:pPr>
        <w:ind w:right="180" w:firstLine="1561"/>
        <w:spacing w:after="0" w:line="250" w:lineRule="auto"/>
        <w:rPr>
          <w:sz w:val="20"/>
          <w:szCs w:val="20"/>
          <w:color w:val="auto"/>
        </w:rPr>
      </w:pPr>
      <w:r>
        <w:rPr>
          <w:rFonts w:ascii="Arial" w:cs="Arial" w:eastAsia="Arial" w:hAnsi="Arial"/>
          <w:sz w:val="22"/>
          <w:szCs w:val="22"/>
          <w:color w:val="auto"/>
        </w:rPr>
        <w:t>Code of Federal Regulations, Chapter V, Part 560, as amended), and any of the provisions of any Executive Order relating thereto;</w:t>
      </w:r>
    </w:p>
    <w:p>
      <w:pPr>
        <w:spacing w:after="0" w:line="175" w:lineRule="exact"/>
        <w:rPr>
          <w:sz w:val="20"/>
          <w:szCs w:val="20"/>
          <w:color w:val="auto"/>
        </w:rPr>
      </w:pPr>
    </w:p>
    <w:p>
      <w:pPr>
        <w:ind w:right="340" w:firstLine="1569"/>
        <w:spacing w:after="0" w:line="328" w:lineRule="auto"/>
        <w:tabs>
          <w:tab w:leader="none" w:pos="2458"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Equity Ownership</w:t>
      </w:r>
      <w:r>
        <w:rPr>
          <w:rFonts w:ascii="Arial" w:cs="Arial" w:eastAsia="Arial" w:hAnsi="Arial"/>
          <w:sz w:val="19"/>
          <w:szCs w:val="19"/>
          <w:color w:val="auto"/>
        </w:rPr>
        <w:t>. Each of the Subsidiaries is owned, directly, one hundred percent (100%) by the Holding Company, and the Holding Company is owned, directly or indirectly, one hundred percent (100%) by the Guarantor.</w:t>
      </w:r>
    </w:p>
    <w:p>
      <w:pPr>
        <w:spacing w:after="0" w:line="104" w:lineRule="exact"/>
        <w:rPr>
          <w:rFonts w:ascii="Arial" w:cs="Arial" w:eastAsia="Arial" w:hAnsi="Arial"/>
          <w:sz w:val="19"/>
          <w:szCs w:val="19"/>
          <w:color w:val="auto"/>
        </w:rPr>
      </w:pPr>
    </w:p>
    <w:p>
      <w:pPr>
        <w:ind w:firstLine="1569"/>
        <w:spacing w:after="0" w:line="269" w:lineRule="auto"/>
        <w:tabs>
          <w:tab w:leader="none" w:pos="2458"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Environmental Matters and Claims</w:t>
      </w:r>
      <w:r>
        <w:rPr>
          <w:rFonts w:ascii="Arial" w:cs="Arial" w:eastAsia="Arial" w:hAnsi="Arial"/>
          <w:sz w:val="19"/>
          <w:szCs w:val="19"/>
          <w:color w:val="auto"/>
        </w:rPr>
        <w:t>. (a) Except as heretofore disclosed in writing to the Administrative Agent or in the public filings of the Guarantor and its Affiliates (i) each of the Borrowers and its Affiliates will, when required to operate their business as then being conducted, be in compliance with all applicable United States federal and state, local, foreign and international laws, regulations, conventions and agreements relating to pollution prevention or protection of human health or the environment (including, without limitation, ambient air, surface water, ground water, navigable waters, waters of the contiguous zone, ocean waters and international waters), including, without limitation, laws, regulations, conventions and agreements relating to (1) emissions, discharges, releases or threatened releases of chemicals, pollutants, contaminants, wastes, toxic substances, hazardous materials, oil, hazardous substances, petroleum and petroleum products and by-products (“</w:t>
      </w:r>
      <w:r>
        <w:rPr>
          <w:rFonts w:ascii="Arial" w:cs="Arial" w:eastAsia="Arial" w:hAnsi="Arial"/>
          <w:sz w:val="19"/>
          <w:szCs w:val="19"/>
          <w:b w:val="1"/>
          <w:bCs w:val="1"/>
          <w:color w:val="auto"/>
        </w:rPr>
        <w:t>Materials of Environmental</w:t>
      </w:r>
      <w:r>
        <w:rPr>
          <w:rFonts w:ascii="Arial" w:cs="Arial" w:eastAsia="Arial" w:hAnsi="Arial"/>
          <w:sz w:val="19"/>
          <w:szCs w:val="19"/>
          <w:color w:val="auto"/>
        </w:rPr>
        <w:t xml:space="preserve"> </w:t>
      </w:r>
      <w:r>
        <w:rPr>
          <w:rFonts w:ascii="Arial" w:cs="Arial" w:eastAsia="Arial" w:hAnsi="Arial"/>
          <w:sz w:val="19"/>
          <w:szCs w:val="19"/>
          <w:b w:val="1"/>
          <w:bCs w:val="1"/>
          <w:color w:val="auto"/>
        </w:rPr>
        <w:t>Concern</w:t>
      </w:r>
      <w:r>
        <w:rPr>
          <w:rFonts w:ascii="Arial" w:cs="Arial" w:eastAsia="Arial" w:hAnsi="Arial"/>
          <w:sz w:val="19"/>
          <w:szCs w:val="19"/>
          <w:color w:val="auto"/>
        </w:rPr>
        <w:t>”), or (2) the manufacture, processing, distribution, use, treatment, storage, disposal, transport or handling of Materials of</w:t>
      </w:r>
      <w:r>
        <w:rPr>
          <w:rFonts w:ascii="Arial" w:cs="Arial" w:eastAsia="Arial" w:hAnsi="Arial"/>
          <w:sz w:val="19"/>
          <w:szCs w:val="19"/>
          <w:b w:val="1"/>
          <w:bCs w:val="1"/>
          <w:color w:val="auto"/>
        </w:rPr>
        <w:t xml:space="preserve"> </w:t>
      </w:r>
      <w:r>
        <w:rPr>
          <w:rFonts w:ascii="Arial" w:cs="Arial" w:eastAsia="Arial" w:hAnsi="Arial"/>
          <w:sz w:val="19"/>
          <w:szCs w:val="19"/>
          <w:color w:val="auto"/>
        </w:rPr>
        <w:t>Environmental Concern (“</w:t>
      </w:r>
      <w:r>
        <w:rPr>
          <w:rFonts w:ascii="Arial" w:cs="Arial" w:eastAsia="Arial" w:hAnsi="Arial"/>
          <w:sz w:val="19"/>
          <w:szCs w:val="19"/>
          <w:b w:val="1"/>
          <w:bCs w:val="1"/>
          <w:color w:val="auto"/>
        </w:rPr>
        <w:t>Environmental Laws</w:t>
      </w:r>
      <w:r>
        <w:rPr>
          <w:rFonts w:ascii="Arial" w:cs="Arial" w:eastAsia="Arial" w:hAnsi="Arial"/>
          <w:sz w:val="19"/>
          <w:szCs w:val="19"/>
          <w:color w:val="auto"/>
        </w:rPr>
        <w:t>”); (ii) each of the Borrowers and its Affiliates will, when required, have all permits, licenses, approvals, rulings, variances, exemptions, clearances, consents or other authorizations required under applicable Environmental Laws (“</w:t>
      </w:r>
      <w:r>
        <w:rPr>
          <w:rFonts w:ascii="Arial" w:cs="Arial" w:eastAsia="Arial" w:hAnsi="Arial"/>
          <w:sz w:val="19"/>
          <w:szCs w:val="19"/>
          <w:b w:val="1"/>
          <w:bCs w:val="1"/>
          <w:color w:val="auto"/>
        </w:rPr>
        <w:t>Environmental Approvals</w:t>
      </w:r>
      <w:r>
        <w:rPr>
          <w:rFonts w:ascii="Arial" w:cs="Arial" w:eastAsia="Arial" w:hAnsi="Arial"/>
          <w:sz w:val="19"/>
          <w:szCs w:val="19"/>
          <w:color w:val="auto"/>
        </w:rPr>
        <w:t>”) and will, when required, be in compliance with all Environmental Approvals required to operate their business as then being conducted; (iii) none of the Borrowers and no Affiliate thereof has received any notice of any claim, action, cause of action, investigation or demand by any person, entity, enterprise or government, or any political subdivision, intergovernmental body or agency, department or instrumentality thereof, alleging potential liability for, or a requirement to incur, material investigator costs, cleanup costs, response and/or remedial costs (whether incurred by a governmental entity or otherwise), natural resources damages, property damages, personal injuries, attorneys' fees and expenses, or fines or penalties, in each case arising out of, based on or resulting from (1) the presence, or release or threat of release into the environment, of any Materials of Environmental Concern at any location, whether or not owned by such person, or (2) circumstances forming the basis of any violation, or alleged violation, of any Environmental Law or Environmental Approval (“</w:t>
      </w:r>
      <w:r>
        <w:rPr>
          <w:rFonts w:ascii="Arial" w:cs="Arial" w:eastAsia="Arial" w:hAnsi="Arial"/>
          <w:sz w:val="19"/>
          <w:szCs w:val="19"/>
          <w:b w:val="1"/>
          <w:bCs w:val="1"/>
          <w:color w:val="auto"/>
        </w:rPr>
        <w:t>Environmental Claim</w:t>
      </w:r>
      <w:r>
        <w:rPr>
          <w:rFonts w:ascii="Arial" w:cs="Arial" w:eastAsia="Arial" w:hAnsi="Arial"/>
          <w:sz w:val="19"/>
          <w:szCs w:val="19"/>
          <w:color w:val="auto"/>
        </w:rPr>
        <w:t>”) (other than Environmental Claims that have been fully and finally adjudicated or otherwise determined and all fines, penalties and other costs, if any, payable by the Security Parties in respect thereof have been paid in full or which are fully covered by insurance (including permitted deductibles)); and (iv) there are no circumstances that may prevent or interfere with such full compliance in the future; and (b) except as heretofore disclosed in writing to the Administrative Agent there is no Environmental Claim pending or threatened against any of the Borrowers or any Affiliate thereof and there are no past or present actions, activities, circumstances, conditions, events or incidents, including, without limitation, the release, emission, discharge or disposal of any Materials of Environmental Concern, that could form the basis of any Environmental Claim against such persons the adverse disposition of which may result in a Material Adverse Effect;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left="2460" w:hanging="891"/>
        <w:spacing w:after="0"/>
        <w:tabs>
          <w:tab w:leader="none" w:pos="2460"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Liens</w:t>
      </w:r>
      <w:r>
        <w:rPr>
          <w:rFonts w:ascii="Arial" w:cs="Arial" w:eastAsia="Arial" w:hAnsi="Arial"/>
          <w:sz w:val="21"/>
          <w:szCs w:val="21"/>
          <w:color w:val="auto"/>
        </w:rPr>
        <w:t>. There are no liens of any kind on any property owned by any Security Party other than</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Permitted Liens;</w:t>
      </w:r>
    </w:p>
    <w:p>
      <w:pPr>
        <w:spacing w:after="0" w:line="188" w:lineRule="exact"/>
        <w:rPr>
          <w:rFonts w:ascii="Arial" w:cs="Arial" w:eastAsia="Arial" w:hAnsi="Arial"/>
          <w:sz w:val="21"/>
          <w:szCs w:val="21"/>
          <w:color w:val="auto"/>
        </w:rPr>
      </w:pPr>
    </w:p>
    <w:p>
      <w:pPr>
        <w:ind w:right="900" w:firstLine="1569"/>
        <w:spacing w:after="0" w:line="250" w:lineRule="auto"/>
        <w:tabs>
          <w:tab w:leader="none" w:pos="2422"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Indebtedness</w:t>
      </w:r>
      <w:r>
        <w:rPr>
          <w:rFonts w:ascii="Arial" w:cs="Arial" w:eastAsia="Arial" w:hAnsi="Arial"/>
          <w:sz w:val="22"/>
          <w:szCs w:val="22"/>
          <w:color w:val="auto"/>
        </w:rPr>
        <w:t>. None of the Security Parties has any Indebtedness other than the Indebtedness contemplated by this Agreement and Intercompany Debt;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66" w:name="page167"/>
    <w:bookmarkEnd w:id="166"/>
    <w:p>
      <w:pPr>
        <w:ind w:right="180" w:firstLine="1569"/>
        <w:spacing w:after="0"/>
        <w:tabs>
          <w:tab w:leader="none" w:pos="2434"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Payment Free of Taxes</w:t>
      </w:r>
      <w:r>
        <w:rPr>
          <w:rFonts w:ascii="Arial" w:cs="Arial" w:eastAsia="Arial" w:hAnsi="Arial"/>
          <w:sz w:val="22"/>
          <w:szCs w:val="22"/>
          <w:color w:val="auto"/>
        </w:rPr>
        <w:t>. Subject to compliance with Section 7.4, all payments made or to be made by the Security Parties under or pursuant to the Transaction Documents shall be made free and clear of, and without deduction or withholding for an account of, any Taxes;</w:t>
      </w:r>
    </w:p>
    <w:p>
      <w:pPr>
        <w:spacing w:after="0" w:line="186" w:lineRule="exact"/>
        <w:rPr>
          <w:rFonts w:ascii="Arial" w:cs="Arial" w:eastAsia="Arial" w:hAnsi="Arial"/>
          <w:sz w:val="22"/>
          <w:szCs w:val="22"/>
          <w:color w:val="auto"/>
        </w:rPr>
      </w:pPr>
    </w:p>
    <w:p>
      <w:pPr>
        <w:ind w:right="460" w:firstLine="1569"/>
        <w:spacing w:after="0"/>
        <w:tabs>
          <w:tab w:leader="none" w:pos="2410"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No Proceedings to Dissolve</w:t>
      </w:r>
      <w:r>
        <w:rPr>
          <w:rFonts w:ascii="Arial" w:cs="Arial" w:eastAsia="Arial" w:hAnsi="Arial"/>
          <w:sz w:val="22"/>
          <w:szCs w:val="22"/>
          <w:color w:val="auto"/>
        </w:rPr>
        <w:t>. There are no proceedings or actions pending or contemplated by any Security Party or, to the best knowledge of any Security Party, contemplated by any third party, to dissolve or terminate any Security Party;</w:t>
      </w:r>
    </w:p>
    <w:p>
      <w:pPr>
        <w:spacing w:after="0" w:line="186" w:lineRule="exact"/>
        <w:rPr>
          <w:rFonts w:ascii="Arial" w:cs="Arial" w:eastAsia="Arial" w:hAnsi="Arial"/>
          <w:sz w:val="22"/>
          <w:szCs w:val="22"/>
          <w:color w:val="auto"/>
        </w:rPr>
      </w:pPr>
    </w:p>
    <w:p>
      <w:pPr>
        <w:ind w:firstLine="1569"/>
        <w:spacing w:after="0" w:line="279" w:lineRule="auto"/>
        <w:tabs>
          <w:tab w:leader="none" w:pos="2458"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Solvency</w:t>
      </w:r>
      <w:r>
        <w:rPr>
          <w:rFonts w:ascii="Arial" w:cs="Arial" w:eastAsia="Arial" w:hAnsi="Arial"/>
          <w:sz w:val="19"/>
          <w:szCs w:val="19"/>
          <w:color w:val="auto"/>
        </w:rPr>
        <w:t>. In the case of each of the Security Parties, (a) the sum of its assets, at a fair valuation, exceeds its liabilities, including, to the extent they are reportable as such in accordance with GAAP, contingent liabilities, (b) the present fair market salable value of its assets is not and shall not be less than the amount that will be required to pay its probable liability on its existing debts, including, to the extent they are reportable as such in accordance with GAAP, contingent liabilities, as they mature, (c) it does not have unreasonably small working capital with which to continue its business and (d) it has not incurred, does not intend to incur and does not believe it will incur debts beyond its ability to pay such debts as they mature;</w:t>
      </w:r>
    </w:p>
    <w:p>
      <w:pPr>
        <w:spacing w:after="0" w:line="150" w:lineRule="exact"/>
        <w:rPr>
          <w:rFonts w:ascii="Arial" w:cs="Arial" w:eastAsia="Arial" w:hAnsi="Arial"/>
          <w:sz w:val="19"/>
          <w:szCs w:val="19"/>
          <w:color w:val="auto"/>
        </w:rPr>
      </w:pPr>
    </w:p>
    <w:p>
      <w:pPr>
        <w:ind w:right="100" w:firstLine="1569"/>
        <w:spacing w:after="0" w:line="328" w:lineRule="auto"/>
        <w:tabs>
          <w:tab w:leader="none" w:pos="2458"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Compliance with Laws</w:t>
      </w:r>
      <w:r>
        <w:rPr>
          <w:rFonts w:ascii="Arial" w:cs="Arial" w:eastAsia="Arial" w:hAnsi="Arial"/>
          <w:sz w:val="19"/>
          <w:szCs w:val="19"/>
          <w:color w:val="auto"/>
        </w:rPr>
        <w:t>. Each of the Security Parties is in compliance with all applicable laws, except where any failure to comply with any such applicable laws would not, alone or in the aggregate, have a Material Adverse Effect;</w:t>
      </w:r>
    </w:p>
    <w:p>
      <w:pPr>
        <w:spacing w:after="0" w:line="104" w:lineRule="exact"/>
        <w:rPr>
          <w:rFonts w:ascii="Arial" w:cs="Arial" w:eastAsia="Arial" w:hAnsi="Arial"/>
          <w:sz w:val="19"/>
          <w:szCs w:val="19"/>
          <w:color w:val="auto"/>
        </w:rPr>
      </w:pPr>
    </w:p>
    <w:p>
      <w:pPr>
        <w:ind w:right="80" w:firstLine="1569"/>
        <w:spacing w:after="0" w:line="236" w:lineRule="auto"/>
        <w:tabs>
          <w:tab w:leader="none" w:pos="2506"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Citizenship</w:t>
      </w:r>
      <w:r>
        <w:rPr>
          <w:rFonts w:ascii="Arial" w:cs="Arial" w:eastAsia="Arial" w:hAnsi="Arial"/>
          <w:sz w:val="22"/>
          <w:szCs w:val="22"/>
          <w:color w:val="auto"/>
        </w:rPr>
        <w:t>. Each of the Security Parties that owns a United States flagged Vessel is a citizen of the United States within the meaning of Section 2 of the Shipping Act of 1916, as amended, and is in compliance with the citizenship requirements imposed under the Merchant Marine Act of 1920, as amended, or any other applicable United States laws for entities engaged in coastwise trade or eligible to receive subsidies or to participate in government programs of the nature participated in by such Security Party;</w:t>
      </w:r>
    </w:p>
    <w:p>
      <w:pPr>
        <w:spacing w:after="0" w:line="187" w:lineRule="exact"/>
        <w:rPr>
          <w:rFonts w:ascii="Arial" w:cs="Arial" w:eastAsia="Arial" w:hAnsi="Arial"/>
          <w:sz w:val="22"/>
          <w:szCs w:val="22"/>
          <w:color w:val="auto"/>
        </w:rPr>
      </w:pPr>
    </w:p>
    <w:p>
      <w:pPr>
        <w:ind w:right="560" w:firstLine="1569"/>
        <w:spacing w:after="0" w:line="250" w:lineRule="auto"/>
        <w:tabs>
          <w:tab w:leader="none" w:pos="2458"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Investment Company</w:t>
      </w:r>
      <w:r>
        <w:rPr>
          <w:rFonts w:ascii="Arial" w:cs="Arial" w:eastAsia="Arial" w:hAnsi="Arial"/>
          <w:sz w:val="22"/>
          <w:szCs w:val="22"/>
          <w:color w:val="auto"/>
        </w:rPr>
        <w:t>. No Borrower is required to be registered as an “investment company” (as defined in the Investment Company Act of 1940, as amended);</w:t>
      </w:r>
    </w:p>
    <w:p>
      <w:pPr>
        <w:spacing w:after="0" w:line="174" w:lineRule="exact"/>
        <w:rPr>
          <w:rFonts w:ascii="Arial" w:cs="Arial" w:eastAsia="Arial" w:hAnsi="Arial"/>
          <w:sz w:val="22"/>
          <w:szCs w:val="22"/>
          <w:color w:val="auto"/>
        </w:rPr>
      </w:pPr>
    </w:p>
    <w:p>
      <w:pPr>
        <w:ind w:right="420" w:firstLine="1569"/>
        <w:spacing w:after="0" w:line="252" w:lineRule="auto"/>
        <w:tabs>
          <w:tab w:leader="none" w:pos="2458" w:val="left"/>
        </w:tabs>
        <w:numPr>
          <w:ilvl w:val="0"/>
          <w:numId w:val="114"/>
        </w:numPr>
        <w:rPr>
          <w:rFonts w:ascii="Arial" w:cs="Arial" w:eastAsia="Arial" w:hAnsi="Arial"/>
          <w:sz w:val="21"/>
          <w:szCs w:val="21"/>
          <w:color w:val="auto"/>
        </w:rPr>
      </w:pPr>
      <w:r>
        <w:rPr>
          <w:rFonts w:ascii="Arial" w:cs="Arial" w:eastAsia="Arial" w:hAnsi="Arial"/>
          <w:sz w:val="21"/>
          <w:szCs w:val="21"/>
          <w:u w:val="single" w:color="auto"/>
          <w:color w:val="auto"/>
        </w:rPr>
        <w:t>Margin Stock</w:t>
      </w:r>
      <w:r>
        <w:rPr>
          <w:rFonts w:ascii="Arial" w:cs="Arial" w:eastAsia="Arial" w:hAnsi="Arial"/>
          <w:sz w:val="21"/>
          <w:szCs w:val="21"/>
          <w:color w:val="auto"/>
        </w:rPr>
        <w:t>. None of the proceeds of the Facility will be used to purchase or carry margin stock within the meanings of Regulations T, U or X of the Board of Governors of the Federal Reserve System; no Security Party is engaged in the business of extending credit for the purpose of purchasing or carrying margin stock within the meaning of Regulations T, U or X of the Board of Governors of the Federal Reserve System;</w:t>
      </w:r>
    </w:p>
    <w:p>
      <w:pPr>
        <w:spacing w:after="0" w:line="173" w:lineRule="exact"/>
        <w:rPr>
          <w:rFonts w:ascii="Arial" w:cs="Arial" w:eastAsia="Arial" w:hAnsi="Arial"/>
          <w:sz w:val="21"/>
          <w:szCs w:val="21"/>
          <w:color w:val="auto"/>
        </w:rPr>
      </w:pPr>
    </w:p>
    <w:p>
      <w:pPr>
        <w:ind w:right="100" w:firstLine="1569"/>
        <w:spacing w:after="0" w:line="273" w:lineRule="auto"/>
        <w:tabs>
          <w:tab w:leader="none" w:pos="2446"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Sanctions and Anti-Money Laundering Laws</w:t>
      </w:r>
      <w:r>
        <w:rPr>
          <w:rFonts w:ascii="Arial" w:cs="Arial" w:eastAsia="Arial" w:hAnsi="Arial"/>
          <w:sz w:val="19"/>
          <w:szCs w:val="19"/>
          <w:color w:val="auto"/>
        </w:rPr>
        <w:t>. Each of the Security Parties and their Subsidiaries, Affiliates and, to the knowledge of the Security Parties, any Related Party of the foregoing, is and has been in compliance with Sanctions Laws and Anti-Money Laundering Laws. None of the Security Parties nor their Subsidiaries or Affiliates, nor, to the knowledge of the Security Parties, any Related Party of the foregoing (i) is and has been a Blocked Person, targeted by the Sanctions Laws, or (ii) has received notice of or is aware of any claim, action, suit, proceeding or investigation against it by any Governmental Authority in connection with the enforcement of the Sanctions Laws, or (iii) is engaging or has engaged in a transaction or dealing with any individual, entity or Sanctioned Country, with which the Security Parties nor, to the knowledge of the Security Parties, any Related Party of the foregoing, are prohibited from engaging in such transaction or dealing pursuant to Sanctions Laws. None of the Security Parties, their Subsidiaries or Affiliates, are using or have used the Facility or the proceeds from the Facility, directly or indirectly, to lend,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67" w:name="page168"/>
    <w:bookmarkEnd w:id="167"/>
    <w:p>
      <w:pPr>
        <w:ind w:right="120" w:firstLine="1561"/>
        <w:spacing w:after="0" w:line="252" w:lineRule="auto"/>
        <w:rPr>
          <w:sz w:val="20"/>
          <w:szCs w:val="20"/>
          <w:color w:val="auto"/>
        </w:rPr>
      </w:pPr>
      <w:r>
        <w:rPr>
          <w:rFonts w:ascii="Arial" w:cs="Arial" w:eastAsia="Arial" w:hAnsi="Arial"/>
          <w:sz w:val="21"/>
          <w:szCs w:val="21"/>
          <w:color w:val="auto"/>
        </w:rPr>
        <w:t>contribute, provide or otherwise make available funds to (1) a Blocked Person, or (2) a person or entity for the purpose of engaging in any activities targeted by, or in violation of, Sanctions Laws or Anti-Money Laundering Laws, or that will otherwise result in a violation of Sanctions Laws and Anti- Money Laundering Laws by such Security Party, Subsidiary or Affiliate, or, to the knowledge of the Security Parties, any Related Party of the foregoing; and</w:t>
      </w:r>
    </w:p>
    <w:p>
      <w:pPr>
        <w:spacing w:after="0" w:line="174" w:lineRule="exact"/>
        <w:rPr>
          <w:sz w:val="20"/>
          <w:szCs w:val="20"/>
          <w:color w:val="auto"/>
        </w:rPr>
      </w:pPr>
    </w:p>
    <w:p>
      <w:pPr>
        <w:ind w:right="140" w:firstLine="1569"/>
        <w:spacing w:after="0"/>
        <w:tabs>
          <w:tab w:leader="none" w:pos="2541" w:val="left"/>
        </w:tabs>
        <w:numPr>
          <w:ilvl w:val="1"/>
          <w:numId w:val="115"/>
        </w:numPr>
        <w:rPr>
          <w:rFonts w:ascii="Arial" w:cs="Arial" w:eastAsia="Arial" w:hAnsi="Arial"/>
          <w:sz w:val="22"/>
          <w:szCs w:val="22"/>
          <w:color w:val="auto"/>
        </w:rPr>
      </w:pP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xml:space="preserve">. The information included in the Beneficial Ownership Certification most recently provided to each Lender pursuant to </w:t>
      </w:r>
      <w:r>
        <w:rPr>
          <w:rFonts w:ascii="Arial" w:cs="Arial" w:eastAsia="Arial" w:hAnsi="Arial"/>
          <w:sz w:val="22"/>
          <w:szCs w:val="22"/>
          <w:u w:val="single" w:color="auto"/>
          <w:color w:val="auto"/>
        </w:rPr>
        <w:t>Section 4.3(a)</w:t>
      </w:r>
      <w:r>
        <w:rPr>
          <w:rFonts w:ascii="Arial" w:cs="Arial" w:eastAsia="Arial" w:hAnsi="Arial"/>
          <w:sz w:val="22"/>
          <w:szCs w:val="22"/>
          <w:color w:val="auto"/>
        </w:rPr>
        <w:t xml:space="preserve"> is true and correct in all material respects, except as otherwise updated in writing to each such Lender.</w:t>
      </w:r>
    </w:p>
    <w:p>
      <w:pPr>
        <w:spacing w:after="0" w:line="186" w:lineRule="exact"/>
        <w:rPr>
          <w:rFonts w:ascii="Arial" w:cs="Arial" w:eastAsia="Arial" w:hAnsi="Arial"/>
          <w:sz w:val="22"/>
          <w:szCs w:val="22"/>
          <w:color w:val="auto"/>
        </w:rPr>
      </w:pPr>
    </w:p>
    <w:p>
      <w:pPr>
        <w:ind w:right="240" w:firstLine="1569"/>
        <w:spacing w:after="0"/>
        <w:tabs>
          <w:tab w:leader="none" w:pos="2565" w:val="left"/>
        </w:tabs>
        <w:numPr>
          <w:ilvl w:val="1"/>
          <w:numId w:val="115"/>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All representations, covenants and warranties made herein and in any certificate or other document delivered pursuant hereto or in connection herewith shall survive the making of the Facility and the issuance of the Notes.</w:t>
      </w:r>
    </w:p>
    <w:p>
      <w:pPr>
        <w:spacing w:after="0" w:line="186" w:lineRule="exact"/>
        <w:rPr>
          <w:rFonts w:ascii="Arial" w:cs="Arial" w:eastAsia="Arial" w:hAnsi="Arial"/>
          <w:sz w:val="22"/>
          <w:szCs w:val="22"/>
          <w:color w:val="auto"/>
        </w:rPr>
      </w:pPr>
    </w:p>
    <w:p>
      <w:pPr>
        <w:ind w:left="820" w:hanging="812"/>
        <w:spacing w:after="0"/>
        <w:tabs>
          <w:tab w:leader="none" w:pos="82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FACILITY</w:t>
      </w:r>
    </w:p>
    <w:p>
      <w:pPr>
        <w:spacing w:after="0" w:line="206" w:lineRule="exact"/>
        <w:rPr>
          <w:sz w:val="20"/>
          <w:szCs w:val="20"/>
          <w:color w:val="auto"/>
        </w:rPr>
      </w:pPr>
    </w:p>
    <w:p>
      <w:pPr>
        <w:ind w:firstLine="780"/>
        <w:spacing w:after="0" w:line="250" w:lineRule="auto"/>
        <w:rPr>
          <w:sz w:val="20"/>
          <w:szCs w:val="20"/>
          <w:color w:val="auto"/>
        </w:rPr>
      </w:pPr>
      <w:r>
        <w:rPr>
          <w:rFonts w:ascii="Arial" w:cs="Arial" w:eastAsia="Arial" w:hAnsi="Arial"/>
          <w:sz w:val="22"/>
          <w:szCs w:val="22"/>
          <w:color w:val="auto"/>
        </w:rPr>
        <w:t xml:space="preserve">3.1 (a) </w:t>
      </w:r>
      <w:r>
        <w:rPr>
          <w:rFonts w:ascii="Arial" w:cs="Arial" w:eastAsia="Arial" w:hAnsi="Arial"/>
          <w:sz w:val="22"/>
          <w:szCs w:val="22"/>
          <w:u w:val="single" w:color="auto"/>
          <w:color w:val="auto"/>
        </w:rPr>
        <w:t>Purpose</w:t>
      </w:r>
      <w:r>
        <w:rPr>
          <w:rFonts w:ascii="Arial" w:cs="Arial" w:eastAsia="Arial" w:hAnsi="Arial"/>
          <w:sz w:val="22"/>
          <w:szCs w:val="22"/>
          <w:color w:val="auto"/>
        </w:rPr>
        <w:t>. The Lenders shall continue to make the Facility available to the Borrowers, on a joint and several basis, for the purpose of partially financing the delivered costs of the Vessels.</w:t>
      </w:r>
    </w:p>
    <w:p>
      <w:pPr>
        <w:spacing w:after="0" w:line="175" w:lineRule="exact"/>
        <w:rPr>
          <w:sz w:val="20"/>
          <w:szCs w:val="20"/>
          <w:color w:val="auto"/>
        </w:rPr>
      </w:pPr>
    </w:p>
    <w:p>
      <w:pPr>
        <w:ind w:right="240" w:firstLine="1569"/>
        <w:spacing w:after="0"/>
        <w:tabs>
          <w:tab w:leader="none" w:pos="2446"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Making of the Facility</w:t>
      </w:r>
      <w:r>
        <w:rPr>
          <w:rFonts w:ascii="Arial" w:cs="Arial" w:eastAsia="Arial" w:hAnsi="Arial"/>
          <w:sz w:val="22"/>
          <w:szCs w:val="22"/>
          <w:color w:val="auto"/>
        </w:rPr>
        <w:t>. Each of the Lenders, relying upon each of the representations and warranties set out in Section 2, hereby severally and not jointly agrees with the Borrowers that, subject to and upon the terms of this Agreement, it has made its portion of each Tranche available to the Borrowers.</w:t>
      </w:r>
    </w:p>
    <w:p>
      <w:pPr>
        <w:spacing w:after="0" w:line="186" w:lineRule="exact"/>
        <w:rPr>
          <w:sz w:val="20"/>
          <w:szCs w:val="20"/>
          <w:color w:val="auto"/>
        </w:rPr>
      </w:pPr>
    </w:p>
    <w:p>
      <w:pPr>
        <w:ind w:right="260" w:firstLine="780"/>
        <w:spacing w:after="0" w:line="248"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Additional Notes</w:t>
      </w:r>
      <w:r>
        <w:rPr>
          <w:rFonts w:ascii="Arial" w:cs="Arial" w:eastAsia="Arial" w:hAnsi="Arial"/>
          <w:sz w:val="21"/>
          <w:szCs w:val="21"/>
          <w:color w:val="auto"/>
        </w:rPr>
        <w:t>. At the direction of the Administrative Agent (acting upon the request of a Lender) in connection with an assignment by a Lender of its rights and obligations under this Agreement pursuant to Section 10 hereof, the Borrowers shall, in exchange for the cancellation and return of the assigning Lender’s Note, duly execute and deliver to the Administrative Agent (for distribution to the applicable assignee(s) of a Lender) a promissory note or notes in favor of such Lender’s assignee(s) evidencing the portion of the Facility owing by the Borrowers to such Lender’s assignee(s) (after giving effect to the assignment(s)) pursuant to this Agreement.</w:t>
      </w:r>
    </w:p>
    <w:p>
      <w:pPr>
        <w:spacing w:after="0" w:line="177" w:lineRule="exact"/>
        <w:rPr>
          <w:sz w:val="20"/>
          <w:szCs w:val="20"/>
          <w:color w:val="auto"/>
        </w:rPr>
      </w:pPr>
    </w:p>
    <w:p>
      <w:pPr>
        <w:ind w:right="20" w:firstLine="780"/>
        <w:spacing w:after="0" w:line="297"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Notation on the Notes</w:t>
      </w:r>
      <w:r>
        <w:rPr>
          <w:rFonts w:ascii="Arial" w:cs="Arial" w:eastAsia="Arial" w:hAnsi="Arial"/>
          <w:sz w:val="19"/>
          <w:szCs w:val="19"/>
          <w:color w:val="auto"/>
        </w:rPr>
        <w:t>. The amount of funds made available to the Borrowers by a Lender with respect to an Advance may be evidenced by a notation of the same made by such Lender on the grid attached to its Note, which notation, absent manifest error, shall be conclusive evidence of the amount of funds made available by such Lender with respect to such Advance.</w:t>
      </w:r>
    </w:p>
    <w:p>
      <w:pPr>
        <w:spacing w:after="0" w:line="134" w:lineRule="exact"/>
        <w:rPr>
          <w:sz w:val="20"/>
          <w:szCs w:val="20"/>
          <w:color w:val="auto"/>
        </w:rPr>
      </w:pPr>
    </w:p>
    <w:p>
      <w:pPr>
        <w:ind w:left="820" w:hanging="812"/>
        <w:spacing w:after="0"/>
        <w:tabs>
          <w:tab w:leader="none" w:pos="82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CONDITIONS PRECEDENT</w:t>
      </w:r>
    </w:p>
    <w:p>
      <w:pPr>
        <w:spacing w:after="0" w:line="206" w:lineRule="exact"/>
        <w:rPr>
          <w:sz w:val="20"/>
          <w:szCs w:val="20"/>
          <w:color w:val="auto"/>
        </w:rPr>
      </w:pPr>
    </w:p>
    <w:p>
      <w:pPr>
        <w:jc w:val="both"/>
        <w:ind w:right="640" w:firstLine="780"/>
        <w:spacing w:after="0" w:line="29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Conditions Precedent to this Agreement</w:t>
      </w:r>
      <w:r>
        <w:rPr>
          <w:rFonts w:ascii="Arial" w:cs="Arial" w:eastAsia="Arial" w:hAnsi="Arial"/>
          <w:sz w:val="19"/>
          <w:szCs w:val="19"/>
          <w:color w:val="auto"/>
        </w:rPr>
        <w:t>. The effectiveness of this Agreement and the obligation of the Lenders to continue to make the Facility (or any portion thereof) available to the Borrowers under this Agreement shall be expressly subject to the satisfaction of the conditions precedent set forth in Section 3 of the Seventh Amendment.</w:t>
      </w:r>
    </w:p>
    <w:p>
      <w:pPr>
        <w:spacing w:after="0" w:line="134" w:lineRule="exact"/>
        <w:rPr>
          <w:sz w:val="20"/>
          <w:szCs w:val="20"/>
          <w:color w:val="auto"/>
        </w:rPr>
      </w:pPr>
    </w:p>
    <w:p>
      <w:pPr>
        <w:ind w:left="820" w:hanging="812"/>
        <w:spacing w:after="0"/>
        <w:tabs>
          <w:tab w:leader="none" w:pos="82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REPAYMENT AND PREPAYMENT</w:t>
      </w:r>
    </w:p>
    <w:p>
      <w:pPr>
        <w:spacing w:after="0" w:line="206" w:lineRule="exact"/>
        <w:rPr>
          <w:sz w:val="20"/>
          <w:szCs w:val="20"/>
          <w:color w:val="auto"/>
        </w:rPr>
      </w:pPr>
    </w:p>
    <w:p>
      <w:pPr>
        <w:ind w:right="20" w:firstLine="780"/>
        <w:spacing w:after="0"/>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Repayment</w:t>
      </w:r>
      <w:r>
        <w:rPr>
          <w:rFonts w:ascii="Arial" w:cs="Arial" w:eastAsia="Arial" w:hAnsi="Arial"/>
          <w:sz w:val="22"/>
          <w:szCs w:val="22"/>
          <w:color w:val="auto"/>
        </w:rPr>
        <w:t>. Subject to the provisions of this Section 5 regarding application of prepayments, the Borrowers shall repay the principal of the Facility in consecutive quarterly installments beginning on the Initial Payment Date and ending on the Final Payment Date, with each</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68" w:name="page169"/>
    <w:bookmarkEnd w:id="168"/>
    <w:p>
      <w:pPr>
        <w:jc w:val="both"/>
        <w:ind w:firstLine="780"/>
        <w:spacing w:after="0"/>
        <w:rPr>
          <w:sz w:val="20"/>
          <w:szCs w:val="20"/>
          <w:color w:val="auto"/>
        </w:rPr>
      </w:pPr>
      <w:r>
        <w:rPr>
          <w:rFonts w:ascii="Arial" w:cs="Arial" w:eastAsia="Arial" w:hAnsi="Arial"/>
          <w:sz w:val="22"/>
          <w:szCs w:val="22"/>
          <w:color w:val="auto"/>
        </w:rPr>
        <w:t>of the installments being in the amount of $500,000, and the last such installment shall be in the amount of the Final Payment, which last such installment shall be paid on the Final Payment Date. The Borrowers’ obligations to repay the Facility shall be joint and several.</w:t>
      </w:r>
    </w:p>
    <w:p>
      <w:pPr>
        <w:spacing w:after="0" w:line="186" w:lineRule="exact"/>
        <w:rPr>
          <w:sz w:val="20"/>
          <w:szCs w:val="20"/>
          <w:color w:val="auto"/>
        </w:rPr>
      </w:pPr>
    </w:p>
    <w:p>
      <w:pPr>
        <w:ind w:right="20" w:firstLine="780"/>
        <w:spacing w:after="0" w:line="246"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Voluntary Prepayment; No Re-borrowing</w:t>
      </w:r>
      <w:r>
        <w:rPr>
          <w:rFonts w:ascii="Arial" w:cs="Arial" w:eastAsia="Arial" w:hAnsi="Arial"/>
          <w:sz w:val="21"/>
          <w:szCs w:val="21"/>
          <w:color w:val="auto"/>
        </w:rPr>
        <w:t>. The Borrowers may prepay, upon three (3) Banking Days written notice, the Facility or any portion thereof, without penalty, provided that if such prepayment is made on a day other than a Payment Date, such prepayment shall be made together with the costs and expenses provided for in Section 13. Each prepayment shall be in a minimum amount of (i) One Million Dollars ($1,000,000), plus any One Million Dollar ($1,000,000) multiple thereof and be applied pro rata among the Tranches, or (ii), if the prepayment is in respect of any particular Tranche, the full amount of such Tranche then outstanding or (iii) the full amount of the Facility then outstanding. No part of the Facility once repaid or prepaid will be available for re- borrowing.</w:t>
      </w:r>
    </w:p>
    <w:p>
      <w:pPr>
        <w:spacing w:after="0" w:line="184" w:lineRule="exact"/>
        <w:rPr>
          <w:sz w:val="20"/>
          <w:szCs w:val="20"/>
          <w:color w:val="auto"/>
        </w:rPr>
      </w:pPr>
    </w:p>
    <w:p>
      <w:pPr>
        <w:ind w:right="100" w:firstLine="780"/>
        <w:spacing w:after="0" w:line="234"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Cash Sweep</w:t>
      </w:r>
      <w:r>
        <w:rPr>
          <w:rFonts w:ascii="Arial" w:cs="Arial" w:eastAsia="Arial" w:hAnsi="Arial"/>
          <w:sz w:val="22"/>
          <w:szCs w:val="22"/>
          <w:color w:val="auto"/>
        </w:rPr>
        <w:t>. Beginning on January 1, 2022, on the last Banking Day in each fiscal quarter, any Direct Vessel Profit in excess of $6,750,000 (measured in the aggregate in respect of each one (1) calendar year period) (such surplus amount, the “</w:t>
      </w:r>
      <w:r>
        <w:rPr>
          <w:rFonts w:ascii="Arial" w:cs="Arial" w:eastAsia="Arial" w:hAnsi="Arial"/>
          <w:sz w:val="22"/>
          <w:szCs w:val="22"/>
          <w:b w:val="1"/>
          <w:bCs w:val="1"/>
          <w:color w:val="auto"/>
        </w:rPr>
        <w:t>Excess Cash Amount</w:t>
      </w:r>
      <w:r>
        <w:rPr>
          <w:rFonts w:ascii="Arial" w:cs="Arial" w:eastAsia="Arial" w:hAnsi="Arial"/>
          <w:sz w:val="22"/>
          <w:szCs w:val="22"/>
          <w:color w:val="auto"/>
        </w:rPr>
        <w:t>”), shall be applied to prepay the Facility in an amount equal to such Excess Cash Amount without any presentment, demand or notice of any kind, all of which are hereby waived by the Borrowers, provided that the Borrowers shall not be required to prepay more than $1,000,000 of the Facility in any calendar year pursuant to this Section 5.3. Such prepayment of the Facility shall reduce each Tranche pro rata and be applied in inverse chronological order of repayment beginning with the Final Payment.</w:t>
      </w:r>
    </w:p>
    <w:p>
      <w:pPr>
        <w:spacing w:after="0" w:line="191" w:lineRule="exact"/>
        <w:rPr>
          <w:sz w:val="20"/>
          <w:szCs w:val="20"/>
          <w:color w:val="auto"/>
        </w:rPr>
      </w:pPr>
    </w:p>
    <w:p>
      <w:pPr>
        <w:ind w:right="120" w:firstLine="780"/>
        <w:spacing w:after="0" w:line="252"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Mandatory Prepayment; Sale or Loss of a Vessel</w:t>
      </w:r>
      <w:r>
        <w:rPr>
          <w:rFonts w:ascii="Arial" w:cs="Arial" w:eastAsia="Arial" w:hAnsi="Arial"/>
          <w:sz w:val="21"/>
          <w:szCs w:val="21"/>
          <w:color w:val="auto"/>
        </w:rPr>
        <w:t>. Upon (i) the sale of a Vessel or (ii) the earlier of (x) one hundred eighty (180) days after the Total Loss Date of a Vessel or (y) the date on which the insurance proceeds in respect of such loss are received by the Borrowers or the Security Trustee as assignee thereof, the Tranche attributable to such Vessel shall be repaid in full together with the costs and expenses provided for in Section 13.</w:t>
      </w:r>
    </w:p>
    <w:p>
      <w:pPr>
        <w:spacing w:after="0" w:line="174" w:lineRule="exact"/>
        <w:rPr>
          <w:sz w:val="20"/>
          <w:szCs w:val="20"/>
          <w:color w:val="auto"/>
        </w:rPr>
      </w:pPr>
    </w:p>
    <w:p>
      <w:pPr>
        <w:ind w:right="200" w:firstLine="780"/>
        <w:spacing w:after="0" w:line="250"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Interest and Cost With Application of Prepayments</w:t>
      </w:r>
      <w:r>
        <w:rPr>
          <w:rFonts w:ascii="Arial" w:cs="Arial" w:eastAsia="Arial" w:hAnsi="Arial"/>
          <w:sz w:val="22"/>
          <w:szCs w:val="22"/>
          <w:color w:val="auto"/>
        </w:rPr>
        <w:t>. Any and all prepayments hereunder, whether mandatory or voluntary, shall be applied in the following order:</w:t>
      </w:r>
    </w:p>
    <w:p>
      <w:pPr>
        <w:spacing w:after="0" w:line="175" w:lineRule="exact"/>
        <w:rPr>
          <w:sz w:val="20"/>
          <w:szCs w:val="20"/>
          <w:color w:val="auto"/>
        </w:rPr>
      </w:pPr>
    </w:p>
    <w:p>
      <w:pPr>
        <w:ind w:left="2460" w:hanging="891"/>
        <w:spacing w:after="0"/>
        <w:tabs>
          <w:tab w:leader="none" w:pos="2460"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firstly</w:t>
      </w:r>
      <w:r>
        <w:rPr>
          <w:rFonts w:ascii="Arial" w:cs="Arial" w:eastAsia="Arial" w:hAnsi="Arial"/>
          <w:sz w:val="19"/>
          <w:szCs w:val="19"/>
          <w:color w:val="auto"/>
        </w:rPr>
        <w:t>, towards accrued and unpaid interest and for fees due under the Transaction Documents; and</w:t>
      </w:r>
    </w:p>
    <w:p>
      <w:pPr>
        <w:spacing w:after="0" w:line="240" w:lineRule="exact"/>
        <w:rPr>
          <w:rFonts w:ascii="Arial" w:cs="Arial" w:eastAsia="Arial" w:hAnsi="Arial"/>
          <w:sz w:val="19"/>
          <w:szCs w:val="19"/>
          <w:color w:val="auto"/>
        </w:rPr>
      </w:pPr>
    </w:p>
    <w:p>
      <w:pPr>
        <w:ind w:right="240" w:firstLine="1569"/>
        <w:spacing w:after="0" w:line="250" w:lineRule="auto"/>
        <w:tabs>
          <w:tab w:leader="none" w:pos="2458"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secondly</w:t>
      </w:r>
      <w:r>
        <w:rPr>
          <w:rFonts w:ascii="Arial" w:cs="Arial" w:eastAsia="Arial" w:hAnsi="Arial"/>
          <w:sz w:val="22"/>
          <w:szCs w:val="22"/>
          <w:color w:val="auto"/>
        </w:rPr>
        <w:t>, except as otherwise provided herein, towards the installments of the Facility in the inverse order of their due dates for payment.</w:t>
      </w:r>
    </w:p>
    <w:p>
      <w:pPr>
        <w:spacing w:after="0" w:line="175" w:lineRule="exact"/>
        <w:rPr>
          <w:sz w:val="20"/>
          <w:szCs w:val="20"/>
          <w:color w:val="auto"/>
        </w:rPr>
      </w:pPr>
    </w:p>
    <w:p>
      <w:pPr>
        <w:ind w:right="20" w:firstLine="780"/>
        <w:spacing w:after="0" w:line="238"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Borrowers' Obligation Absolute</w:t>
      </w:r>
      <w:r>
        <w:rPr>
          <w:rFonts w:ascii="Arial" w:cs="Arial" w:eastAsia="Arial" w:hAnsi="Arial"/>
          <w:sz w:val="22"/>
          <w:szCs w:val="22"/>
          <w:color w:val="auto"/>
        </w:rPr>
        <w:t>. The Borrowers' obligation to pay each Creditor hereunder and under the Notes shall be absolute, unconditional, irrevocable, and joint and several, and shall be paid strictly in accordance with the terms hereof and thereof, under any and all circumstances and irrespective of any set-off, counterclaim or defense to payment which the Borrowers may have or may have had against the Creditors.</w:t>
      </w:r>
    </w:p>
    <w:p>
      <w:pPr>
        <w:spacing w:after="0" w:line="185" w:lineRule="exact"/>
        <w:rPr>
          <w:sz w:val="20"/>
          <w:szCs w:val="20"/>
          <w:color w:val="auto"/>
        </w:rPr>
      </w:pPr>
    </w:p>
    <w:p>
      <w:pPr>
        <w:ind w:right="20" w:firstLine="780"/>
        <w:spacing w:after="0" w:line="276"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Repayment Fee</w:t>
      </w:r>
      <w:r>
        <w:rPr>
          <w:rFonts w:ascii="Arial" w:cs="Arial" w:eastAsia="Arial" w:hAnsi="Arial"/>
          <w:sz w:val="19"/>
          <w:szCs w:val="19"/>
          <w:color w:val="auto"/>
        </w:rPr>
        <w:t>. The Borrowers hereby agree to pay to the Lenders a fee in an amount equal to 1.50% of the outstanding amount of the Facility at the Seventh Amendment Effective Date (the “</w:t>
      </w:r>
      <w:r>
        <w:rPr>
          <w:rFonts w:ascii="Arial" w:cs="Arial" w:eastAsia="Arial" w:hAnsi="Arial"/>
          <w:sz w:val="19"/>
          <w:szCs w:val="19"/>
          <w:b w:val="1"/>
          <w:bCs w:val="1"/>
          <w:color w:val="auto"/>
        </w:rPr>
        <w:t>Repayment Fee</w:t>
      </w:r>
      <w:r>
        <w:rPr>
          <w:rFonts w:ascii="Arial" w:cs="Arial" w:eastAsia="Arial" w:hAnsi="Arial"/>
          <w:sz w:val="19"/>
          <w:szCs w:val="19"/>
          <w:color w:val="auto"/>
        </w:rPr>
        <w:t>”) upon the earlier to occur of</w:t>
      </w:r>
    </w:p>
    <w:p>
      <w:pPr>
        <w:spacing w:after="0" w:line="1" w:lineRule="exact"/>
        <w:rPr>
          <w:sz w:val="20"/>
          <w:szCs w:val="20"/>
          <w:color w:val="auto"/>
        </w:rPr>
      </w:pPr>
    </w:p>
    <w:p>
      <w:pPr>
        <w:ind w:right="140" w:firstLine="8"/>
        <w:spacing w:after="0" w:line="236" w:lineRule="auto"/>
        <w:tabs>
          <w:tab w:leader="none" w:pos="30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any refinancing, replacement or prepayment of the Facility in full and (y) the Final Payment Date (whether or not the Facility is repaid in full), such fee to be fully earned, due and payable as of such date.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69" w:name="page170"/>
    <w:bookmarkEnd w:id="169"/>
    <w:p>
      <w:pPr>
        <w:ind w:left="820" w:hanging="812"/>
        <w:spacing w:after="0"/>
        <w:tabs>
          <w:tab w:leader="none" w:pos="82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INTEREST AND RATE</w:t>
      </w:r>
    </w:p>
    <w:p>
      <w:pPr>
        <w:spacing w:after="0" w:line="206" w:lineRule="exact"/>
        <w:rPr>
          <w:sz w:val="20"/>
          <w:szCs w:val="20"/>
          <w:color w:val="auto"/>
        </w:rPr>
      </w:pPr>
    </w:p>
    <w:p>
      <w:pPr>
        <w:ind w:firstLine="780"/>
        <w:spacing w:after="0" w:line="245"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Payment of Interest; Interest Rate</w:t>
      </w:r>
      <w:r>
        <w:rPr>
          <w:rFonts w:ascii="Arial" w:cs="Arial" w:eastAsia="Arial" w:hAnsi="Arial"/>
          <w:sz w:val="21"/>
          <w:szCs w:val="21"/>
          <w:color w:val="auto"/>
        </w:rPr>
        <w:t>. (a) Each of the Borrowers hereby promises, on a joint and several basis, to pay to the Lenders interest on the unpaid principal amount of the Facility for the period commencing on the Seventh Amendment Effective Date until but not including the stated maturity thereof (whether by acceleration or otherwise) or the date of prepayment thereof at the Applicable Rate, which shall be the rate per annum which is equal to the aggregate of (a) Term SOFR plus (b) the Margin plus (c) Mandatory Costs, if applicable. The Administrative Agent shall promptly notify the Borrowers and the Lenders in writing of the Applicable Rate as and when determined. Each such determination, absent manifest error, shall be conclusive and binding upon the Borrowers. Accrued interest on the Facility shall be payable in arrears on the last day of each Interest Period, except that if the Borrowers shall select an Interest Period in excess of three (3) months, accrued interest shall be payable during such Interest Period on each three (3) month anniversary of the commencement of such Interest Period and upon the end of such Interest Period.</w:t>
      </w:r>
    </w:p>
    <w:p>
      <w:pPr>
        <w:spacing w:after="0" w:line="181" w:lineRule="exact"/>
        <w:rPr>
          <w:sz w:val="20"/>
          <w:szCs w:val="20"/>
          <w:color w:val="auto"/>
        </w:rPr>
      </w:pPr>
    </w:p>
    <w:p>
      <w:pPr>
        <w:ind w:right="200" w:firstLine="1569"/>
        <w:spacing w:after="0" w:line="246" w:lineRule="auto"/>
        <w:tabs>
          <w:tab w:leader="none" w:pos="2458" w:val="left"/>
        </w:tabs>
        <w:numPr>
          <w:ilvl w:val="0"/>
          <w:numId w:val="123"/>
        </w:numPr>
        <w:rPr>
          <w:rFonts w:ascii="Arial" w:cs="Arial" w:eastAsia="Arial" w:hAnsi="Arial"/>
          <w:sz w:val="21"/>
          <w:szCs w:val="21"/>
          <w:color w:val="auto"/>
        </w:rPr>
      </w:pPr>
      <w:r>
        <w:rPr>
          <w:rFonts w:ascii="Arial" w:cs="Arial" w:eastAsia="Arial" w:hAnsi="Arial"/>
          <w:sz w:val="21"/>
          <w:szCs w:val="21"/>
          <w:color w:val="auto"/>
        </w:rPr>
        <w:t>Notwithstanding the foregoing, each of the Borrowers agrees that after the occurrence and during the continuance of an Event of Default, the Facility shall bear interest at the Default Rate. In addition, each of the Borrowers hereby promises to pay interest at the Default Rate on any other amount payable by the Borrowers hereunder or under any other Transaction Document which shall not be paid in full when due (whether at stated maturity, by acceleration or otherwise), for the period commencing on the due date thereof until but not including the date the same is paid. Any interest at the Default Rate (if unpaid) arising on an overdue amount will be compounded with the overdue amount at the end of the then applicable Interest Period but will remain immediately due and payable.</w:t>
      </w:r>
    </w:p>
    <w:p>
      <w:pPr>
        <w:spacing w:after="0" w:line="184" w:lineRule="exact"/>
        <w:rPr>
          <w:rFonts w:ascii="Arial" w:cs="Arial" w:eastAsia="Arial" w:hAnsi="Arial"/>
          <w:sz w:val="21"/>
          <w:szCs w:val="21"/>
          <w:color w:val="auto"/>
        </w:rPr>
      </w:pPr>
    </w:p>
    <w:p>
      <w:pPr>
        <w:ind w:right="240" w:firstLine="1569"/>
        <w:spacing w:after="0" w:line="275" w:lineRule="auto"/>
        <w:tabs>
          <w:tab w:leader="none" w:pos="2446"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Borrowers shall give the Administrative Agent an Interest Notice specifying the Interest Period selected at least three (3) Banking Days prior to the end of any then existing Interest Period, which notice the Administrative Agent agrees to forward on to all Lenders as soon as practicable. If at the end of any then existing Interest Period the Borrowers fail to give an Interest Notice, the relevant Interest Period shall be three (3) months. No Interest Period may extend beyond the Final Payment Date. The Borrowers’ right to select an Interest Period shall be subject to the restriction that no selection of an Interest Period shall be effective unless each Lender is satisfied that the necessary funds will be available to such Lender for such period and that no Event of Default or Default shall have occurred and be continuing. The Borrowers and the Administrative Agent may agree, from time to time, to consolidate Interest Periods with respect to two or more Tranches.</w:t>
      </w:r>
    </w:p>
    <w:p>
      <w:pPr>
        <w:spacing w:after="0" w:line="157" w:lineRule="exact"/>
        <w:rPr>
          <w:rFonts w:ascii="Arial" w:cs="Arial" w:eastAsia="Arial" w:hAnsi="Arial"/>
          <w:sz w:val="19"/>
          <w:szCs w:val="19"/>
          <w:color w:val="auto"/>
        </w:rPr>
      </w:pPr>
    </w:p>
    <w:p>
      <w:pPr>
        <w:ind w:left="2460" w:hanging="891"/>
        <w:spacing w:after="0"/>
        <w:tabs>
          <w:tab w:leader="none" w:pos="246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Interest payable at the Default Rate shall be payable from time to time on demand of the</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Administrative Agent.</w:t>
      </w:r>
    </w:p>
    <w:p>
      <w:pPr>
        <w:spacing w:after="0" w:line="188" w:lineRule="exact"/>
        <w:rPr>
          <w:sz w:val="20"/>
          <w:szCs w:val="20"/>
          <w:color w:val="auto"/>
        </w:rPr>
      </w:pPr>
    </w:p>
    <w:p>
      <w:pPr>
        <w:ind w:right="60" w:firstLine="780"/>
        <w:spacing w:after="0" w:line="250"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Maximum Interest</w:t>
      </w:r>
      <w:r>
        <w:rPr>
          <w:rFonts w:ascii="Arial" w:cs="Arial" w:eastAsia="Arial" w:hAnsi="Arial"/>
          <w:sz w:val="22"/>
          <w:szCs w:val="22"/>
          <w:color w:val="auto"/>
        </w:rPr>
        <w:t>. Anything in this Agreement or the Notes to the contrary notwithstanding, the interest rate on the Facility shall in no event be in excess of the maximum rate permitted by Applicable Law.</w:t>
      </w:r>
    </w:p>
    <w:p>
      <w:pPr>
        <w:spacing w:after="0" w:line="175" w:lineRule="exact"/>
        <w:rPr>
          <w:sz w:val="20"/>
          <w:szCs w:val="20"/>
          <w:color w:val="auto"/>
        </w:rPr>
      </w:pPr>
    </w:p>
    <w:p>
      <w:pPr>
        <w:ind w:right="60" w:firstLine="780"/>
        <w:spacing w:after="0" w:line="249"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Term SOFR Conforming Changes</w:t>
      </w:r>
      <w:r>
        <w:rPr>
          <w:rFonts w:ascii="Arial" w:cs="Arial" w:eastAsia="Arial" w:hAnsi="Arial"/>
          <w:sz w:val="21"/>
          <w:szCs w:val="21"/>
          <w:color w:val="auto"/>
        </w:rPr>
        <w:t>. In connection with the technical, administrative or operational changes to the use or administration of Term SOFR, the Administrative Agent will have the right to make Conforming Changes from time to time in consultation with the Borrowers and, notwithstanding anything to the contrary herein or in any other Transaction Document, any amendments implementing such Conforming Changes will become effective without any further action or consent of any other party to this Agreement or any other Transaction Document provided</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70" w:name="page171"/>
    <w:bookmarkEnd w:id="170"/>
    <w:p>
      <w:pPr>
        <w:ind w:right="180"/>
        <w:spacing w:after="0" w:line="238" w:lineRule="auto"/>
        <w:rPr>
          <w:sz w:val="20"/>
          <w:szCs w:val="20"/>
          <w:color w:val="auto"/>
        </w:rPr>
      </w:pPr>
      <w:r>
        <w:rPr>
          <w:rFonts w:ascii="Arial" w:cs="Arial" w:eastAsia="Arial" w:hAnsi="Arial"/>
          <w:sz w:val="22"/>
          <w:szCs w:val="22"/>
          <w:color w:val="auto"/>
        </w:rPr>
        <w:t>that any Conforming Changes relating to the timing, frequency or amounts of payments made by the Borrowers shall require the prior consent of the Borrowers, such consent not to be unreasonably withheld or delayed. Administrative Agent will promptly notify the Borrowers of the effectiveness of any Conforming Changes in connection with the use or administration of Term SOFR.</w:t>
      </w:r>
    </w:p>
    <w:p>
      <w:pPr>
        <w:spacing w:after="0" w:line="185" w:lineRule="exact"/>
        <w:rPr>
          <w:sz w:val="20"/>
          <w:szCs w:val="20"/>
          <w:color w:val="auto"/>
        </w:rPr>
      </w:pPr>
    </w:p>
    <w:p>
      <w:pPr>
        <w:ind w:right="100" w:firstLine="780"/>
        <w:spacing w:after="0" w:line="276"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Benchmark Replacement Setting</w:t>
      </w:r>
      <w:r>
        <w:rPr>
          <w:rFonts w:ascii="Arial" w:cs="Arial" w:eastAsia="Arial" w:hAnsi="Arial"/>
          <w:sz w:val="19"/>
          <w:szCs w:val="19"/>
          <w:color w:val="auto"/>
        </w:rPr>
        <w:t>. Notwithstanding anything to the contrary herein or in any other Transaction Document (and any Interest Rate Agreement shall be deemed not to be a “Transaction Document” for purposes of this Section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6.4):</w:t>
      </w:r>
    </w:p>
    <w:p>
      <w:pPr>
        <w:spacing w:after="0" w:line="188" w:lineRule="exact"/>
        <w:rPr>
          <w:sz w:val="20"/>
          <w:szCs w:val="20"/>
          <w:color w:val="auto"/>
        </w:rPr>
      </w:pPr>
    </w:p>
    <w:p>
      <w:pPr>
        <w:ind w:firstLine="788"/>
        <w:spacing w:after="0" w:line="277" w:lineRule="auto"/>
        <w:tabs>
          <w:tab w:leader="none" w:pos="1665"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Benchmark Replacement</w:t>
      </w:r>
      <w:r>
        <w:rPr>
          <w:rFonts w:ascii="Arial" w:cs="Arial" w:eastAsia="Arial" w:hAnsi="Arial"/>
          <w:sz w:val="19"/>
          <w:szCs w:val="19"/>
          <w:color w:val="auto"/>
        </w:rPr>
        <w:t>. Upon the occurrence of a Benchmark Transition Event with respect to any Benchmark, the Administrative Agent and the Borrowers may amend this Agreement to replace such Benchmark with a Benchmark Replacement. Any such amendment with respect to a Benchmark Transition Event will become effective at 5:00 p.m. (New York City time) on the fifth (5th) Business Day after the Administrative Agent has posted such proposed amendment to all affected Lenders and the Borrowers so long as the Administrative Agent has not received, by such time, written notice of objection to such amendment from Lenders comprising the Majority Lenders. No replacement of a Benchmark with a Benchmark Replacement pursuant to this Section 6.4(a) will occur prior to the applicable Benchmark Transition Start Date.</w:t>
      </w:r>
    </w:p>
    <w:p>
      <w:pPr>
        <w:spacing w:after="0" w:line="151" w:lineRule="exact"/>
        <w:rPr>
          <w:rFonts w:ascii="Arial" w:cs="Arial" w:eastAsia="Arial" w:hAnsi="Arial"/>
          <w:sz w:val="19"/>
          <w:szCs w:val="19"/>
          <w:color w:val="auto"/>
        </w:rPr>
      </w:pPr>
    </w:p>
    <w:p>
      <w:pPr>
        <w:ind w:right="400" w:firstLine="788"/>
        <w:spacing w:after="0" w:line="236" w:lineRule="auto"/>
        <w:tabs>
          <w:tab w:leader="none" w:pos="1678"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Benchmark Replacement Conforming Changes</w:t>
      </w:r>
      <w:r>
        <w:rPr>
          <w:rFonts w:ascii="Arial" w:cs="Arial" w:eastAsia="Arial" w:hAnsi="Arial"/>
          <w:sz w:val="22"/>
          <w:szCs w:val="22"/>
          <w:color w:val="auto"/>
        </w:rPr>
        <w:t>. In connection with the use, administration, adoption or implementation of a Benchmark Replacement, the Administrative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w:t>
      </w:r>
    </w:p>
    <w:p>
      <w:pPr>
        <w:spacing w:after="0" w:line="187" w:lineRule="exact"/>
        <w:rPr>
          <w:rFonts w:ascii="Arial" w:cs="Arial" w:eastAsia="Arial" w:hAnsi="Arial"/>
          <w:sz w:val="22"/>
          <w:szCs w:val="22"/>
          <w:color w:val="auto"/>
        </w:rPr>
      </w:pPr>
    </w:p>
    <w:p>
      <w:pPr>
        <w:ind w:right="40" w:firstLine="788"/>
        <w:spacing w:after="0" w:line="273" w:lineRule="auto"/>
        <w:tabs>
          <w:tab w:leader="none" w:pos="1665"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Notices; Standards for Decisions and Determinations</w:t>
      </w:r>
      <w:r>
        <w:rPr>
          <w:rFonts w:ascii="Arial" w:cs="Arial" w:eastAsia="Arial" w:hAnsi="Arial"/>
          <w:sz w:val="19"/>
          <w:szCs w:val="19"/>
          <w:color w:val="auto"/>
        </w:rPr>
        <w:t>. The Administrative Agent will promptly notify the Borrowers and the Lenders of (i) the implementation of any Benchmark Replacement and (ii) the effectiveness of any Benchmark Replacement Conforming Changes in connection with the use, administration, adoption or implementation of a Benchmark Replacement. The Administrative Agent will notify the Borrowers of (x) the removal or reinstatement of any tenor of a Benchmark pursuant to Section 6.4(d) and (y) the commencement of any Benchmark Unavailability Period. Any determination, decision or election that may be made by the Administrative Agent or, if applicable, any Lender (or group of Lenders) pursuant to this Section 6.4,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to this Agreement or any other Transaction Document, except, in each case, as expressly required pursuant to this Section 6.4.</w:t>
      </w:r>
    </w:p>
    <w:p>
      <w:pPr>
        <w:spacing w:after="0" w:line="160" w:lineRule="exact"/>
        <w:rPr>
          <w:rFonts w:ascii="Arial" w:cs="Arial" w:eastAsia="Arial" w:hAnsi="Arial"/>
          <w:sz w:val="19"/>
          <w:szCs w:val="19"/>
          <w:color w:val="auto"/>
        </w:rPr>
      </w:pPr>
    </w:p>
    <w:p>
      <w:pPr>
        <w:ind w:right="100" w:firstLine="788"/>
        <w:spacing w:after="0" w:line="236" w:lineRule="auto"/>
        <w:tabs>
          <w:tab w:leader="none" w:pos="1678"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Unavailability of Tenor of Benchmark</w:t>
      </w:r>
      <w:r>
        <w:rPr>
          <w:rFonts w:ascii="Arial" w:cs="Arial" w:eastAsia="Arial" w:hAnsi="Arial"/>
          <w:sz w:val="22"/>
          <w:szCs w:val="22"/>
          <w:color w:val="auto"/>
        </w:rPr>
        <w:t>. Notwithstanding anything to the contrary herein or in any other Transaction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71" w:name="page172"/>
    <w:bookmarkEnd w:id="171"/>
    <w:p>
      <w:pPr>
        <w:spacing w:after="0" w:line="275" w:lineRule="auto"/>
        <w:rPr>
          <w:sz w:val="20"/>
          <w:szCs w:val="20"/>
          <w:color w:val="auto"/>
        </w:rPr>
      </w:pPr>
      <w:r>
        <w:rPr>
          <w:rFonts w:ascii="Arial" w:cs="Arial" w:eastAsia="Arial" w:hAnsi="Arial"/>
          <w:sz w:val="19"/>
          <w:szCs w:val="19"/>
          <w:color w:val="auto"/>
        </w:rPr>
        <w:t>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and</w:t>
      </w:r>
    </w:p>
    <w:p>
      <w:pPr>
        <w:spacing w:after="0" w:line="157" w:lineRule="exact"/>
        <w:rPr>
          <w:sz w:val="20"/>
          <w:szCs w:val="20"/>
          <w:color w:val="auto"/>
        </w:rPr>
      </w:pPr>
    </w:p>
    <w:p>
      <w:pPr>
        <w:ind w:right="160" w:firstLine="788"/>
        <w:spacing w:after="0" w:line="250" w:lineRule="auto"/>
        <w:tabs>
          <w:tab w:leader="none" w:pos="1665"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Certain Defined Terms</w:t>
      </w:r>
      <w:r>
        <w:rPr>
          <w:rFonts w:ascii="Arial" w:cs="Arial" w:eastAsia="Arial" w:hAnsi="Arial"/>
          <w:sz w:val="22"/>
          <w:szCs w:val="22"/>
          <w:color w:val="auto"/>
        </w:rPr>
        <w:t>. The words and expressions specified below shall, except where the context otherwise requires, have the meanings attributed to them below in this Section 6.4:</w:t>
      </w:r>
    </w:p>
    <w:p>
      <w:pPr>
        <w:spacing w:after="0" w:line="169" w:lineRule="exact"/>
        <w:rPr>
          <w:sz w:val="20"/>
          <w:szCs w:val="20"/>
          <w:color w:val="auto"/>
        </w:rPr>
      </w:pPr>
    </w:p>
    <w:p>
      <w:pPr>
        <w:ind w:right="120" w:firstLine="1561"/>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Available Tenor</w:t>
      </w:r>
      <w:r>
        <w:rPr>
          <w:rFonts w:ascii="Arial" w:cs="Arial" w:eastAsia="Arial" w:hAnsi="Arial"/>
          <w:sz w:val="21"/>
          <w:szCs w:val="21"/>
          <w:color w:val="auto"/>
        </w:rPr>
        <w:t>”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6.4(d);.</w:t>
      </w:r>
    </w:p>
    <w:p>
      <w:pPr>
        <w:spacing w:after="0" w:line="177" w:lineRule="exact"/>
        <w:rPr>
          <w:sz w:val="20"/>
          <w:szCs w:val="20"/>
          <w:color w:val="auto"/>
        </w:rPr>
      </w:pPr>
    </w:p>
    <w:p>
      <w:pPr>
        <w:ind w:right="200" w:firstLine="1561"/>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w:t>
      </w:r>
      <w:r>
        <w:rPr>
          <w:rFonts w:ascii="Arial" w:cs="Arial" w:eastAsia="Arial" w:hAnsi="Arial"/>
          <w:sz w:val="22"/>
          <w:szCs w:val="22"/>
          <w:color w:val="auto"/>
        </w:rPr>
        <w:t>”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6.4(a).</w:t>
      </w:r>
    </w:p>
    <w:p>
      <w:pPr>
        <w:spacing w:after="0" w:line="180" w:lineRule="exact"/>
        <w:rPr>
          <w:sz w:val="20"/>
          <w:szCs w:val="20"/>
          <w:color w:val="auto"/>
        </w:rPr>
      </w:pPr>
    </w:p>
    <w:p>
      <w:pPr>
        <w:ind w:right="180" w:firstLine="1561"/>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Benchmark Replacement</w:t>
      </w:r>
      <w:r>
        <w:rPr>
          <w:rFonts w:ascii="Arial" w:cs="Arial" w:eastAsia="Arial" w:hAnsi="Arial"/>
          <w:sz w:val="21"/>
          <w:szCs w:val="21"/>
          <w:color w:val="auto"/>
        </w:rPr>
        <w:t>” means, with respect to any Benchmark Transition Event for the then-current Benchmark, the sum of: (a) the alternate benchmark rate that has been selected by the Administrative Agent and the Borrowers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such Benchmark for Dollar-denominated syndicated credit facilities at such time and (b) the related Benchmark Replacement Adjustment; provided that, if such Benchmark Replacement as so determined would be less than the Floor, such Benchmark Replacement will be deemed to be the Floor for the purposes of this Agreement and the other Transaction Documents.</w:t>
      </w:r>
    </w:p>
    <w:p>
      <w:pPr>
        <w:spacing w:after="0" w:line="172" w:lineRule="exact"/>
        <w:rPr>
          <w:sz w:val="20"/>
          <w:szCs w:val="20"/>
          <w:color w:val="auto"/>
        </w:rPr>
      </w:pPr>
    </w:p>
    <w:p>
      <w:pPr>
        <w:ind w:right="260" w:firstLine="1561"/>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Benchmark Replacement Adjustment</w:t>
      </w:r>
      <w:r>
        <w:rPr>
          <w:rFonts w:ascii="Arial" w:cs="Arial" w:eastAsia="Arial" w:hAnsi="Arial"/>
          <w:sz w:val="21"/>
          <w:szCs w:val="21"/>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Borrowers giving due consideration to (a) any selection or recommendation of</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172" w:name="page173"/>
    <w:bookmarkEnd w:id="172"/>
    <w:p>
      <w:pPr>
        <w:ind w:right="400"/>
        <w:spacing w:after="0" w:line="236" w:lineRule="auto"/>
        <w:rPr>
          <w:sz w:val="20"/>
          <w:szCs w:val="20"/>
          <w:color w:val="auto"/>
        </w:rPr>
      </w:pPr>
      <w:r>
        <w:rPr>
          <w:rFonts w:ascii="Arial" w:cs="Arial" w:eastAsia="Arial" w:hAnsi="Arial"/>
          <w:sz w:val="22"/>
          <w:szCs w:val="22"/>
          <w:color w:val="auto"/>
        </w:rPr>
        <w:t>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1" w:lineRule="exact"/>
        <w:rPr>
          <w:sz w:val="20"/>
          <w:szCs w:val="20"/>
          <w:color w:val="auto"/>
        </w:rPr>
      </w:pPr>
    </w:p>
    <w:p>
      <w:pPr>
        <w:ind w:right="160" w:firstLine="1561"/>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Benchmark Replacement Date</w:t>
      </w:r>
      <w:r>
        <w:rPr>
          <w:rFonts w:ascii="Arial" w:cs="Arial" w:eastAsia="Arial" w:hAnsi="Arial"/>
          <w:sz w:val="19"/>
          <w:szCs w:val="19"/>
          <w:color w:val="auto"/>
        </w:rPr>
        <w:t>” means a date and time determined by the Administrative Agent, which date shall be no later than the earliest to occur of the following events with respect to the then-current Benchmark:</w:t>
      </w:r>
    </w:p>
    <w:p>
      <w:pPr>
        <w:spacing w:after="0" w:line="100" w:lineRule="exact"/>
        <w:rPr>
          <w:sz w:val="20"/>
          <w:szCs w:val="20"/>
          <w:color w:val="auto"/>
        </w:rPr>
      </w:pPr>
    </w:p>
    <w:p>
      <w:pPr>
        <w:jc w:val="both"/>
        <w:ind w:right="340" w:firstLine="1569"/>
        <w:spacing w:after="0" w:line="252" w:lineRule="auto"/>
        <w:tabs>
          <w:tab w:leader="none" w:pos="2446" w:val="left"/>
        </w:tabs>
        <w:numPr>
          <w:ilvl w:val="1"/>
          <w:numId w:val="126"/>
        </w:numPr>
        <w:rPr>
          <w:rFonts w:ascii="Arial" w:cs="Arial" w:eastAsia="Arial" w:hAnsi="Arial"/>
          <w:sz w:val="21"/>
          <w:szCs w:val="21"/>
          <w:color w:val="auto"/>
        </w:rPr>
      </w:pPr>
      <w:r>
        <w:rPr>
          <w:rFonts w:ascii="Arial" w:cs="Arial" w:eastAsia="Arial" w:hAnsi="Arial"/>
          <w:sz w:val="21"/>
          <w:szCs w:val="21"/>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3" w:lineRule="exact"/>
        <w:rPr>
          <w:rFonts w:ascii="Arial" w:cs="Arial" w:eastAsia="Arial" w:hAnsi="Arial"/>
          <w:sz w:val="21"/>
          <w:szCs w:val="21"/>
          <w:color w:val="auto"/>
        </w:rPr>
      </w:pPr>
    </w:p>
    <w:p>
      <w:pPr>
        <w:ind w:right="20" w:firstLine="1569"/>
        <w:spacing w:after="0" w:line="271" w:lineRule="auto"/>
        <w:tabs>
          <w:tab w:leader="none" w:pos="2458" w:val="left"/>
        </w:tabs>
        <w:numPr>
          <w:ilvl w:val="1"/>
          <w:numId w:val="126"/>
        </w:numPr>
        <w:rPr>
          <w:rFonts w:ascii="Arial" w:cs="Arial" w:eastAsia="Arial" w:hAnsi="Arial"/>
          <w:sz w:val="19"/>
          <w:szCs w:val="19"/>
          <w:color w:val="auto"/>
        </w:rPr>
      </w:pPr>
      <w:r>
        <w:rPr>
          <w:rFonts w:ascii="Arial" w:cs="Arial" w:eastAsia="Arial" w:hAnsi="Arial"/>
          <w:sz w:val="19"/>
          <w:szCs w:val="19"/>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w:t>
      </w:r>
    </w:p>
    <w:p>
      <w:pPr>
        <w:spacing w:after="0" w:line="3" w:lineRule="exact"/>
        <w:rPr>
          <w:rFonts w:ascii="Arial" w:cs="Arial" w:eastAsia="Arial" w:hAnsi="Arial"/>
          <w:sz w:val="19"/>
          <w:szCs w:val="19"/>
          <w:color w:val="auto"/>
        </w:rPr>
      </w:pPr>
    </w:p>
    <w:p>
      <w:pPr>
        <w:ind w:left="280" w:hanging="272"/>
        <w:spacing w:after="0"/>
        <w:tabs>
          <w:tab w:leader="none" w:pos="28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and even if any Available Tenor of such Benchmark (or such component thereof) continues to be provided on such date.</w:t>
      </w:r>
    </w:p>
    <w:p>
      <w:pPr>
        <w:spacing w:after="0" w:line="223"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28" w:lineRule="exact"/>
        <w:rPr>
          <w:sz w:val="20"/>
          <w:szCs w:val="20"/>
          <w:color w:val="auto"/>
        </w:rPr>
      </w:pPr>
    </w:p>
    <w:p>
      <w:pPr>
        <w:ind w:right="40" w:firstLine="1561"/>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Transition Event</w:t>
      </w:r>
      <w:r>
        <w:rPr>
          <w:rFonts w:ascii="Arial" w:cs="Arial" w:eastAsia="Arial" w:hAnsi="Arial"/>
          <w:sz w:val="22"/>
          <w:szCs w:val="22"/>
          <w:color w:val="auto"/>
        </w:rPr>
        <w:t>” means the occurrence of one or more of the following events with respect to the then-current Benchmark:</w:t>
      </w:r>
    </w:p>
    <w:p>
      <w:pPr>
        <w:spacing w:after="0" w:line="168" w:lineRule="exact"/>
        <w:rPr>
          <w:sz w:val="20"/>
          <w:szCs w:val="20"/>
          <w:color w:val="auto"/>
        </w:rPr>
      </w:pPr>
    </w:p>
    <w:p>
      <w:pPr>
        <w:ind w:firstLine="1569"/>
        <w:spacing w:after="0" w:line="236" w:lineRule="auto"/>
        <w:tabs>
          <w:tab w:leader="none" w:pos="244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7" w:lineRule="exact"/>
        <w:rPr>
          <w:rFonts w:ascii="Arial" w:cs="Arial" w:eastAsia="Arial" w:hAnsi="Arial"/>
          <w:sz w:val="22"/>
          <w:szCs w:val="22"/>
          <w:color w:val="auto"/>
        </w:rPr>
      </w:pPr>
    </w:p>
    <w:p>
      <w:pPr>
        <w:ind w:right="120" w:firstLine="1569"/>
        <w:spacing w:after="0" w:line="246" w:lineRule="auto"/>
        <w:tabs>
          <w:tab w:leader="none" w:pos="2458" w:val="left"/>
        </w:tabs>
        <w:numPr>
          <w:ilvl w:val="0"/>
          <w:numId w:val="128"/>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73" w:name="page174"/>
    <w:bookmarkEnd w:id="173"/>
    <w:p>
      <w:pPr>
        <w:ind w:right="300"/>
        <w:spacing w:after="0" w:line="250" w:lineRule="auto"/>
        <w:rPr>
          <w:sz w:val="20"/>
          <w:szCs w:val="20"/>
          <w:color w:val="auto"/>
        </w:rPr>
      </w:pPr>
      <w:r>
        <w:rPr>
          <w:rFonts w:ascii="Arial" w:cs="Arial" w:eastAsia="Arial" w:hAnsi="Arial"/>
          <w:sz w:val="22"/>
          <w:szCs w:val="22"/>
          <w:color w:val="auto"/>
        </w:rPr>
        <w:t>indefinitely; provided that, at the time of such statement or publication, there is no successor administrator that will continue to provide any Available Tenor of such Benchmark (or such component thereof); or</w:t>
      </w:r>
    </w:p>
    <w:p>
      <w:pPr>
        <w:spacing w:after="0" w:line="175" w:lineRule="exact"/>
        <w:rPr>
          <w:sz w:val="20"/>
          <w:szCs w:val="20"/>
          <w:color w:val="auto"/>
        </w:rPr>
      </w:pPr>
    </w:p>
    <w:p>
      <w:pPr>
        <w:ind w:right="180" w:firstLine="1569"/>
        <w:spacing w:after="0" w:line="297" w:lineRule="auto"/>
        <w:tabs>
          <w:tab w:leader="none" w:pos="2446" w:val="left"/>
        </w:tabs>
        <w:numPr>
          <w:ilvl w:val="0"/>
          <w:numId w:val="129"/>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34"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For the avoidance of doubt, a “Benchmark Transition Event” will be deemed to have occurred with respect to any</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Benchmark if a public statement or publication of information set forth above has occurred with respect to each then-current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Available Tenor of such Benchmark (or the published component used in the calculation thereof).</w:t>
      </w:r>
    </w:p>
    <w:p>
      <w:pPr>
        <w:spacing w:after="0" w:line="182" w:lineRule="exact"/>
        <w:rPr>
          <w:sz w:val="20"/>
          <w:szCs w:val="20"/>
          <w:color w:val="auto"/>
        </w:rPr>
      </w:pPr>
    </w:p>
    <w:p>
      <w:pPr>
        <w:ind w:firstLine="1561"/>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Transition Start Date</w:t>
      </w:r>
      <w:r>
        <w:rPr>
          <w:rFonts w:ascii="Arial" w:cs="Arial" w:eastAsia="Arial" w:hAnsi="Arial"/>
          <w:sz w:val="22"/>
          <w:szCs w:val="22"/>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01" w:lineRule="exact"/>
        <w:rPr>
          <w:sz w:val="20"/>
          <w:szCs w:val="20"/>
          <w:color w:val="auto"/>
        </w:rPr>
      </w:pPr>
    </w:p>
    <w:p>
      <w:pPr>
        <w:ind w:right="460" w:firstLine="1561"/>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Unavailability Period</w:t>
      </w:r>
      <w:r>
        <w:rPr>
          <w:rFonts w:ascii="Arial" w:cs="Arial" w:eastAsia="Arial" w:hAnsi="Arial"/>
          <w:sz w:val="22"/>
          <w:szCs w:val="22"/>
          <w:color w:val="auto"/>
        </w:rPr>
        <w:t>” means, the period (if any) (a) beginning at the time that a Benchmark Replacement Date has occurred if, at such time, no Benchmark Replacement has replaced the then-current Benchmark for all purposes hereunder and under any Transaction Document in accordance with Section 6.4 and (b) ending at the time that a Benchmark Replacement has replaced the then-current Benchmark for all purposes hereunder and under any Transaction Document in accordance with Section 6.4.</w:t>
      </w:r>
    </w:p>
    <w:p>
      <w:pPr>
        <w:spacing w:after="0" w:line="182" w:lineRule="exact"/>
        <w:rPr>
          <w:sz w:val="20"/>
          <w:szCs w:val="20"/>
          <w:color w:val="auto"/>
        </w:rPr>
      </w:pPr>
    </w:p>
    <w:p>
      <w:pPr>
        <w:ind w:right="100" w:firstLine="1561"/>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Governmental Body</w:t>
      </w:r>
      <w:r>
        <w:rPr>
          <w:rFonts w:ascii="Arial" w:cs="Arial" w:eastAsia="Arial" w:hAnsi="Arial"/>
          <w:sz w:val="22"/>
          <w:szCs w:val="22"/>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77" w:lineRule="exact"/>
        <w:rPr>
          <w:sz w:val="20"/>
          <w:szCs w:val="20"/>
          <w:color w:val="auto"/>
        </w:rPr>
      </w:pPr>
    </w:p>
    <w:p>
      <w:pPr>
        <w:ind w:right="60" w:firstLine="1561"/>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Unadjusted Benchmark Replacement</w:t>
      </w:r>
      <w:r>
        <w:rPr>
          <w:rFonts w:ascii="Arial" w:cs="Arial" w:eastAsia="Arial" w:hAnsi="Arial"/>
          <w:sz w:val="22"/>
          <w:szCs w:val="22"/>
          <w:color w:val="auto"/>
        </w:rPr>
        <w:t>” means the applicable Benchmark Replacement excluding the related Benchmark Replacement Adjustment.</w:t>
      </w:r>
    </w:p>
    <w:p>
      <w:pPr>
        <w:spacing w:after="0" w:line="168" w:lineRule="exact"/>
        <w:rPr>
          <w:sz w:val="20"/>
          <w:szCs w:val="20"/>
          <w:color w:val="auto"/>
        </w:rPr>
      </w:pPr>
    </w:p>
    <w:p>
      <w:pPr>
        <w:ind w:left="820" w:hanging="812"/>
        <w:spacing w:after="0"/>
        <w:tabs>
          <w:tab w:leader="none" w:pos="8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PAYMENTS</w:t>
      </w:r>
    </w:p>
    <w:p>
      <w:pPr>
        <w:spacing w:after="0" w:line="206" w:lineRule="exact"/>
        <w:rPr>
          <w:sz w:val="20"/>
          <w:szCs w:val="20"/>
          <w:color w:val="auto"/>
        </w:rPr>
      </w:pPr>
    </w:p>
    <w:p>
      <w:pPr>
        <w:ind w:firstLine="780"/>
        <w:spacing w:after="0" w:line="274"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Time and Place of Payments, No Set Off</w:t>
      </w:r>
      <w:r>
        <w:rPr>
          <w:rFonts w:ascii="Arial" w:cs="Arial" w:eastAsia="Arial" w:hAnsi="Arial"/>
          <w:sz w:val="19"/>
          <w:szCs w:val="19"/>
          <w:color w:val="auto"/>
        </w:rPr>
        <w:t>. All payments to be made hereunder by the Borrowers shall be made to the Administrative Agent, not later than 11:00 a.m. New York time (any payment received after 11:00 a.m. New York time shall be deemed to have been paid on the next Banking Day) on the due date of such payment, at its office located at 30 Hudson Yards, 81</w:t>
      </w:r>
      <w:r>
        <w:rPr>
          <w:rFonts w:ascii="Arial" w:cs="Arial" w:eastAsia="Arial" w:hAnsi="Arial"/>
          <w:sz w:val="16"/>
          <w:szCs w:val="16"/>
          <w:color w:val="auto"/>
        </w:rPr>
        <w:t>st</w:t>
      </w:r>
      <w:r>
        <w:rPr>
          <w:rFonts w:ascii="Arial" w:cs="Arial" w:eastAsia="Arial" w:hAnsi="Arial"/>
          <w:sz w:val="19"/>
          <w:szCs w:val="19"/>
          <w:color w:val="auto"/>
        </w:rPr>
        <w:t xml:space="preserve"> Floor, New York, New York 10001 or to such other office of the Administrative Agent as the Administrative Agent may direct, without set-off or counterclaim and free from, clear of, and without deduction for, any Taxes, provided, however, that if the Borrowers shall at any time be compelled by law to withhold or deduct any Taxes from any amounts payable to the Lenders hereunder, then the Borrowers shall pay such additional amounts in Dollars as may be necessary in order that the net amounts received after withholding or deduction shall equal the amounts which would have been received if such withholding or deduction were not required and, in the event any withholding or deduction is made,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74" w:name="page175"/>
    <w:bookmarkEnd w:id="174"/>
    <w:p>
      <w:pPr>
        <w:ind w:right="160"/>
        <w:spacing w:after="0" w:line="250" w:lineRule="auto"/>
        <w:rPr>
          <w:sz w:val="20"/>
          <w:szCs w:val="20"/>
          <w:color w:val="auto"/>
        </w:rPr>
      </w:pPr>
      <w:r>
        <w:rPr>
          <w:rFonts w:ascii="Arial" w:cs="Arial" w:eastAsia="Arial" w:hAnsi="Arial"/>
          <w:sz w:val="22"/>
          <w:szCs w:val="22"/>
          <w:color w:val="auto"/>
        </w:rPr>
        <w:t>whether for Taxes or otherwise, the Borrowers shall promptly send to the Administrative Agent such documentary evidence with respect to such withholding or deduction as may be required from time to time by the Lenders.</w:t>
      </w:r>
    </w:p>
    <w:p>
      <w:pPr>
        <w:spacing w:after="0" w:line="175" w:lineRule="exact"/>
        <w:rPr>
          <w:sz w:val="20"/>
          <w:szCs w:val="20"/>
          <w:color w:val="auto"/>
        </w:rPr>
      </w:pPr>
    </w:p>
    <w:p>
      <w:pPr>
        <w:ind w:firstLine="780"/>
        <w:spacing w:after="0" w:line="255"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Tax Credits</w:t>
      </w:r>
      <w:r>
        <w:rPr>
          <w:rFonts w:ascii="Arial" w:cs="Arial" w:eastAsia="Arial" w:hAnsi="Arial"/>
          <w:sz w:val="21"/>
          <w:szCs w:val="21"/>
          <w:color w:val="auto"/>
        </w:rPr>
        <w:t xml:space="preserve">. If any Lender obtains the benefit of a credit against the liability thereof for federal income taxes imposed by any taxing authority for all or part of the Taxes as to which the Borrowers have paid additional amounts as aforesaid (and each Lender agrees to use commercially reasonable efforts to obtain the benefit of any such credit which may be available to it, provided that </w:t>
      </w:r>
      <w:r>
        <w:rPr>
          <w:rFonts w:ascii="Arial" w:cs="Arial" w:eastAsia="Arial" w:hAnsi="Arial"/>
          <w:sz w:val="18"/>
          <w:szCs w:val="18"/>
          <w:color w:val="auto"/>
        </w:rPr>
        <w:t>(i) it has knowledge that such credit is in fact available to it and (ii) it is able to attribute such credit to this Facility), then</w:t>
      </w:r>
      <w:r>
        <w:rPr>
          <w:rFonts w:ascii="Arial" w:cs="Arial" w:eastAsia="Arial" w:hAnsi="Arial"/>
          <w:sz w:val="21"/>
          <w:szCs w:val="21"/>
          <w:color w:val="auto"/>
        </w:rPr>
        <w:t xml:space="preserve"> </w:t>
      </w:r>
      <w:r>
        <w:rPr>
          <w:rFonts w:ascii="Arial" w:cs="Arial" w:eastAsia="Arial" w:hAnsi="Arial"/>
          <w:sz w:val="18"/>
          <w:szCs w:val="18"/>
          <w:color w:val="auto"/>
        </w:rPr>
        <w:t>such Lender shall reimburse the Borrowers for the amount of the credit so obtained. The decision as to whether or not to seek such a benefit is in the sole discretion of the Lenders. Each Lender agrees that in the event that Taxes are imposed on account of the situs of its loans hereunder, such Lender, upon acquiring knowledge of such event, shall, if commercially reasonable, shift such loans on its books to another office of such Lender so as to avoid the impositionof such Taxes. Nothing contained in this clause shall in any way prejudice the right of the Lenders to arrange their tax affairs in such way as they, in their sole discretion, deem appropriate. In particular,a Lender shall not be required to obtain such tax credit, if this interferes with the way such Lender normally deals with its tax affairs.</w:t>
      </w:r>
    </w:p>
    <w:p>
      <w:pPr>
        <w:spacing w:after="0" w:line="177" w:lineRule="exact"/>
        <w:rPr>
          <w:sz w:val="20"/>
          <w:szCs w:val="20"/>
          <w:color w:val="auto"/>
        </w:rPr>
      </w:pPr>
    </w:p>
    <w:p>
      <w:pPr>
        <w:ind w:right="40" w:firstLine="780"/>
        <w:spacing w:after="0" w:line="256"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Exclusion of Gross-up for Taxes</w:t>
      </w:r>
      <w:r>
        <w:rPr>
          <w:rFonts w:ascii="Arial" w:cs="Arial" w:eastAsia="Arial" w:hAnsi="Arial"/>
          <w:sz w:val="22"/>
          <w:szCs w:val="22"/>
          <w:b w:val="1"/>
          <w:bCs w:val="1"/>
          <w:color w:val="auto"/>
        </w:rPr>
        <w:t>.</w:t>
      </w:r>
      <w:r>
        <w:rPr>
          <w:rFonts w:ascii="Arial" w:cs="Arial" w:eastAsia="Arial" w:hAnsi="Arial"/>
          <w:sz w:val="22"/>
          <w:szCs w:val="22"/>
          <w:color w:val="auto"/>
        </w:rPr>
        <w:t xml:space="preserve"> The Borrowers shall not be required to pay any additional amounts to or for the account of any Lender pursuant to Section 7.1 to the extent that:</w:t>
      </w:r>
    </w:p>
    <w:p>
      <w:pPr>
        <w:spacing w:after="0" w:line="168" w:lineRule="exact"/>
        <w:rPr>
          <w:sz w:val="20"/>
          <w:szCs w:val="20"/>
          <w:color w:val="auto"/>
        </w:rPr>
      </w:pPr>
    </w:p>
    <w:p>
      <w:pPr>
        <w:ind w:right="40" w:firstLine="1569"/>
        <w:spacing w:after="0" w:line="282" w:lineRule="auto"/>
        <w:tabs>
          <w:tab w:leader="none" w:pos="2446"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the applicable Lender was not an original party to this Agreement and under applicable law (after taking into account relevant treaties and assuming that such Lender has provided all forms it may legally and truthfully provide) on the date such Lender became a party to this Agreement withholding of Taxes would have been required on such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this exclusion shall not apply to the extent such withholding does not exceed the withholding that would have been applicable if such payment had been made to the person from whom such person acquired its rights under the Agreement; or</w:t>
      </w:r>
    </w:p>
    <w:p>
      <w:pPr>
        <w:spacing w:after="0" w:line="147" w:lineRule="exact"/>
        <w:rPr>
          <w:rFonts w:ascii="Arial" w:cs="Arial" w:eastAsia="Arial" w:hAnsi="Arial"/>
          <w:sz w:val="19"/>
          <w:szCs w:val="19"/>
          <w:color w:val="auto"/>
        </w:rPr>
      </w:pPr>
    </w:p>
    <w:p>
      <w:pPr>
        <w:ind w:right="180" w:firstLine="1569"/>
        <w:spacing w:after="0" w:line="249" w:lineRule="auto"/>
        <w:tabs>
          <w:tab w:leader="none" w:pos="2458" w:val="left"/>
        </w:tabs>
        <w:numPr>
          <w:ilvl w:val="0"/>
          <w:numId w:val="131"/>
        </w:numPr>
        <w:rPr>
          <w:rFonts w:ascii="Arial" w:cs="Arial" w:eastAsia="Arial" w:hAnsi="Arial"/>
          <w:sz w:val="21"/>
          <w:szCs w:val="21"/>
          <w:color w:val="auto"/>
        </w:rPr>
      </w:pPr>
      <w:r>
        <w:rPr>
          <w:rFonts w:ascii="Arial" w:cs="Arial" w:eastAsia="Arial" w:hAnsi="Arial"/>
          <w:sz w:val="21"/>
          <w:szCs w:val="21"/>
          <w:color w:val="auto"/>
        </w:rPr>
        <w:t xml:space="preserve">the applicable Lender has changed its lending office and under applicable law (after taking into account relevant treaties and assuming that such Lender has provided all forms it may legally and truthfully provide) on the date such Lender changed its lending office withholding of Taxes would have been required on such payment,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this exclusion shall not apply to the extent such withholding does not exceed the withholding that would have been applicable to such payment if such Lender had not changed its lending office; or</w:t>
      </w:r>
    </w:p>
    <w:p>
      <w:pPr>
        <w:spacing w:after="0" w:line="178" w:lineRule="exact"/>
        <w:rPr>
          <w:rFonts w:ascii="Arial" w:cs="Arial" w:eastAsia="Arial" w:hAnsi="Arial"/>
          <w:sz w:val="21"/>
          <w:szCs w:val="21"/>
          <w:color w:val="auto"/>
        </w:rPr>
      </w:pPr>
    </w:p>
    <w:p>
      <w:pPr>
        <w:ind w:right="420" w:firstLine="1569"/>
        <w:spacing w:after="0" w:line="250" w:lineRule="auto"/>
        <w:tabs>
          <w:tab w:leader="none" w:pos="2446"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withholding would not have been required on such payment if such Lender had complied with its obligations to deliver certain tax forms pursuant to Section 7.4 below.</w:t>
      </w:r>
    </w:p>
    <w:p>
      <w:pPr>
        <w:spacing w:after="0" w:line="175" w:lineRule="exact"/>
        <w:rPr>
          <w:sz w:val="20"/>
          <w:szCs w:val="20"/>
          <w:color w:val="auto"/>
        </w:rPr>
      </w:pPr>
    </w:p>
    <w:p>
      <w:pPr>
        <w:ind w:left="780"/>
        <w:spacing w:after="0"/>
        <w:tabs>
          <w:tab w:leader="none" w:pos="168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u w:val="single" w:color="auto"/>
          <w:color w:val="auto"/>
        </w:rPr>
        <w:t>Delivery of Tax Forms</w:t>
      </w:r>
      <w:r>
        <w:rPr>
          <w:rFonts w:ascii="Arial" w:cs="Arial" w:eastAsia="Arial" w:hAnsi="Arial"/>
          <w:sz w:val="19"/>
          <w:szCs w:val="19"/>
          <w:color w:val="auto"/>
        </w:rPr>
        <w:t>.</w:t>
      </w:r>
    </w:p>
    <w:p>
      <w:pPr>
        <w:spacing w:after="0" w:line="206" w:lineRule="exact"/>
        <w:rPr>
          <w:sz w:val="20"/>
          <w:szCs w:val="20"/>
          <w:color w:val="auto"/>
        </w:rPr>
      </w:pPr>
    </w:p>
    <w:p>
      <w:pPr>
        <w:ind w:firstLine="1569"/>
        <w:spacing w:after="0" w:line="248" w:lineRule="auto"/>
        <w:tabs>
          <w:tab w:leader="none" w:pos="2446" w:val="left"/>
        </w:tabs>
        <w:numPr>
          <w:ilvl w:val="0"/>
          <w:numId w:val="132"/>
        </w:numPr>
        <w:rPr>
          <w:rFonts w:ascii="Arial" w:cs="Arial" w:eastAsia="Arial" w:hAnsi="Arial"/>
          <w:sz w:val="21"/>
          <w:szCs w:val="21"/>
          <w:color w:val="auto"/>
        </w:rPr>
      </w:pPr>
      <w:r>
        <w:rPr>
          <w:rFonts w:ascii="Arial" w:cs="Arial" w:eastAsia="Arial" w:hAnsi="Arial"/>
          <w:sz w:val="21"/>
          <w:szCs w:val="21"/>
          <w:color w:val="auto"/>
        </w:rPr>
        <w:t>On or prior to the date hereof (or in the case of a transferee Lender, the date that it becomes a party to this Agreement), and thereafter when reasonably requested by a Borrower, each Lender or transferee that is organized under the laws of a jurisdiction outside the United States (a “</w:t>
      </w:r>
      <w:r>
        <w:rPr>
          <w:rFonts w:ascii="Arial" w:cs="Arial" w:eastAsia="Arial" w:hAnsi="Arial"/>
          <w:sz w:val="21"/>
          <w:szCs w:val="21"/>
          <w:b w:val="1"/>
          <w:bCs w:val="1"/>
          <w:color w:val="auto"/>
        </w:rPr>
        <w:t>Non-U.S. Lender</w:t>
      </w:r>
      <w:r>
        <w:rPr>
          <w:rFonts w:ascii="Arial" w:cs="Arial" w:eastAsia="Arial" w:hAnsi="Arial"/>
          <w:sz w:val="21"/>
          <w:szCs w:val="21"/>
          <w:color w:val="auto"/>
        </w:rPr>
        <w:t>”) shall deliver to the Administrative Agent two properly completed and duly executed copies of (as applicable) IRS Form W-8BEN, W-8ECI or W-8IMY or, upon request of a Borrower or the Administrative Agent, any subsequent versions thereof or successors thereto, in each case claiming a reduced rate (which may be zero) of U.S. federal withholding tax under Sections 1441</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175" w:name="page176"/>
    <w:bookmarkEnd w:id="175"/>
    <w:p>
      <w:pPr>
        <w:ind w:firstLine="1561"/>
        <w:spacing w:after="0" w:line="274" w:lineRule="auto"/>
        <w:rPr>
          <w:sz w:val="20"/>
          <w:szCs w:val="20"/>
          <w:color w:val="auto"/>
        </w:rPr>
      </w:pPr>
      <w:r>
        <w:rPr>
          <w:rFonts w:ascii="Arial" w:cs="Arial" w:eastAsia="Arial" w:hAnsi="Arial"/>
          <w:sz w:val="19"/>
          <w:szCs w:val="19"/>
          <w:color w:val="auto"/>
        </w:rPr>
        <w:t>and 1442 of the Code with respect to payments of interest hereunder as such Non-U.S. Lender may properly claim. In addition, in the case of a Non-U.S. Lender claiming exemption from U.S. federal withholding tax under Section 871(h) or 881(c) of the Code, such Non-U.S. Lender shall, on or prior to the date hereof (or in the case of a transferee Lender, the date that it becomes a party to this Agreement), and thereafter when reasonably requested by a Borrower, provide to the Administrative Agent in addition to the IRS Form W-8 required above a certificate representing that such Non-U.S. Lender is not a bank for purposes of Section 881(c) of the Code, is not a 10-percent shareholder (within the meaning of Section 871(h)(3)(B) of the Code) of the Holding Company and is not a controlled foreign corporation related to the Holding Company (within the meaning of Section 864(d)(4) of the Code), and such Non-U.S. Lender agrees that it shall promptly notify the Administrative Agent in the event any representation in such certificate is no longer accurate.</w:t>
      </w:r>
    </w:p>
    <w:p>
      <w:pPr>
        <w:spacing w:after="0" w:line="158" w:lineRule="exact"/>
        <w:rPr>
          <w:sz w:val="20"/>
          <w:szCs w:val="20"/>
          <w:color w:val="auto"/>
        </w:rPr>
      </w:pPr>
    </w:p>
    <w:p>
      <w:pPr>
        <w:ind w:firstLine="1569"/>
        <w:spacing w:after="0" w:line="287" w:lineRule="auto"/>
        <w:tabs>
          <w:tab w:leader="none" w:pos="2458" w:val="left"/>
        </w:tabs>
        <w:numPr>
          <w:ilvl w:val="0"/>
          <w:numId w:val="133"/>
        </w:numPr>
        <w:rPr>
          <w:rFonts w:ascii="Arial" w:cs="Arial" w:eastAsia="Arial" w:hAnsi="Arial"/>
          <w:sz w:val="19"/>
          <w:szCs w:val="19"/>
          <w:color w:val="auto"/>
        </w:rPr>
      </w:pPr>
      <w:r>
        <w:rPr>
          <w:rFonts w:ascii="Arial" w:cs="Arial" w:eastAsia="Arial" w:hAnsi="Arial"/>
          <w:sz w:val="19"/>
          <w:szCs w:val="19"/>
          <w:color w:val="auto"/>
        </w:rPr>
        <w:t>In the case of a Non-U.S. Lender that is a party to this Agreement on the date hereof and that fails to provide an IRS Form W-8ECI or the certificate described in the last sentence of Section 7.4(a), the IRS Form W-8BEN or W-8IMY provided by such Non-U.S. Lender on or prior to the date hereof shall claim the benefits of an income tax treaty providing for no U.S. federal withholding tax under Sections 1441 and 1442 of the Code with respect to payments of interest hereunder.</w:t>
      </w:r>
    </w:p>
    <w:p>
      <w:pPr>
        <w:spacing w:after="0" w:line="143" w:lineRule="exact"/>
        <w:rPr>
          <w:sz w:val="20"/>
          <w:szCs w:val="20"/>
          <w:color w:val="auto"/>
        </w:rPr>
      </w:pPr>
    </w:p>
    <w:p>
      <w:pPr>
        <w:ind w:left="780"/>
        <w:spacing w:after="0"/>
        <w:tabs>
          <w:tab w:leader="none" w:pos="168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u w:val="single" w:color="auto"/>
          <w:color w:val="auto"/>
        </w:rPr>
        <w:t>FATCA Information</w:t>
      </w:r>
      <w:r>
        <w:rPr>
          <w:rFonts w:ascii="Arial" w:cs="Arial" w:eastAsia="Arial" w:hAnsi="Arial"/>
          <w:sz w:val="19"/>
          <w:szCs w:val="19"/>
          <w:color w:val="auto"/>
        </w:rPr>
        <w:t>.</w:t>
      </w:r>
    </w:p>
    <w:p>
      <w:pPr>
        <w:spacing w:after="0" w:line="206" w:lineRule="exact"/>
        <w:rPr>
          <w:sz w:val="20"/>
          <w:szCs w:val="20"/>
          <w:color w:val="auto"/>
        </w:rPr>
      </w:pPr>
    </w:p>
    <w:p>
      <w:pPr>
        <w:ind w:right="720" w:firstLine="1569"/>
        <w:spacing w:after="0" w:line="250" w:lineRule="auto"/>
        <w:tabs>
          <w:tab w:leader="none" w:pos="2446" w:val="left"/>
        </w:tabs>
        <w:numPr>
          <w:ilvl w:val="0"/>
          <w:numId w:val="134"/>
        </w:numPr>
        <w:rPr>
          <w:rFonts w:ascii="Arial" w:cs="Arial" w:eastAsia="Arial" w:hAnsi="Arial"/>
          <w:sz w:val="22"/>
          <w:szCs w:val="22"/>
          <w:color w:val="auto"/>
        </w:rPr>
      </w:pPr>
      <w:r>
        <w:rPr>
          <w:rFonts w:ascii="Arial" w:cs="Arial" w:eastAsia="Arial" w:hAnsi="Arial"/>
          <w:sz w:val="22"/>
          <w:szCs w:val="22"/>
          <w:color w:val="auto"/>
        </w:rPr>
        <w:t>Subject to paragraph (c) below, each FATCA Relevant Party, within ten (10) Banking Days of a reasonable request by another FATCA Relevant Party, shall:</w:t>
      </w:r>
    </w:p>
    <w:p>
      <w:pPr>
        <w:spacing w:after="0" w:line="174" w:lineRule="exact"/>
        <w:rPr>
          <w:rFonts w:ascii="Arial" w:cs="Arial" w:eastAsia="Arial" w:hAnsi="Arial"/>
          <w:sz w:val="22"/>
          <w:szCs w:val="22"/>
          <w:color w:val="auto"/>
        </w:rPr>
      </w:pPr>
    </w:p>
    <w:p>
      <w:pPr>
        <w:ind w:left="3120" w:right="340" w:hanging="777"/>
        <w:spacing w:after="0" w:line="250" w:lineRule="auto"/>
        <w:tabs>
          <w:tab w:leader="none" w:pos="312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confirm to that other party whether it is a FATCA Exempt Party or is not a FATCA Exempt Party; and</w:t>
      </w:r>
    </w:p>
    <w:p>
      <w:pPr>
        <w:spacing w:after="0" w:line="174" w:lineRule="exact"/>
        <w:rPr>
          <w:rFonts w:ascii="Arial" w:cs="Arial" w:eastAsia="Arial" w:hAnsi="Arial"/>
          <w:sz w:val="22"/>
          <w:szCs w:val="22"/>
          <w:color w:val="auto"/>
        </w:rPr>
      </w:pPr>
    </w:p>
    <w:p>
      <w:pPr>
        <w:ind w:left="3120" w:right="180" w:hanging="777"/>
        <w:spacing w:after="0" w:line="277" w:lineRule="auto"/>
        <w:tabs>
          <w:tab w:leader="none" w:pos="312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supply to the requesting party (with a copy to all other FATCA Relevant Parties) such other form or forms (including IRS Form W-8 or Form W-9 or any successor or substitute form, as applicable) and any other documentation and other information relating to its status under FATCA (including its applicable “pass-thru percentage” or other information required under FATCA or other official guidance including intergovernmental agreements) as the requesting party reasonably requests for the purpose of determining whether any payment to such party may be subject to any FATCA Deduction.</w:t>
      </w:r>
    </w:p>
    <w:p>
      <w:pPr>
        <w:spacing w:after="0" w:line="151" w:lineRule="exact"/>
        <w:rPr>
          <w:rFonts w:ascii="Arial" w:cs="Arial" w:eastAsia="Arial" w:hAnsi="Arial"/>
          <w:sz w:val="19"/>
          <w:szCs w:val="19"/>
          <w:color w:val="auto"/>
        </w:rPr>
      </w:pPr>
    </w:p>
    <w:p>
      <w:pPr>
        <w:ind w:right="100" w:firstLine="1569"/>
        <w:spacing w:after="0" w:line="297" w:lineRule="auto"/>
        <w:tabs>
          <w:tab w:leader="none" w:pos="2458"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If a FATCA Relevant Party confirms to any other FATCA Relevant Party that it is a FATCA Exempt Party or provides an IRS Form W-8 or W-9 showing that it is a FATCA Exempt Party and it subsequently becomes aware that it is not, or has ceased to be a FATCA Exempt Party, that party shall so notify all other FATCA Relevant Parties reasonably promptly.</w:t>
      </w:r>
    </w:p>
    <w:p>
      <w:pPr>
        <w:spacing w:after="0" w:line="133" w:lineRule="exact"/>
        <w:rPr>
          <w:rFonts w:ascii="Arial" w:cs="Arial" w:eastAsia="Arial" w:hAnsi="Arial"/>
          <w:sz w:val="19"/>
          <w:szCs w:val="19"/>
          <w:color w:val="auto"/>
        </w:rPr>
      </w:pPr>
    </w:p>
    <w:p>
      <w:pPr>
        <w:ind w:right="60" w:firstLine="1569"/>
        <w:spacing w:after="0" w:line="279" w:lineRule="auto"/>
        <w:tabs>
          <w:tab w:leader="none" w:pos="2446" w:val="left"/>
        </w:tabs>
        <w:numPr>
          <w:ilvl w:val="0"/>
          <w:numId w:val="134"/>
        </w:numPr>
        <w:rPr>
          <w:rFonts w:ascii="Arial" w:cs="Arial" w:eastAsia="Arial" w:hAnsi="Arial"/>
          <w:sz w:val="19"/>
          <w:szCs w:val="19"/>
          <w:color w:val="auto"/>
        </w:rPr>
      </w:pPr>
      <w:r>
        <w:rPr>
          <w:rFonts w:ascii="Arial" w:cs="Arial" w:eastAsia="Arial" w:hAnsi="Arial"/>
          <w:sz w:val="19"/>
          <w:szCs w:val="19"/>
          <w:color w:val="auto"/>
        </w:rPr>
        <w:t>Nothing in this Section 7.5 shall obligate any FATCA Relevant Party to do anything which would or, in its reasonable opinion, might constitute a breach of any law or regulation, any policy of that party, any fiduciary duty or any duty of confidentiality, or to disclose any confidential information (including, without limitation, its tax returns and calculations); provided that nothing in this paragraph shall excuse any FATCA Relevant Party from providing a true complete and correct IRS Form W-8 or W-9 (or any successor or substitute form where applicable). Any information provided on such IRS Form W-8 or W-9 (or any successor or substitute forms) shall not be treated as confidential information of such party for purposes of this paragraph.</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76" w:name="page177"/>
    <w:bookmarkEnd w:id="176"/>
    <w:p>
      <w:pPr>
        <w:ind w:right="340" w:firstLine="1569"/>
        <w:spacing w:after="0"/>
        <w:tabs>
          <w:tab w:leader="none" w:pos="2458" w:val="left"/>
        </w:tabs>
        <w:numPr>
          <w:ilvl w:val="1"/>
          <w:numId w:val="135"/>
        </w:numPr>
        <w:rPr>
          <w:rFonts w:ascii="Arial" w:cs="Arial" w:eastAsia="Arial" w:hAnsi="Arial"/>
          <w:sz w:val="22"/>
          <w:szCs w:val="22"/>
          <w:color w:val="auto"/>
        </w:rPr>
      </w:pPr>
      <w:r>
        <w:rPr>
          <w:rFonts w:ascii="Arial" w:cs="Arial" w:eastAsia="Arial" w:hAnsi="Arial"/>
          <w:sz w:val="22"/>
          <w:szCs w:val="22"/>
          <w:color w:val="auto"/>
        </w:rPr>
        <w:t>If a FATCA Relevant Party fails to confirm its status or to supply forms, documentation or other information requested in accordance the provisions of this agreement or the provided information is insufficient under FATCA, then:</w:t>
      </w:r>
    </w:p>
    <w:p>
      <w:pPr>
        <w:spacing w:after="0" w:line="186" w:lineRule="exact"/>
        <w:rPr>
          <w:rFonts w:ascii="Arial" w:cs="Arial" w:eastAsia="Arial" w:hAnsi="Arial"/>
          <w:sz w:val="22"/>
          <w:szCs w:val="22"/>
          <w:color w:val="auto"/>
        </w:rPr>
      </w:pPr>
    </w:p>
    <w:p>
      <w:pPr>
        <w:ind w:left="2340" w:hanging="780"/>
        <w:spacing w:after="0"/>
        <w:tabs>
          <w:tab w:leader="none" w:pos="234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such party shall be treated as if it were a FATCA Non-Exempt Party; and</w:t>
      </w:r>
    </w:p>
    <w:p>
      <w:pPr>
        <w:spacing w:after="0" w:line="206" w:lineRule="exact"/>
        <w:rPr>
          <w:rFonts w:ascii="Arial" w:cs="Arial" w:eastAsia="Arial" w:hAnsi="Arial"/>
          <w:sz w:val="22"/>
          <w:szCs w:val="22"/>
          <w:color w:val="auto"/>
        </w:rPr>
      </w:pPr>
    </w:p>
    <w:p>
      <w:pPr>
        <w:ind w:left="2340" w:right="80" w:hanging="780"/>
        <w:spacing w:after="0"/>
        <w:tabs>
          <w:tab w:leader="none" w:pos="234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if that party failed to confirm its applicable pass-thru percentage then such party shall be treated for the purposes of any Transaction Document (and payments made thereunder) as if its applicable pass-thru percentage is 100%,</w:t>
      </w:r>
    </w:p>
    <w:p>
      <w:pPr>
        <w:spacing w:after="0" w:line="186" w:lineRule="exact"/>
        <w:rPr>
          <w:sz w:val="20"/>
          <w:szCs w:val="20"/>
          <w:color w:val="auto"/>
        </w:rPr>
      </w:pPr>
    </w:p>
    <w:p>
      <w:pPr>
        <w:ind w:left="2340" w:right="200"/>
        <w:spacing w:after="0" w:line="250" w:lineRule="auto"/>
        <w:rPr>
          <w:sz w:val="20"/>
          <w:szCs w:val="20"/>
          <w:color w:val="auto"/>
        </w:rPr>
      </w:pPr>
      <w:r>
        <w:rPr>
          <w:rFonts w:ascii="Arial" w:cs="Arial" w:eastAsia="Arial" w:hAnsi="Arial"/>
          <w:sz w:val="22"/>
          <w:szCs w:val="22"/>
          <w:color w:val="auto"/>
        </w:rPr>
        <w:t>until (in each case) such time as the party in question provides sufficient confirmation, forms, documentation or other information to establish the relevant facts.</w:t>
      </w:r>
    </w:p>
    <w:p>
      <w:pPr>
        <w:spacing w:after="0" w:line="175" w:lineRule="exact"/>
        <w:rPr>
          <w:sz w:val="20"/>
          <w:szCs w:val="20"/>
          <w:color w:val="auto"/>
        </w:rPr>
      </w:pPr>
    </w:p>
    <w:p>
      <w:pPr>
        <w:ind w:left="780"/>
        <w:spacing w:after="0"/>
        <w:tabs>
          <w:tab w:leader="none" w:pos="168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u w:val="single" w:color="auto"/>
          <w:color w:val="auto"/>
        </w:rPr>
        <w:t>FATCA Withholding</w:t>
      </w:r>
      <w:r>
        <w:rPr>
          <w:rFonts w:ascii="Arial" w:cs="Arial" w:eastAsia="Arial" w:hAnsi="Arial"/>
          <w:sz w:val="19"/>
          <w:szCs w:val="19"/>
          <w:color w:val="auto"/>
        </w:rPr>
        <w:t>.</w:t>
      </w:r>
    </w:p>
    <w:p>
      <w:pPr>
        <w:spacing w:after="0" w:line="206" w:lineRule="exact"/>
        <w:rPr>
          <w:sz w:val="20"/>
          <w:szCs w:val="20"/>
          <w:color w:val="auto"/>
        </w:rPr>
      </w:pPr>
    </w:p>
    <w:p>
      <w:pPr>
        <w:ind w:firstLine="1569"/>
        <w:spacing w:after="0"/>
        <w:tabs>
          <w:tab w:leader="none" w:pos="2446"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 FATCA Relevant Party making a payment to any FATCA Non-Exempt Party shall make such FATCA Deduction as it determines is required by law and shall render payment to the IRS within the time allowed and in the amount required by FATCA.</w:t>
      </w:r>
    </w:p>
    <w:p>
      <w:pPr>
        <w:spacing w:after="0" w:line="186" w:lineRule="exact"/>
        <w:rPr>
          <w:rFonts w:ascii="Arial" w:cs="Arial" w:eastAsia="Arial" w:hAnsi="Arial"/>
          <w:sz w:val="22"/>
          <w:szCs w:val="22"/>
          <w:color w:val="auto"/>
        </w:rPr>
      </w:pPr>
    </w:p>
    <w:p>
      <w:pPr>
        <w:ind w:right="420" w:firstLine="1569"/>
        <w:spacing w:after="0"/>
        <w:tabs>
          <w:tab w:leader="none" w:pos="2458" w:val="left"/>
        </w:tabs>
        <w:numPr>
          <w:ilvl w:val="0"/>
          <w:numId w:val="138"/>
        </w:numPr>
        <w:rPr>
          <w:rFonts w:ascii="Arial" w:cs="Arial" w:eastAsia="Arial" w:hAnsi="Arial"/>
          <w:sz w:val="22"/>
          <w:szCs w:val="22"/>
          <w:color w:val="auto"/>
        </w:rPr>
      </w:pPr>
      <w:r>
        <w:rPr>
          <w:rFonts w:ascii="Arial" w:cs="Arial" w:eastAsia="Arial" w:hAnsi="Arial"/>
          <w:sz w:val="22"/>
          <w:szCs w:val="22"/>
          <w:color w:val="auto"/>
        </w:rPr>
        <w:t>If a FATCA Deduction is required to be made by any FATCA Relevant Party to a FATCA Non-Exempt Party, the amount of the payment due from such FATCA Relevant Party shall be reduced by the amount of the FATCA Deduction reasonably determined to be required by such FATCA Relevant Party.</w:t>
      </w:r>
    </w:p>
    <w:p>
      <w:pPr>
        <w:spacing w:after="0" w:line="186" w:lineRule="exact"/>
        <w:rPr>
          <w:rFonts w:ascii="Arial" w:cs="Arial" w:eastAsia="Arial" w:hAnsi="Arial"/>
          <w:sz w:val="22"/>
          <w:szCs w:val="22"/>
          <w:color w:val="auto"/>
        </w:rPr>
      </w:pPr>
    </w:p>
    <w:p>
      <w:pPr>
        <w:ind w:right="20" w:firstLine="1569"/>
        <w:spacing w:after="0" w:line="238" w:lineRule="auto"/>
        <w:tabs>
          <w:tab w:leader="none" w:pos="2446" w:val="left"/>
        </w:tabs>
        <w:numPr>
          <w:ilvl w:val="0"/>
          <w:numId w:val="138"/>
        </w:numPr>
        <w:rPr>
          <w:rFonts w:ascii="Arial" w:cs="Arial" w:eastAsia="Arial" w:hAnsi="Arial"/>
          <w:sz w:val="22"/>
          <w:szCs w:val="22"/>
          <w:color w:val="auto"/>
        </w:rPr>
      </w:pPr>
      <w:r>
        <w:rPr>
          <w:rFonts w:ascii="Arial" w:cs="Arial" w:eastAsia="Arial" w:hAnsi="Arial"/>
          <w:sz w:val="22"/>
          <w:szCs w:val="22"/>
          <w:color w:val="auto"/>
        </w:rPr>
        <w:t>Each FATCA Relevant Party shall promptly upon becoming aware that a FATCA Deduction is required with respect to any payment owed to it (or that there is any change in the rate or basis of a FATCA Deduction) notify each other FATCA Relevant Party accordingly, and no Security Party shall be required to increase any payment in respect of which it makes such a FATCA Deduction.</w:t>
      </w:r>
    </w:p>
    <w:p>
      <w:pPr>
        <w:spacing w:after="0" w:line="184" w:lineRule="exact"/>
        <w:rPr>
          <w:rFonts w:ascii="Arial" w:cs="Arial" w:eastAsia="Arial" w:hAnsi="Arial"/>
          <w:sz w:val="22"/>
          <w:szCs w:val="22"/>
          <w:color w:val="auto"/>
        </w:rPr>
      </w:pPr>
    </w:p>
    <w:p>
      <w:pPr>
        <w:ind w:right="140" w:firstLine="1569"/>
        <w:spacing w:after="0" w:line="252" w:lineRule="auto"/>
        <w:tabs>
          <w:tab w:leader="none" w:pos="2458" w:val="left"/>
        </w:tabs>
        <w:numPr>
          <w:ilvl w:val="0"/>
          <w:numId w:val="138"/>
        </w:numPr>
        <w:rPr>
          <w:rFonts w:ascii="Arial" w:cs="Arial" w:eastAsia="Arial" w:hAnsi="Arial"/>
          <w:sz w:val="21"/>
          <w:szCs w:val="21"/>
          <w:color w:val="auto"/>
        </w:rPr>
      </w:pPr>
      <w:r>
        <w:rPr>
          <w:rFonts w:ascii="Arial" w:cs="Arial" w:eastAsia="Arial" w:hAnsi="Arial"/>
          <w:sz w:val="21"/>
          <w:szCs w:val="21"/>
          <w:color w:val="auto"/>
        </w:rPr>
        <w:t>Within thirty days of making either a FATCA Deduction or any payment required in connection with that FATCA Deduction, the party making such FATCA Deduction shall deliver to the Administrative Agent for delivery to the party on account of whom the FATCA Deduction was made evidence reasonably satisfactory to that party that the FATCA Deduction has been made or (as applicable) any appropriate payment paid to the IRS.</w:t>
      </w:r>
    </w:p>
    <w:p>
      <w:pPr>
        <w:spacing w:after="0" w:line="173" w:lineRule="exact"/>
        <w:rPr>
          <w:rFonts w:ascii="Arial" w:cs="Arial" w:eastAsia="Arial" w:hAnsi="Arial"/>
          <w:sz w:val="21"/>
          <w:szCs w:val="21"/>
          <w:color w:val="auto"/>
        </w:rPr>
      </w:pPr>
    </w:p>
    <w:p>
      <w:pPr>
        <w:ind w:right="100" w:firstLine="1569"/>
        <w:spacing w:after="0"/>
        <w:tabs>
          <w:tab w:leader="none" w:pos="2446"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 FATCA Relevant Party who becomes aware that it must make a FATCA Deduction in respect of a payment to another FATCA Relevant Party (or that there is any change in the rate or basis of such FATCA Deduction) shall notify that party and the Administrative Agent.</w:t>
      </w:r>
    </w:p>
    <w:p>
      <w:pPr>
        <w:spacing w:after="0" w:line="186" w:lineRule="exact"/>
        <w:rPr>
          <w:rFonts w:ascii="Arial" w:cs="Arial" w:eastAsia="Arial" w:hAnsi="Arial"/>
          <w:sz w:val="22"/>
          <w:szCs w:val="22"/>
          <w:color w:val="auto"/>
        </w:rPr>
      </w:pPr>
    </w:p>
    <w:p>
      <w:pPr>
        <w:ind w:firstLine="1569"/>
        <w:spacing w:after="0" w:line="257" w:lineRule="auto"/>
        <w:tabs>
          <w:tab w:leader="none" w:pos="2422"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The Administrative Agent shall promptly upon becoming aware that it must make a FATCA Deduction in respect of a payment to a Lender which relates to a payment by the Security Parties (or that there is any change in the rate or the basis of such a FATCA Deduction) notify the Security Parties and the relevant Lender.</w:t>
      </w:r>
    </w:p>
    <w:p>
      <w:pPr>
        <w:spacing w:after="0" w:line="169" w:lineRule="exact"/>
        <w:rPr>
          <w:sz w:val="20"/>
          <w:szCs w:val="20"/>
          <w:color w:val="auto"/>
        </w:rPr>
      </w:pPr>
    </w:p>
    <w:p>
      <w:pPr>
        <w:ind w:right="100" w:firstLine="780"/>
        <w:spacing w:after="0"/>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u w:val="single" w:color="auto"/>
          <w:color w:val="auto"/>
        </w:rPr>
        <w:t>FATCA Mitigation</w:t>
      </w:r>
      <w:r>
        <w:rPr>
          <w:rFonts w:ascii="Arial" w:cs="Arial" w:eastAsia="Arial" w:hAnsi="Arial"/>
          <w:sz w:val="22"/>
          <w:szCs w:val="22"/>
          <w:color w:val="auto"/>
        </w:rPr>
        <w:t>. Notwithstanding any other provision of this Agreement, if a FATCA Deduction is or will be required to be made by any party under Section 7.6 in respect of a payment to any FATCA Non-Exempt Lender, the FATCA Non-Exempt Lender may either:</w:t>
      </w:r>
    </w:p>
    <w:p>
      <w:pPr>
        <w:spacing w:after="0" w:line="186" w:lineRule="exact"/>
        <w:rPr>
          <w:sz w:val="20"/>
          <w:szCs w:val="20"/>
          <w:color w:val="auto"/>
        </w:rPr>
      </w:pPr>
    </w:p>
    <w:p>
      <w:pPr>
        <w:ind w:left="2340" w:hanging="780"/>
        <w:spacing w:after="0"/>
        <w:tabs>
          <w:tab w:leader="none" w:pos="234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transfer its entire interest in the Facility to a U.S. branch or Affiliate, or</w:t>
      </w:r>
    </w:p>
    <w:p>
      <w:pPr>
        <w:spacing w:after="0" w:line="200" w:lineRule="exact"/>
        <w:rPr>
          <w:rFonts w:ascii="Arial" w:cs="Arial" w:eastAsia="Arial" w:hAnsi="Arial"/>
          <w:sz w:val="22"/>
          <w:szCs w:val="22"/>
          <w:color w:val="auto"/>
        </w:rPr>
      </w:pPr>
    </w:p>
    <w:p>
      <w:pPr>
        <w:spacing w:after="0" w:line="253" w:lineRule="exact"/>
        <w:rPr>
          <w:rFonts w:ascii="Arial" w:cs="Arial" w:eastAsia="Arial" w:hAnsi="Arial"/>
          <w:sz w:val="22"/>
          <w:szCs w:val="22"/>
          <w:color w:val="auto"/>
        </w:rPr>
      </w:pPr>
    </w:p>
    <w:p>
      <w:pPr>
        <w:ind w:left="5520"/>
        <w:spacing w:after="0"/>
        <w:rPr>
          <w:rFonts w:ascii="Arial" w:cs="Arial" w:eastAsia="Arial" w:hAnsi="Arial"/>
          <w:sz w:val="22"/>
          <w:szCs w:val="22"/>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77" w:name="page178"/>
    <w:bookmarkEnd w:id="177"/>
    <w:p>
      <w:pPr>
        <w:ind w:left="2340" w:right="60" w:hanging="780"/>
        <w:spacing w:after="0" w:line="238" w:lineRule="auto"/>
        <w:tabs>
          <w:tab w:leader="none" w:pos="234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nominate one or more transferee lenders who upon becoming a Lender would be a FATCA Exempt Party, by notice in writing to the Administrative Agent and the Security Borrowers specifying the terms of the proposed transfer, and cause such transferee lender(s) to purchase all of the FATCA Non-Exempt Lender’s interest in the Facility.</w:t>
      </w:r>
    </w:p>
    <w:p>
      <w:pPr>
        <w:spacing w:after="0" w:line="185" w:lineRule="exact"/>
        <w:rPr>
          <w:sz w:val="20"/>
          <w:szCs w:val="20"/>
          <w:color w:val="auto"/>
        </w:rPr>
      </w:pPr>
    </w:p>
    <w:p>
      <w:pPr>
        <w:ind w:left="780"/>
        <w:spacing w:after="0"/>
        <w:tabs>
          <w:tab w:leader="none" w:pos="168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9"/>
          <w:szCs w:val="19"/>
          <w:u w:val="single" w:color="auto"/>
          <w:color w:val="auto"/>
        </w:rPr>
        <w:t>Computations; Banking Days</w:t>
      </w:r>
      <w:r>
        <w:rPr>
          <w:rFonts w:ascii="Arial" w:cs="Arial" w:eastAsia="Arial" w:hAnsi="Arial"/>
          <w:sz w:val="19"/>
          <w:szCs w:val="19"/>
          <w:color w:val="auto"/>
        </w:rPr>
        <w:t>.</w:t>
      </w:r>
    </w:p>
    <w:p>
      <w:pPr>
        <w:spacing w:after="0" w:line="206" w:lineRule="exact"/>
        <w:rPr>
          <w:sz w:val="20"/>
          <w:szCs w:val="20"/>
          <w:color w:val="auto"/>
        </w:rPr>
      </w:pPr>
    </w:p>
    <w:p>
      <w:pPr>
        <w:ind w:right="200" w:firstLine="1569"/>
        <w:spacing w:after="0" w:line="287" w:lineRule="auto"/>
        <w:tabs>
          <w:tab w:leader="none" w:pos="2446" w:val="left"/>
        </w:tabs>
        <w:numPr>
          <w:ilvl w:val="1"/>
          <w:numId w:val="141"/>
        </w:numPr>
        <w:rPr>
          <w:rFonts w:ascii="Arial" w:cs="Arial" w:eastAsia="Arial" w:hAnsi="Arial"/>
          <w:sz w:val="19"/>
          <w:szCs w:val="19"/>
          <w:color w:val="auto"/>
        </w:rPr>
      </w:pPr>
      <w:r>
        <w:rPr>
          <w:rFonts w:ascii="Arial" w:cs="Arial" w:eastAsia="Arial" w:hAnsi="Arial"/>
          <w:sz w:val="19"/>
          <w:szCs w:val="19"/>
          <w:color w:val="auto"/>
        </w:rPr>
        <w:t>All computations of interest and fees shall be made by the Administrative Agent or the Lenders, as the case may be, on the basis of a 360-day year, in each case for the actual number of days (including the first day but excluding the last day) occurring in the period for which interest or fees are payable. Each determination by the Administrative Agent or the Lenders of an interest rate or fee hereunder shall be conclusive and binding for all purposes, absent manifest error.</w:t>
      </w:r>
    </w:p>
    <w:p>
      <w:pPr>
        <w:spacing w:after="0" w:line="142" w:lineRule="exact"/>
        <w:rPr>
          <w:rFonts w:ascii="Arial" w:cs="Arial" w:eastAsia="Arial" w:hAnsi="Arial"/>
          <w:sz w:val="19"/>
          <w:szCs w:val="19"/>
          <w:color w:val="auto"/>
        </w:rPr>
      </w:pPr>
    </w:p>
    <w:p>
      <w:pPr>
        <w:ind w:right="160" w:firstLine="1569"/>
        <w:spacing w:after="0" w:line="297" w:lineRule="auto"/>
        <w:tabs>
          <w:tab w:leader="none" w:pos="2458" w:val="left"/>
        </w:tabs>
        <w:numPr>
          <w:ilvl w:val="1"/>
          <w:numId w:val="141"/>
        </w:numPr>
        <w:rPr>
          <w:rFonts w:ascii="Arial" w:cs="Arial" w:eastAsia="Arial" w:hAnsi="Arial"/>
          <w:sz w:val="19"/>
          <w:szCs w:val="19"/>
          <w:color w:val="auto"/>
        </w:rPr>
      </w:pPr>
      <w:r>
        <w:rPr>
          <w:rFonts w:ascii="Arial" w:cs="Arial" w:eastAsia="Arial" w:hAnsi="Arial"/>
          <w:sz w:val="19"/>
          <w:szCs w:val="19"/>
          <w:color w:val="auto"/>
        </w:rPr>
        <w:t>Whenever any payment hereunder or under the Notes shall be stated to be due on a day other than a Banking Day, such payment shall be due and payable on the next succeeding Banking Day unless the next succeeding Banking Day falls in the following calendar month, in which case it shall be payable on the immediately preceding Banking Day.</w:t>
      </w:r>
    </w:p>
    <w:p>
      <w:pPr>
        <w:spacing w:after="0" w:line="133" w:lineRule="exact"/>
        <w:rPr>
          <w:rFonts w:ascii="Arial" w:cs="Arial" w:eastAsia="Arial" w:hAnsi="Arial"/>
          <w:sz w:val="19"/>
          <w:szCs w:val="19"/>
          <w:color w:val="auto"/>
        </w:rPr>
      </w:pPr>
    </w:p>
    <w:p>
      <w:pPr>
        <w:ind w:left="820" w:hanging="812"/>
        <w:spacing w:after="0"/>
        <w:tabs>
          <w:tab w:leader="none" w:pos="82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EVENTS OF DEFAULT</w:t>
      </w:r>
    </w:p>
    <w:p>
      <w:pPr>
        <w:spacing w:after="0" w:line="206" w:lineRule="exact"/>
        <w:rPr>
          <w:sz w:val="20"/>
          <w:szCs w:val="20"/>
          <w:color w:val="auto"/>
        </w:rPr>
      </w:pPr>
    </w:p>
    <w:p>
      <w:pPr>
        <w:ind w:left="780"/>
        <w:spacing w:after="0"/>
        <w:tabs>
          <w:tab w:leader="none" w:pos="16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In the event that any of the following events shall occur and be continuing:</w:t>
      </w:r>
    </w:p>
    <w:p>
      <w:pPr>
        <w:spacing w:after="0" w:line="206" w:lineRule="exact"/>
        <w:rPr>
          <w:sz w:val="20"/>
          <w:szCs w:val="20"/>
          <w:color w:val="auto"/>
        </w:rPr>
      </w:pPr>
    </w:p>
    <w:p>
      <w:pPr>
        <w:ind w:left="2460" w:hanging="891"/>
        <w:spacing w:after="0"/>
        <w:tabs>
          <w:tab w:leader="none" w:pos="2460"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Principal Payments</w:t>
      </w:r>
      <w:r>
        <w:rPr>
          <w:rFonts w:ascii="Arial" w:cs="Arial" w:eastAsia="Arial" w:hAnsi="Arial"/>
          <w:sz w:val="22"/>
          <w:szCs w:val="22"/>
          <w:color w:val="auto"/>
        </w:rPr>
        <w:t>. Any principal of the Facility is not paid on the due date therefor;</w:t>
      </w:r>
    </w:p>
    <w:p>
      <w:pPr>
        <w:spacing w:after="0" w:line="8" w:lineRule="exact"/>
        <w:rPr>
          <w:rFonts w:ascii="Arial" w:cs="Arial" w:eastAsia="Arial" w:hAnsi="Arial"/>
          <w:sz w:val="22"/>
          <w:szCs w:val="22"/>
          <w:color w:val="auto"/>
        </w:rPr>
      </w:pPr>
    </w:p>
    <w:p>
      <w:pPr>
        <w:ind w:left="1560"/>
        <w:spacing w:after="0"/>
        <w:rPr>
          <w:rFonts w:ascii="Arial" w:cs="Arial" w:eastAsia="Arial" w:hAnsi="Arial"/>
          <w:sz w:val="22"/>
          <w:szCs w:val="22"/>
          <w:color w:val="auto"/>
        </w:rPr>
      </w:pPr>
      <w:r>
        <w:rPr>
          <w:rFonts w:ascii="Arial" w:cs="Arial" w:eastAsia="Arial" w:hAnsi="Arial"/>
          <w:sz w:val="22"/>
          <w:szCs w:val="22"/>
          <w:color w:val="auto"/>
        </w:rPr>
        <w:t>or</w:t>
      </w:r>
    </w:p>
    <w:p>
      <w:pPr>
        <w:spacing w:after="0" w:line="188" w:lineRule="exact"/>
        <w:rPr>
          <w:rFonts w:ascii="Arial" w:cs="Arial" w:eastAsia="Arial" w:hAnsi="Arial"/>
          <w:sz w:val="22"/>
          <w:szCs w:val="22"/>
          <w:color w:val="auto"/>
        </w:rPr>
      </w:pPr>
    </w:p>
    <w:p>
      <w:pPr>
        <w:ind w:left="2460" w:hanging="891"/>
        <w:spacing w:after="0"/>
        <w:tabs>
          <w:tab w:leader="none" w:pos="2460"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Interest and other Payments</w:t>
      </w:r>
      <w:r>
        <w:rPr>
          <w:rFonts w:ascii="Arial" w:cs="Arial" w:eastAsia="Arial" w:hAnsi="Arial"/>
          <w:sz w:val="22"/>
          <w:szCs w:val="22"/>
          <w:color w:val="auto"/>
        </w:rPr>
        <w:t>.</w:t>
      </w:r>
      <w:r>
        <w:rPr>
          <w:rFonts w:ascii="Arial" w:cs="Arial" w:eastAsia="Arial" w:hAnsi="Arial"/>
          <w:sz w:val="21"/>
          <w:szCs w:val="21"/>
          <w:color w:val="auto"/>
        </w:rPr>
        <w:t>Any interest on the Facility or any other amount</w:t>
      </w:r>
    </w:p>
    <w:p>
      <w:pPr>
        <w:spacing w:after="0" w:line="8" w:lineRule="exact"/>
        <w:rPr>
          <w:rFonts w:ascii="Arial" w:cs="Arial" w:eastAsia="Arial" w:hAnsi="Arial"/>
          <w:sz w:val="22"/>
          <w:szCs w:val="22"/>
          <w:color w:val="auto"/>
        </w:rPr>
      </w:pPr>
    </w:p>
    <w:p>
      <w:pPr>
        <w:ind w:left="1560"/>
        <w:spacing w:after="0"/>
        <w:rPr>
          <w:rFonts w:ascii="Arial" w:cs="Arial" w:eastAsia="Arial" w:hAnsi="Arial"/>
          <w:sz w:val="22"/>
          <w:szCs w:val="22"/>
          <w:color w:val="auto"/>
        </w:rPr>
      </w:pPr>
      <w:r>
        <w:rPr>
          <w:rFonts w:ascii="Arial" w:cs="Arial" w:eastAsia="Arial" w:hAnsi="Arial"/>
          <w:sz w:val="19"/>
          <w:szCs w:val="19"/>
          <w:color w:val="auto"/>
        </w:rPr>
        <w:t>becoming payable under this Agreement and under any Transaction Document or under any of them, is not paid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within three (3) Banking Days from the date when due; or</w:t>
      </w:r>
    </w:p>
    <w:p>
      <w:pPr>
        <w:spacing w:after="0" w:line="188" w:lineRule="exact"/>
        <w:rPr>
          <w:sz w:val="20"/>
          <w:szCs w:val="20"/>
          <w:color w:val="auto"/>
        </w:rPr>
      </w:pPr>
    </w:p>
    <w:p>
      <w:pPr>
        <w:ind w:right="220" w:firstLine="1569"/>
        <w:spacing w:after="0" w:line="297" w:lineRule="auto"/>
        <w:tabs>
          <w:tab w:leader="none" w:pos="2446"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Representations, etc</w:t>
      </w:r>
      <w:r>
        <w:rPr>
          <w:rFonts w:ascii="Arial" w:cs="Arial" w:eastAsia="Arial" w:hAnsi="Arial"/>
          <w:sz w:val="19"/>
          <w:szCs w:val="19"/>
          <w:color w:val="auto"/>
        </w:rPr>
        <w:t>. Any representation, warranty or other statement made by any of the Security Parties in this Agreement or in any other instrument, document or other agreement delivered in connection herewith or therewith proves to have been untrue or misleading in any material respect as at the date as of which it was made or confirmed; or</w:t>
      </w:r>
    </w:p>
    <w:p>
      <w:pPr>
        <w:spacing w:after="0" w:line="133" w:lineRule="exact"/>
        <w:rPr>
          <w:rFonts w:ascii="Arial" w:cs="Arial" w:eastAsia="Arial" w:hAnsi="Arial"/>
          <w:sz w:val="19"/>
          <w:szCs w:val="19"/>
          <w:color w:val="auto"/>
        </w:rPr>
      </w:pPr>
    </w:p>
    <w:p>
      <w:pPr>
        <w:ind w:right="120" w:firstLine="1569"/>
        <w:spacing w:after="0" w:line="257" w:lineRule="auto"/>
        <w:tabs>
          <w:tab w:leader="none" w:pos="2458" w:val="left"/>
        </w:tabs>
        <w:numPr>
          <w:ilvl w:val="0"/>
          <w:numId w:val="144"/>
        </w:numPr>
        <w:rPr>
          <w:rFonts w:ascii="Arial" w:cs="Arial" w:eastAsia="Arial" w:hAnsi="Arial"/>
          <w:sz w:val="21"/>
          <w:szCs w:val="21"/>
          <w:color w:val="auto"/>
        </w:rPr>
      </w:pPr>
      <w:r>
        <w:rPr>
          <w:rFonts w:ascii="Arial" w:cs="Arial" w:eastAsia="Arial" w:hAnsi="Arial"/>
          <w:sz w:val="21"/>
          <w:szCs w:val="21"/>
          <w:u w:val="single" w:color="auto"/>
          <w:color w:val="auto"/>
        </w:rPr>
        <w:t>Impossibility, Illegality</w:t>
      </w:r>
      <w:r>
        <w:rPr>
          <w:rFonts w:ascii="Arial" w:cs="Arial" w:eastAsia="Arial" w:hAnsi="Arial"/>
          <w:sz w:val="21"/>
          <w:szCs w:val="21"/>
          <w:color w:val="auto"/>
        </w:rPr>
        <w:t>. It becomes impossible or unlawful for any of the Security Parties to fulfill any of the covenants and obligations contained herein or in any Transaction Document, or for any of the Creditors to exercise any of the rights vested in any of them hereunder or under the other Transaction Documents; or</w:t>
      </w:r>
    </w:p>
    <w:p>
      <w:pPr>
        <w:spacing w:after="0" w:line="169" w:lineRule="exact"/>
        <w:rPr>
          <w:rFonts w:ascii="Arial" w:cs="Arial" w:eastAsia="Arial" w:hAnsi="Arial"/>
          <w:sz w:val="21"/>
          <w:szCs w:val="21"/>
          <w:color w:val="auto"/>
        </w:rPr>
      </w:pPr>
    </w:p>
    <w:p>
      <w:pPr>
        <w:ind w:left="2460" w:hanging="891"/>
        <w:spacing w:after="0"/>
        <w:tabs>
          <w:tab w:leader="none" w:pos="2460"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Mortgages</w:t>
      </w:r>
      <w:r>
        <w:rPr>
          <w:rFonts w:ascii="Arial" w:cs="Arial" w:eastAsia="Arial" w:hAnsi="Arial"/>
          <w:sz w:val="19"/>
          <w:szCs w:val="19"/>
          <w:color w:val="auto"/>
        </w:rPr>
        <w:t>. There is any default (after giving effect to applicable notice and cure periods) under any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Mortgages; or</w:t>
      </w:r>
    </w:p>
    <w:p>
      <w:pPr>
        <w:spacing w:after="0" w:line="188" w:lineRule="exact"/>
        <w:rPr>
          <w:rFonts w:ascii="Arial" w:cs="Arial" w:eastAsia="Arial" w:hAnsi="Arial"/>
          <w:sz w:val="19"/>
          <w:szCs w:val="19"/>
          <w:color w:val="auto"/>
        </w:rPr>
      </w:pPr>
    </w:p>
    <w:p>
      <w:pPr>
        <w:ind w:right="60" w:firstLine="1569"/>
        <w:spacing w:after="0" w:line="287" w:lineRule="auto"/>
        <w:tabs>
          <w:tab w:leader="none" w:pos="2422"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Certain Covenants</w:t>
      </w:r>
      <w:r>
        <w:rPr>
          <w:rFonts w:ascii="Arial" w:cs="Arial" w:eastAsia="Arial" w:hAnsi="Arial"/>
          <w:sz w:val="19"/>
          <w:szCs w:val="19"/>
          <w:color w:val="auto"/>
        </w:rPr>
        <w:t>. Any Credit Party defaults in the performance or observance of any covenant contained in Sections 5.4, 9.1(b) through 9.1(g) inclusive, 9.1(m), 9.1(n), 9.1(o), 9.1(q)(iii), 9.1(t), 9.1(w), 9.1(x), 9.2(a) through 9.2(d) inclusive, 9.2(e)(i), 9.2(f), 9.2(g), 9.2(i), 9.2(j), 9.2(l), 9.2(n), 9.2(o), 9.2(p), 9.2(q), 9.2(s), 9.2(u) and Section 4 of the Guaranty (solely with respect to the subsections of the September 2018 Guaranty (as defined in the Guaranty) which trigger an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78" w:name="page179"/>
    <w:bookmarkEnd w:id="178"/>
    <w:p>
      <w:pPr>
        <w:ind w:left="1560"/>
        <w:spacing w:after="0"/>
        <w:rPr>
          <w:sz w:val="20"/>
          <w:szCs w:val="20"/>
          <w:color w:val="auto"/>
        </w:rPr>
      </w:pPr>
      <w:r>
        <w:rPr>
          <w:rFonts w:ascii="Arial" w:cs="Arial" w:eastAsia="Arial" w:hAnsi="Arial"/>
          <w:sz w:val="22"/>
          <w:szCs w:val="22"/>
          <w:color w:val="auto"/>
        </w:rPr>
        <w:t>“Event of Default” under Section 8.1(f) of the September 2018 Credit Agreement (as defined in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Guaranty)); or</w:t>
      </w:r>
    </w:p>
    <w:p>
      <w:pPr>
        <w:spacing w:after="0" w:line="188" w:lineRule="exact"/>
        <w:rPr>
          <w:sz w:val="20"/>
          <w:szCs w:val="20"/>
          <w:color w:val="auto"/>
        </w:rPr>
      </w:pPr>
    </w:p>
    <w:p>
      <w:pPr>
        <w:ind w:right="260" w:firstLine="1569"/>
        <w:spacing w:after="0" w:line="279" w:lineRule="auto"/>
        <w:tabs>
          <w:tab w:leader="none" w:pos="2458"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Covenants</w:t>
      </w:r>
      <w:r>
        <w:rPr>
          <w:rFonts w:ascii="Arial" w:cs="Arial" w:eastAsia="Arial" w:hAnsi="Arial"/>
          <w:sz w:val="19"/>
          <w:szCs w:val="19"/>
          <w:color w:val="auto"/>
        </w:rPr>
        <w:t>. One or more of the Security Parties default in the performance of any term, covenant or agreement contained in this Agreement or in the other Transaction Documents, or in any other instrument, document or other agreement delivered in connection herewith or therewith, in each case other than an Event of Default referred to elsewhere in this Section 8.1, and such default continues unremedied for a period of fourteen (14) days after the earlier of (i) actual knowledge thereof by an officer, director or manager of the Security Parties or (ii) the Security Parties having been notified by the Administrative Agent, in each case other than an Event of Default referred to elsewhere in this Section 8.1; or</w:t>
      </w:r>
    </w:p>
    <w:p>
      <w:pPr>
        <w:spacing w:after="0" w:line="150" w:lineRule="exact"/>
        <w:rPr>
          <w:rFonts w:ascii="Arial" w:cs="Arial" w:eastAsia="Arial" w:hAnsi="Arial"/>
          <w:sz w:val="19"/>
          <w:szCs w:val="19"/>
          <w:color w:val="auto"/>
        </w:rPr>
      </w:pPr>
    </w:p>
    <w:p>
      <w:pPr>
        <w:ind w:right="40" w:firstLine="1569"/>
        <w:spacing w:after="0" w:line="272" w:lineRule="auto"/>
        <w:tabs>
          <w:tab w:leader="none" w:pos="2458"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Indebtedness and Other Obligations</w:t>
      </w:r>
      <w:r>
        <w:rPr>
          <w:rFonts w:ascii="Arial" w:cs="Arial" w:eastAsia="Arial" w:hAnsi="Arial"/>
          <w:sz w:val="19"/>
          <w:szCs w:val="19"/>
          <w:color w:val="auto"/>
        </w:rPr>
        <w:t>. Any Security Party or the Guarantor shall (i) default in the payment when due (subject to any applicable grace period) of any Indebtedness or of any other indebtedness, (A) in the case of a Security Party, in an outstanding principal amount equal to or exceeding One Million Dollars ($1,000,000) or, (B) in the case of the Guarantor, Twenty Five Million Dollars ($25,000,000), or such Indebtedness or other indebtedness is, or by reason of such default is subject to being, accelerated or any party becomes entitled to enforce the security for any such Indebtedness or other indebtedness and such party shall take steps to enforce the same, or (ii) default in the observance or performance of any other agreement evidencing, securing or relating to any Indebtedness or indebtedness, in each case relating to a Security Party where after taking in account such default the aggregate amount of any such Indebtedness and/or indebtedness in default equals $1,000,000 (or, in the case of the Guarantor, $25,000,000) or more, or contained in any instrument or agreement evidencing, securing or relating thereto, or any other event shall occur or condition exist, the effect of which default or other event or condition is to cause, or to permit the holder or holders of such Indebtedness or beneficiary or beneficiaries thereof (or a trustee or agent on behalf of such holder or holders or beneficiary or beneficiaries) to cause, with the giving of notice if required, such Indebtedness or indebtedness to become due prior to its stated maturity; or</w:t>
      </w:r>
    </w:p>
    <w:p>
      <w:pPr>
        <w:spacing w:after="0" w:line="155" w:lineRule="exact"/>
        <w:rPr>
          <w:rFonts w:ascii="Arial" w:cs="Arial" w:eastAsia="Arial" w:hAnsi="Arial"/>
          <w:sz w:val="19"/>
          <w:szCs w:val="19"/>
          <w:color w:val="auto"/>
        </w:rPr>
      </w:pPr>
    </w:p>
    <w:p>
      <w:pPr>
        <w:ind w:firstLine="1569"/>
        <w:spacing w:after="0" w:line="246" w:lineRule="auto"/>
        <w:tabs>
          <w:tab w:leader="none" w:pos="2410" w:val="left"/>
        </w:tabs>
        <w:numPr>
          <w:ilvl w:val="0"/>
          <w:numId w:val="145"/>
        </w:numPr>
        <w:rPr>
          <w:rFonts w:ascii="Arial" w:cs="Arial" w:eastAsia="Arial" w:hAnsi="Arial"/>
          <w:sz w:val="21"/>
          <w:szCs w:val="21"/>
          <w:color w:val="auto"/>
        </w:rPr>
      </w:pPr>
      <w:r>
        <w:rPr>
          <w:rFonts w:ascii="Arial" w:cs="Arial" w:eastAsia="Arial" w:hAnsi="Arial"/>
          <w:sz w:val="21"/>
          <w:szCs w:val="21"/>
          <w:u w:val="single" w:color="auto"/>
          <w:color w:val="auto"/>
        </w:rPr>
        <w:t>Bankruptcy</w:t>
      </w:r>
      <w:r>
        <w:rPr>
          <w:rFonts w:ascii="Arial" w:cs="Arial" w:eastAsia="Arial" w:hAnsi="Arial"/>
          <w:sz w:val="21"/>
          <w:szCs w:val="21"/>
          <w:color w:val="auto"/>
        </w:rPr>
        <w:t>. Any Credit Party commences any proceedings relating to any substantial portion of its property under any reorganization, arrangement or readjustment of debt, dissolution, winding up, adjustment, composition, bankruptcy or liquidation law or statute of any jurisdiction, whether now or hereafter in effect (a “</w:t>
      </w:r>
      <w:r>
        <w:rPr>
          <w:rFonts w:ascii="Arial" w:cs="Arial" w:eastAsia="Arial" w:hAnsi="Arial"/>
          <w:sz w:val="21"/>
          <w:szCs w:val="21"/>
          <w:b w:val="1"/>
          <w:bCs w:val="1"/>
          <w:color w:val="auto"/>
        </w:rPr>
        <w:t>Proceeding</w:t>
      </w:r>
      <w:r>
        <w:rPr>
          <w:rFonts w:ascii="Arial" w:cs="Arial" w:eastAsia="Arial" w:hAnsi="Arial"/>
          <w:sz w:val="21"/>
          <w:szCs w:val="21"/>
          <w:color w:val="auto"/>
        </w:rPr>
        <w:t>”), or there is commenced against any thereof any Proceeding and such Proceeding remains undismissed or unstayed for a period of sixty (60) days; or any receiver, trustee, liquidator or sequestrator of, or for, any thereof or any substantial portion of the property of any thereof is appointed and is not discharged within a period of sixty (60) days; or any thereof by any act indicates consent to or approval of or acquiescence in any Proceeding or to the appointment of any receiver, trustee, liquidator or sequestrator of, or for, itself or any substantial portion of its property; or</w:t>
      </w:r>
    </w:p>
    <w:p>
      <w:pPr>
        <w:spacing w:after="0" w:line="179" w:lineRule="exact"/>
        <w:rPr>
          <w:rFonts w:ascii="Arial" w:cs="Arial" w:eastAsia="Arial" w:hAnsi="Arial"/>
          <w:sz w:val="21"/>
          <w:szCs w:val="21"/>
          <w:color w:val="auto"/>
        </w:rPr>
      </w:pPr>
    </w:p>
    <w:p>
      <w:pPr>
        <w:ind w:right="160" w:firstLine="1569"/>
        <w:spacing w:after="0" w:line="250" w:lineRule="auto"/>
        <w:tabs>
          <w:tab w:leader="none" w:pos="2410" w:val="left"/>
        </w:tabs>
        <w:numPr>
          <w:ilvl w:val="0"/>
          <w:numId w:val="145"/>
        </w:numPr>
        <w:rPr>
          <w:rFonts w:ascii="Arial" w:cs="Arial" w:eastAsia="Arial" w:hAnsi="Arial"/>
          <w:sz w:val="22"/>
          <w:szCs w:val="22"/>
          <w:color w:val="auto"/>
        </w:rPr>
      </w:pPr>
      <w:r>
        <w:rPr>
          <w:rFonts w:ascii="Arial" w:cs="Arial" w:eastAsia="Arial" w:hAnsi="Arial"/>
          <w:sz w:val="22"/>
          <w:szCs w:val="22"/>
          <w:u w:val="single" w:color="auto"/>
          <w:color w:val="auto"/>
        </w:rPr>
        <w:t>Inability to Pay Debts</w:t>
      </w:r>
      <w:r>
        <w:rPr>
          <w:rFonts w:ascii="Arial" w:cs="Arial" w:eastAsia="Arial" w:hAnsi="Arial"/>
          <w:sz w:val="22"/>
          <w:szCs w:val="22"/>
          <w:color w:val="auto"/>
        </w:rPr>
        <w:t>. Any Credit Party is unable to pay or admits its inability to pay its debts as they fall due or a moratorium shall be declared in respect of any Indebtedness of any thereof; or</w:t>
      </w:r>
    </w:p>
    <w:p>
      <w:pPr>
        <w:spacing w:after="0" w:line="174" w:lineRule="exact"/>
        <w:rPr>
          <w:rFonts w:ascii="Arial" w:cs="Arial" w:eastAsia="Arial" w:hAnsi="Arial"/>
          <w:sz w:val="22"/>
          <w:szCs w:val="22"/>
          <w:color w:val="auto"/>
        </w:rPr>
      </w:pPr>
    </w:p>
    <w:p>
      <w:pPr>
        <w:ind w:right="100" w:firstLine="1569"/>
        <w:spacing w:after="0" w:line="287" w:lineRule="auto"/>
        <w:tabs>
          <w:tab w:leader="none" w:pos="2458"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An ERISA Funding Event, ERISA Termination Event, Foreign Termination Event or Foreign Underfunding shall exist or occur that, in the reasonable opinion of the Majority Lenders, when taken together with all other ERISA Funding Events, ERISA Termination Events, Foreign Termination Events and Foreign Underfundings that exist or have occurred, or could reasonably be expected to exist or occur, would have a Material Adverse Effect; or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79" w:name="page180"/>
    <w:bookmarkEnd w:id="179"/>
    <w:p>
      <w:pPr>
        <w:ind w:left="-40" w:right="160" w:firstLine="1569"/>
        <w:spacing w:after="0" w:line="277" w:lineRule="auto"/>
        <w:tabs>
          <w:tab w:leader="none" w:pos="2370"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Judgments</w:t>
      </w:r>
      <w:r>
        <w:rPr>
          <w:rFonts w:ascii="Arial" w:cs="Arial" w:eastAsia="Arial" w:hAnsi="Arial"/>
          <w:sz w:val="19"/>
          <w:szCs w:val="19"/>
          <w:color w:val="auto"/>
        </w:rPr>
        <w:t>. Any judgment, order or decree is made the effect whereof would be to render invalid this Agreement or any other Transaction Document or any material provision thereof or any Credit Party asserts that any such agreement or provision thereof is invalid; or judgments or orders for the payment of money (not paid or fully covered by insurance, subject to applicable deductibles) in excess of $1,000,000 in the aggregate for the Holding Company or its Subsidiaries (or its equivalent in any other currency), or in the case of the Guarantor, $25,000,000, shall be rendered against the Holding Company and/or any of its Subsidiaries or the Guarantor and such judgments, orders or decrees shall not have been vacated, discharged, stayed or bonded pending appeal within sixty (60) days from the entry thereof; or</w:t>
      </w:r>
    </w:p>
    <w:p>
      <w:pPr>
        <w:spacing w:after="0" w:line="151" w:lineRule="exact"/>
        <w:rPr>
          <w:rFonts w:ascii="Arial" w:cs="Arial" w:eastAsia="Arial" w:hAnsi="Arial"/>
          <w:sz w:val="19"/>
          <w:szCs w:val="19"/>
          <w:color w:val="auto"/>
        </w:rPr>
      </w:pPr>
    </w:p>
    <w:p>
      <w:pPr>
        <w:ind w:left="-40" w:right="20" w:firstLine="1569"/>
        <w:spacing w:after="0" w:line="282" w:lineRule="auto"/>
        <w:tabs>
          <w:tab w:leader="none" w:pos="2478"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Invalidity of Agreement, Notes and Security Documents</w:t>
      </w:r>
      <w:r>
        <w:rPr>
          <w:rFonts w:ascii="Arial" w:cs="Arial" w:eastAsia="Arial" w:hAnsi="Arial"/>
          <w:sz w:val="19"/>
          <w:szCs w:val="19"/>
          <w:color w:val="auto"/>
        </w:rPr>
        <w:t>. (i) This Agreement, the Notes, any Security Document or any material provision thereof shall cease, for any reason, to be in full force and effect, or any action or suit at law or in equity or other legal proceeding to cancel, revoke or rescind this Agreement, the Notes, any Security Document or any material provision thereof shall be commenced by or on behalf of the Borrowers or any Governmental Authority, or (ii) the Lien created by any of the Security Documents shall cease to be enforceable and of the same effect and priority purported to be created thereby; or</w:t>
      </w:r>
    </w:p>
    <w:p>
      <w:pPr>
        <w:spacing w:after="0" w:line="147" w:lineRule="exact"/>
        <w:rPr>
          <w:rFonts w:ascii="Arial" w:cs="Arial" w:eastAsia="Arial" w:hAnsi="Arial"/>
          <w:sz w:val="19"/>
          <w:szCs w:val="19"/>
          <w:color w:val="auto"/>
        </w:rPr>
      </w:pPr>
    </w:p>
    <w:p>
      <w:pPr>
        <w:ind w:left="-40" w:firstLine="1569"/>
        <w:spacing w:after="0"/>
        <w:tabs>
          <w:tab w:leader="none" w:pos="2418"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Business Suspended</w:t>
      </w:r>
      <w:r>
        <w:rPr>
          <w:rFonts w:ascii="Arial" w:cs="Arial" w:eastAsia="Arial" w:hAnsi="Arial"/>
          <w:sz w:val="22"/>
          <w:szCs w:val="22"/>
          <w:color w:val="auto"/>
        </w:rPr>
        <w:t>. Any Borrower shall be enjoined, restrained or in any way prevented by the order of any court or any Governmental Authority from conducting any material part of its business and such order shall continue in effect for more than thirty (30) days; or</w:t>
      </w:r>
    </w:p>
    <w:p>
      <w:pPr>
        <w:spacing w:after="0" w:line="186" w:lineRule="exact"/>
        <w:rPr>
          <w:rFonts w:ascii="Arial" w:cs="Arial" w:eastAsia="Arial" w:hAnsi="Arial"/>
          <w:sz w:val="22"/>
          <w:szCs w:val="22"/>
          <w:color w:val="auto"/>
        </w:rPr>
      </w:pPr>
    </w:p>
    <w:p>
      <w:pPr>
        <w:ind w:left="-40" w:right="240" w:firstLine="1569"/>
        <w:spacing w:after="0"/>
        <w:tabs>
          <w:tab w:leader="none" w:pos="2418"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Loss or Suspension of License or Permit</w:t>
      </w:r>
      <w:r>
        <w:rPr>
          <w:rFonts w:ascii="Arial" w:cs="Arial" w:eastAsia="Arial" w:hAnsi="Arial"/>
          <w:sz w:val="22"/>
          <w:szCs w:val="22"/>
          <w:color w:val="auto"/>
        </w:rPr>
        <w:t>. There shall occur the loss, suspension or revocation of, or failure to renew, any license or permit now held or hereafter acquired by any Borrower if such loss, suspension, revocation or failure to renew would have a Material Adverse Effect; or</w:t>
      </w:r>
    </w:p>
    <w:p>
      <w:pPr>
        <w:spacing w:after="0" w:line="186" w:lineRule="exact"/>
        <w:rPr>
          <w:rFonts w:ascii="Arial" w:cs="Arial" w:eastAsia="Arial" w:hAnsi="Arial"/>
          <w:sz w:val="22"/>
          <w:szCs w:val="22"/>
          <w:color w:val="auto"/>
        </w:rPr>
      </w:pPr>
    </w:p>
    <w:p>
      <w:pPr>
        <w:ind w:left="-40" w:right="280" w:firstLine="1569"/>
        <w:spacing w:after="0" w:line="279" w:lineRule="auto"/>
        <w:tabs>
          <w:tab w:leader="none" w:pos="2418"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Classification Society Report</w:t>
      </w:r>
      <w:r>
        <w:rPr>
          <w:rFonts w:ascii="Arial" w:cs="Arial" w:eastAsia="Arial" w:hAnsi="Arial"/>
          <w:sz w:val="19"/>
          <w:szCs w:val="19"/>
          <w:color w:val="auto"/>
        </w:rPr>
        <w:t>. The Administrative Agent shall have received a report by any Classification Society, or by any marine engineer or surveyor following an inspection that a Vessel is not in compliance with the requirements for the highest classification for vessels of like age and type or is not in compliance with the requirements of applicable law for use as intended under this Agreement and action shall not have been commenced within fifteen (15) days after written notice thereof shall have been given by the Administrative Agent to the Borrowers and such corrective action shall not be diligently prosecuted or completed in a manner and time schedule consistent with industry standard; or</w:t>
      </w:r>
    </w:p>
    <w:p>
      <w:pPr>
        <w:spacing w:after="0" w:line="150" w:lineRule="exact"/>
        <w:rPr>
          <w:rFonts w:ascii="Arial" w:cs="Arial" w:eastAsia="Arial" w:hAnsi="Arial"/>
          <w:sz w:val="19"/>
          <w:szCs w:val="19"/>
          <w:color w:val="auto"/>
        </w:rPr>
      </w:pPr>
    </w:p>
    <w:p>
      <w:pPr>
        <w:jc w:val="both"/>
        <w:ind w:left="-40" w:right="100" w:firstLine="1569"/>
        <w:spacing w:after="0"/>
        <w:tabs>
          <w:tab w:leader="none" w:pos="2418"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Termination of Operations; Sale of Assets</w:t>
      </w:r>
      <w:r>
        <w:rPr>
          <w:rFonts w:ascii="Arial" w:cs="Arial" w:eastAsia="Arial" w:hAnsi="Arial"/>
          <w:sz w:val="22"/>
          <w:szCs w:val="22"/>
          <w:color w:val="auto"/>
        </w:rPr>
        <w:t>. Except as expressly permitted under this Agreement, any Security Party ceases its operations or sells or otherwise disposes of all or substantially all of its assets or all or substantially all of the assets of any Security Party are seized or otherwise appropriated; or</w:t>
      </w:r>
    </w:p>
    <w:p>
      <w:pPr>
        <w:spacing w:after="0" w:line="186" w:lineRule="exact"/>
        <w:rPr>
          <w:rFonts w:ascii="Arial" w:cs="Arial" w:eastAsia="Arial" w:hAnsi="Arial"/>
          <w:sz w:val="22"/>
          <w:szCs w:val="22"/>
          <w:color w:val="auto"/>
        </w:rPr>
      </w:pPr>
    </w:p>
    <w:p>
      <w:pPr>
        <w:ind w:left="-40" w:right="20" w:firstLine="1569"/>
        <w:spacing w:after="0"/>
        <w:tabs>
          <w:tab w:leader="none" w:pos="2382"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Material Adverse Change</w:t>
      </w:r>
      <w:r>
        <w:rPr>
          <w:rFonts w:ascii="Arial" w:cs="Arial" w:eastAsia="Arial" w:hAnsi="Arial"/>
          <w:sz w:val="22"/>
          <w:szCs w:val="22"/>
          <w:color w:val="auto"/>
        </w:rPr>
        <w:t>. Any change in the operations or the financial position of any Security Party or any other circumstance, event or condition which, in the reasonable opinion of the Majority Lenders, shall have a Material Adverse Effect; or</w:t>
      </w:r>
    </w:p>
    <w:p>
      <w:pPr>
        <w:spacing w:after="0" w:line="186" w:lineRule="exact"/>
        <w:rPr>
          <w:rFonts w:ascii="Arial" w:cs="Arial" w:eastAsia="Arial" w:hAnsi="Arial"/>
          <w:sz w:val="22"/>
          <w:szCs w:val="22"/>
          <w:color w:val="auto"/>
        </w:rPr>
      </w:pPr>
    </w:p>
    <w:p>
      <w:pPr>
        <w:ind w:left="-40" w:right="20" w:firstLine="1569"/>
        <w:spacing w:after="0" w:line="250" w:lineRule="auto"/>
        <w:tabs>
          <w:tab w:leader="none" w:pos="2394"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Arrest of a Vessel</w:t>
      </w:r>
      <w:r>
        <w:rPr>
          <w:rFonts w:ascii="Arial" w:cs="Arial" w:eastAsia="Arial" w:hAnsi="Arial"/>
          <w:sz w:val="22"/>
          <w:szCs w:val="22"/>
          <w:color w:val="auto"/>
        </w:rPr>
        <w:t>. Any Vessel shall at any time be subject to an arrest, distress or (in the opinion of the Lenders) any analogous procedure or detention in any place for fifteen (15) days or more; 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203200</wp:posOffset>
            </wp:positionV>
            <wp:extent cx="71748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60" w:top="577" w:right="359" w:bottom="1440" w:gutter="0" w:footer="0" w:header="0"/>
        </w:sectPr>
      </w:pPr>
    </w:p>
    <w:bookmarkStart w:id="180" w:name="page181"/>
    <w:bookmarkEnd w:id="180"/>
    <w:p>
      <w:pPr>
        <w:ind w:right="400" w:firstLine="1569"/>
        <w:spacing w:after="0" w:line="250" w:lineRule="auto"/>
        <w:tabs>
          <w:tab w:leader="none" w:pos="2410"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Blocked Person</w:t>
      </w:r>
      <w:r>
        <w:rPr>
          <w:rFonts w:ascii="Arial" w:cs="Arial" w:eastAsia="Arial" w:hAnsi="Arial"/>
          <w:sz w:val="22"/>
          <w:szCs w:val="22"/>
          <w:color w:val="auto"/>
        </w:rPr>
        <w:t>. Any Security Party, any Subsidiary or Affiliate of a Security Party or any Related Party thereof becomes a Blocked Person;</w:t>
      </w:r>
    </w:p>
    <w:p>
      <w:pPr>
        <w:spacing w:after="0" w:line="175" w:lineRule="exact"/>
        <w:rPr>
          <w:sz w:val="20"/>
          <w:szCs w:val="20"/>
          <w:color w:val="auto"/>
        </w:rPr>
      </w:pPr>
    </w:p>
    <w:p>
      <w:pPr>
        <w:ind w:right="180" w:firstLine="1561"/>
        <w:spacing w:after="0" w:line="270" w:lineRule="auto"/>
        <w:rPr>
          <w:sz w:val="20"/>
          <w:szCs w:val="20"/>
          <w:color w:val="auto"/>
        </w:rPr>
      </w:pPr>
      <w:r>
        <w:rPr>
          <w:rFonts w:ascii="Arial" w:cs="Arial" w:eastAsia="Arial" w:hAnsi="Arial"/>
          <w:sz w:val="19"/>
          <w:szCs w:val="19"/>
          <w:color w:val="auto"/>
        </w:rPr>
        <w:t>then, the Lenders' obligation to make the Facility available shall cease and the Administrative Agent on behalf of the Lenders may, and shall upon the Majority Lenders' instruction, by notice to the Borrowers, declare the entire Facility, accrued interest and any other sums payable by the Borrowers hereunder, under the Notes and under the other Transaction Documents due and payable whereupon the same shall forthwith be due and payable without presentment, demand, protest or notice of any kind, all of which are hereby expressly waived; provided that upon the happening of an event specified in subclauses</w:t>
      </w:r>
    </w:p>
    <w:p>
      <w:pPr>
        <w:spacing w:after="0" w:line="4" w:lineRule="exact"/>
        <w:rPr>
          <w:sz w:val="20"/>
          <w:szCs w:val="20"/>
          <w:color w:val="auto"/>
        </w:rPr>
      </w:pPr>
    </w:p>
    <w:p>
      <w:pPr>
        <w:ind w:right="20" w:firstLine="8"/>
        <w:spacing w:after="0" w:line="270" w:lineRule="auto"/>
        <w:tabs>
          <w:tab w:leader="none" w:pos="258" w:val="left"/>
        </w:tabs>
        <w:numPr>
          <w:ilvl w:val="0"/>
          <w:numId w:val="148"/>
        </w:numPr>
        <w:rPr>
          <w:rFonts w:ascii="Arial" w:cs="Arial" w:eastAsia="Arial" w:hAnsi="Arial"/>
          <w:sz w:val="19"/>
          <w:szCs w:val="19"/>
          <w:color w:val="auto"/>
        </w:rPr>
      </w:pPr>
      <w:r>
        <w:rPr>
          <w:rFonts w:ascii="Arial" w:cs="Arial" w:eastAsia="Arial" w:hAnsi="Arial"/>
          <w:sz w:val="19"/>
          <w:szCs w:val="19"/>
          <w:color w:val="auto"/>
        </w:rPr>
        <w:t>or (j) of this Section 8.1, the Facility, accrued interest and any other sums payable by the Borrowers hereunder, under the Notes and under the other Transaction Documents shall be immediately due and payable without declaration, presentment, demand, protest or other notice to the Borrowers all of which are expressly waived. In such event, the Creditors, or any thereof, may proceed to protect and enforce their respective rights by action at law, suit in equity or in admiralty or other appropriate proceeding, whether for specific performance of any covenant contained in this Agreement or in the Notes or in any other Transaction Document or in aid of the exercise of any power granted herein or therein, or the Lenders or the Administrative Agent may proceed to enforce the payment of the Notes when due or to enforce any other legal or equitable right of the Lenders, or proceed to take any action authorized or permitted by Applicable Law for the collection of all sums due, or so declared due, including, without limitation, the right to appropriate and hold or apply (directly, by way of set-off or otherwise) to the payment of the obligations of the Borrowers to any of the Creditors hereunder, under the Notes and/or under the other Transaction Documents (whether or not then due) all moneys and other amounts of the Borrowers then or thereafter in possession of any Creditor, the balance of any deposit account (demand or time, matured or unmatured) of the Borrowers then or thereafter with any Creditor and every other claim of the Borrowers then or thereafter against any of the Creditors.</w:t>
      </w:r>
    </w:p>
    <w:p>
      <w:pPr>
        <w:spacing w:after="0" w:line="162" w:lineRule="exact"/>
        <w:rPr>
          <w:sz w:val="20"/>
          <w:szCs w:val="20"/>
          <w:color w:val="auto"/>
        </w:rPr>
      </w:pPr>
    </w:p>
    <w:p>
      <w:pPr>
        <w:ind w:left="780"/>
        <w:spacing w:after="0"/>
        <w:tabs>
          <w:tab w:leader="none" w:pos="16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 Each of the Borrowers agrees to, and shall, indemnify and hold each of the Creditors</w:t>
      </w:r>
    </w:p>
    <w:p>
      <w:pPr>
        <w:spacing w:after="0" w:line="8"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harmless against any loss, as well as against any costs or expenses (including legal fees and expenses), which any of the Creditors sustains or incurs as a consequence of any default in payment of the principal amount of the Facility, interest accrued thereon or any other amount payable hereunder, under the Notes or under the other Transaction Documents including, but not limited to, all actual losses incurred in liquidating or re-employing fixed deposits made by third parties or funds acquired to effect or maintain the Facility or any portion thereof. Any Creditor's certification of such costs and expenses shall, absent any manifest error, be conclusive and binding on the Borrowers.</w:t>
      </w:r>
    </w:p>
    <w:p>
      <w:pPr>
        <w:spacing w:after="0" w:line="183" w:lineRule="exact"/>
        <w:rPr>
          <w:sz w:val="20"/>
          <w:szCs w:val="20"/>
          <w:color w:val="auto"/>
        </w:rPr>
      </w:pPr>
    </w:p>
    <w:p>
      <w:pPr>
        <w:ind w:right="20" w:firstLine="780"/>
        <w:spacing w:after="0" w:line="238"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Application of Moneys</w:t>
      </w:r>
      <w:r>
        <w:rPr>
          <w:rFonts w:ascii="Arial" w:cs="Arial" w:eastAsia="Arial" w:hAnsi="Arial"/>
          <w:sz w:val="22"/>
          <w:szCs w:val="22"/>
          <w:color w:val="auto"/>
        </w:rPr>
        <w:t>. Except as otherwise provided herein or in any Security Document, all moneys received by the Creditors under or pursuant to this Agreement, the Notes or any of the Security Documents after the happening of any Event of Default (unless cured to the satisfaction of the Majority Lenders) shall be applied by the Administrative Agent in the following manner:</w:t>
      </w:r>
    </w:p>
    <w:p>
      <w:pPr>
        <w:spacing w:after="0" w:line="104" w:lineRule="exact"/>
        <w:rPr>
          <w:sz w:val="20"/>
          <w:szCs w:val="20"/>
          <w:color w:val="auto"/>
        </w:rPr>
      </w:pPr>
    </w:p>
    <w:p>
      <w:pPr>
        <w:ind w:right="140" w:firstLine="1569"/>
        <w:spacing w:after="0"/>
        <w:tabs>
          <w:tab w:leader="none" w:pos="2446"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firstly</w:t>
      </w:r>
      <w:r>
        <w:rPr>
          <w:rFonts w:ascii="Arial" w:cs="Arial" w:eastAsia="Arial" w:hAnsi="Arial"/>
          <w:sz w:val="22"/>
          <w:szCs w:val="22"/>
          <w:color w:val="auto"/>
        </w:rPr>
        <w:t>, in or towards the payment or reimbursement of any expenses or liabilities incurred by the Administrative Agent in connection with the ascertainment, protection or enforcement of its rights and remedies hereunder, under the Notes and under the other Transaction Documents;</w:t>
      </w:r>
    </w:p>
    <w:p>
      <w:pPr>
        <w:spacing w:after="0" w:line="105" w:lineRule="exact"/>
        <w:rPr>
          <w:rFonts w:ascii="Arial" w:cs="Arial" w:eastAsia="Arial" w:hAnsi="Arial"/>
          <w:sz w:val="22"/>
          <w:szCs w:val="22"/>
          <w:color w:val="auto"/>
        </w:rPr>
      </w:pPr>
    </w:p>
    <w:p>
      <w:pPr>
        <w:ind w:right="260" w:firstLine="1569"/>
        <w:spacing w:after="0" w:line="250" w:lineRule="auto"/>
        <w:tabs>
          <w:tab w:leader="none" w:pos="2458"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secondly</w:t>
      </w:r>
      <w:r>
        <w:rPr>
          <w:rFonts w:ascii="Arial" w:cs="Arial" w:eastAsia="Arial" w:hAnsi="Arial"/>
          <w:sz w:val="22"/>
          <w:szCs w:val="22"/>
          <w:color w:val="auto"/>
        </w:rPr>
        <w:t>, in or towards the payment or reimbursement of any expenses or liabilities incurred by any of the other Creditors in connection with the ascertainment, protection 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color w:val="auto"/>
        </w:rPr>
        <w:t>enforcement of its rights and remedies hereunder, under the Notes and under the other Transaction Documents;</w:t>
      </w:r>
    </w:p>
    <w:p>
      <w:pPr>
        <w:spacing w:after="0" w:line="125" w:lineRule="exact"/>
        <w:rPr>
          <w:sz w:val="20"/>
          <w:szCs w:val="20"/>
          <w:color w:val="auto"/>
        </w:rPr>
      </w:pPr>
    </w:p>
    <w:p>
      <w:pPr>
        <w:ind w:left="2460" w:hanging="891"/>
        <w:spacing w:after="0"/>
        <w:tabs>
          <w:tab w:leader="none" w:pos="2460" w:val="left"/>
        </w:tabs>
        <w:numPr>
          <w:ilvl w:val="1"/>
          <w:numId w:val="150"/>
        </w:numPr>
        <w:rPr>
          <w:rFonts w:ascii="Arial" w:cs="Arial" w:eastAsia="Arial" w:hAnsi="Arial"/>
          <w:sz w:val="22"/>
          <w:szCs w:val="22"/>
          <w:color w:val="auto"/>
        </w:rPr>
      </w:pPr>
      <w:r>
        <w:rPr>
          <w:rFonts w:ascii="Arial" w:cs="Arial" w:eastAsia="Arial" w:hAnsi="Arial"/>
          <w:sz w:val="22"/>
          <w:szCs w:val="22"/>
          <w:u w:val="single" w:color="auto"/>
          <w:color w:val="auto"/>
        </w:rPr>
        <w:t>thirdly</w:t>
      </w:r>
      <w:r>
        <w:rPr>
          <w:rFonts w:ascii="Arial" w:cs="Arial" w:eastAsia="Arial" w:hAnsi="Arial"/>
          <w:sz w:val="22"/>
          <w:szCs w:val="22"/>
          <w:color w:val="auto"/>
        </w:rPr>
        <w:t>, in or towards payment of any interest owing in respect of the Facility;</w:t>
      </w:r>
    </w:p>
    <w:p>
      <w:pPr>
        <w:spacing w:after="0" w:line="206" w:lineRule="exact"/>
        <w:rPr>
          <w:rFonts w:ascii="Arial" w:cs="Arial" w:eastAsia="Arial" w:hAnsi="Arial"/>
          <w:sz w:val="22"/>
          <w:szCs w:val="22"/>
          <w:color w:val="auto"/>
        </w:rPr>
      </w:pPr>
    </w:p>
    <w:p>
      <w:pPr>
        <w:ind w:left="2460" w:hanging="891"/>
        <w:spacing w:after="0"/>
        <w:tabs>
          <w:tab w:leader="none" w:pos="2460" w:val="left"/>
        </w:tabs>
        <w:numPr>
          <w:ilvl w:val="1"/>
          <w:numId w:val="150"/>
        </w:numPr>
        <w:rPr>
          <w:rFonts w:ascii="Arial" w:cs="Arial" w:eastAsia="Arial" w:hAnsi="Arial"/>
          <w:sz w:val="22"/>
          <w:szCs w:val="22"/>
          <w:color w:val="auto"/>
        </w:rPr>
      </w:pPr>
      <w:r>
        <w:rPr>
          <w:rFonts w:ascii="Arial" w:cs="Arial" w:eastAsia="Arial" w:hAnsi="Arial"/>
          <w:sz w:val="22"/>
          <w:szCs w:val="22"/>
          <w:u w:val="single" w:color="auto"/>
          <w:color w:val="auto"/>
        </w:rPr>
        <w:t>fourthly</w:t>
      </w:r>
      <w:r>
        <w:rPr>
          <w:rFonts w:ascii="Arial" w:cs="Arial" w:eastAsia="Arial" w:hAnsi="Arial"/>
          <w:sz w:val="22"/>
          <w:szCs w:val="22"/>
          <w:color w:val="auto"/>
        </w:rPr>
        <w:t>, in or towards repayment of the principal of the Facility;</w:t>
      </w:r>
    </w:p>
    <w:p>
      <w:pPr>
        <w:spacing w:after="0" w:line="206" w:lineRule="exact"/>
        <w:rPr>
          <w:rFonts w:ascii="Arial" w:cs="Arial" w:eastAsia="Arial" w:hAnsi="Arial"/>
          <w:sz w:val="22"/>
          <w:szCs w:val="22"/>
          <w:color w:val="auto"/>
        </w:rPr>
      </w:pPr>
    </w:p>
    <w:p>
      <w:pPr>
        <w:ind w:right="100" w:firstLine="1569"/>
        <w:spacing w:after="0" w:line="250" w:lineRule="auto"/>
        <w:tabs>
          <w:tab w:leader="none" w:pos="2446" w:val="left"/>
        </w:tabs>
        <w:numPr>
          <w:ilvl w:val="1"/>
          <w:numId w:val="150"/>
        </w:numPr>
        <w:rPr>
          <w:rFonts w:ascii="Arial" w:cs="Arial" w:eastAsia="Arial" w:hAnsi="Arial"/>
          <w:sz w:val="22"/>
          <w:szCs w:val="22"/>
          <w:color w:val="auto"/>
        </w:rPr>
      </w:pPr>
      <w:r>
        <w:rPr>
          <w:rFonts w:ascii="Arial" w:cs="Arial" w:eastAsia="Arial" w:hAnsi="Arial"/>
          <w:sz w:val="22"/>
          <w:szCs w:val="22"/>
          <w:u w:val="single" w:color="auto"/>
          <w:color w:val="auto"/>
        </w:rPr>
        <w:t>fifthly</w:t>
      </w:r>
      <w:r>
        <w:rPr>
          <w:rFonts w:ascii="Arial" w:cs="Arial" w:eastAsia="Arial" w:hAnsi="Arial"/>
          <w:sz w:val="22"/>
          <w:szCs w:val="22"/>
          <w:color w:val="auto"/>
        </w:rPr>
        <w:t>, in or towards payment of all other sums which may be owing to any of the Creditors under this Agreement, under the Notes and under the other Transaction Documents;</w:t>
      </w:r>
    </w:p>
    <w:p>
      <w:pPr>
        <w:spacing w:after="0" w:line="174" w:lineRule="exact"/>
        <w:rPr>
          <w:rFonts w:ascii="Arial" w:cs="Arial" w:eastAsia="Arial" w:hAnsi="Arial"/>
          <w:sz w:val="22"/>
          <w:szCs w:val="22"/>
          <w:color w:val="auto"/>
        </w:rPr>
      </w:pPr>
    </w:p>
    <w:p>
      <w:pPr>
        <w:ind w:left="2440" w:hanging="871"/>
        <w:spacing w:after="0"/>
        <w:tabs>
          <w:tab w:leader="none" w:pos="2440" w:val="left"/>
        </w:tabs>
        <w:numPr>
          <w:ilvl w:val="1"/>
          <w:numId w:val="150"/>
        </w:numPr>
        <w:rPr>
          <w:rFonts w:ascii="Arial" w:cs="Arial" w:eastAsia="Arial" w:hAnsi="Arial"/>
          <w:sz w:val="19"/>
          <w:szCs w:val="19"/>
          <w:color w:val="auto"/>
        </w:rPr>
      </w:pPr>
      <w:r>
        <w:rPr>
          <w:rFonts w:ascii="Arial" w:cs="Arial" w:eastAsia="Arial" w:hAnsi="Arial"/>
          <w:sz w:val="19"/>
          <w:szCs w:val="19"/>
          <w:u w:val="single" w:color="auto"/>
          <w:color w:val="auto"/>
        </w:rPr>
        <w:t>sixthly</w:t>
      </w:r>
      <w:r>
        <w:rPr>
          <w:rFonts w:ascii="Arial" w:cs="Arial" w:eastAsia="Arial" w:hAnsi="Arial"/>
          <w:sz w:val="19"/>
          <w:szCs w:val="19"/>
          <w:color w:val="auto"/>
        </w:rPr>
        <w:t>, in or towards payments of any amounts then owed under any Interest Rate Agreement; and</w:t>
      </w:r>
    </w:p>
    <w:p>
      <w:pPr>
        <w:spacing w:after="0" w:line="240" w:lineRule="exact"/>
        <w:rPr>
          <w:rFonts w:ascii="Arial" w:cs="Arial" w:eastAsia="Arial" w:hAnsi="Arial"/>
          <w:sz w:val="19"/>
          <w:szCs w:val="19"/>
          <w:color w:val="auto"/>
        </w:rPr>
      </w:pPr>
    </w:p>
    <w:p>
      <w:pPr>
        <w:ind w:left="2460" w:hanging="891"/>
        <w:spacing w:after="0"/>
        <w:tabs>
          <w:tab w:leader="none" w:pos="2460" w:val="left"/>
        </w:tabs>
        <w:numPr>
          <w:ilvl w:val="1"/>
          <w:numId w:val="150"/>
        </w:numPr>
        <w:rPr>
          <w:rFonts w:ascii="Arial" w:cs="Arial" w:eastAsia="Arial" w:hAnsi="Arial"/>
          <w:sz w:val="19"/>
          <w:szCs w:val="19"/>
          <w:color w:val="auto"/>
        </w:rPr>
      </w:pPr>
      <w:r>
        <w:rPr>
          <w:rFonts w:ascii="Arial" w:cs="Arial" w:eastAsia="Arial" w:hAnsi="Arial"/>
          <w:sz w:val="19"/>
          <w:szCs w:val="19"/>
          <w:u w:val="single" w:color="auto"/>
          <w:color w:val="auto"/>
        </w:rPr>
        <w:t>seventhly</w:t>
      </w:r>
      <w:r>
        <w:rPr>
          <w:rFonts w:ascii="Arial" w:cs="Arial" w:eastAsia="Arial" w:hAnsi="Arial"/>
          <w:sz w:val="19"/>
          <w:szCs w:val="19"/>
          <w:color w:val="auto"/>
        </w:rPr>
        <w:t>, the surplus (if any) shall be paid to the Borrowers or to whomsoever else may be entitled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thereto.</w:t>
      </w:r>
    </w:p>
    <w:p>
      <w:pPr>
        <w:spacing w:after="0" w:line="188" w:lineRule="exact"/>
        <w:rPr>
          <w:rFonts w:ascii="Arial" w:cs="Arial" w:eastAsia="Arial" w:hAnsi="Arial"/>
          <w:sz w:val="19"/>
          <w:szCs w:val="19"/>
          <w:color w:val="auto"/>
        </w:rPr>
      </w:pPr>
    </w:p>
    <w:p>
      <w:pPr>
        <w:ind w:left="820" w:hanging="812"/>
        <w:spacing w:after="0"/>
        <w:tabs>
          <w:tab w:leader="none" w:pos="82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COVENANTS</w:t>
      </w:r>
    </w:p>
    <w:p>
      <w:pPr>
        <w:spacing w:after="0" w:line="206" w:lineRule="exact"/>
        <w:rPr>
          <w:sz w:val="20"/>
          <w:szCs w:val="20"/>
          <w:color w:val="auto"/>
        </w:rPr>
      </w:pPr>
    </w:p>
    <w:p>
      <w:pPr>
        <w:jc w:val="both"/>
        <w:ind w:right="280" w:firstLine="780"/>
        <w:spacing w:after="0"/>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Affirmative Covenants</w:t>
      </w:r>
      <w:r>
        <w:rPr>
          <w:rFonts w:ascii="Arial" w:cs="Arial" w:eastAsia="Arial" w:hAnsi="Arial"/>
          <w:sz w:val="22"/>
          <w:szCs w:val="22"/>
          <w:color w:val="auto"/>
        </w:rPr>
        <w:t>. Each of the Security Parties hereby covenants and undertakes with the Lenders that, from the date hereof and so long as any principal, interest or other moneys are owing in respect of this Agreement, the Notes or any of the Security Documents, it will:</w:t>
      </w:r>
    </w:p>
    <w:p>
      <w:pPr>
        <w:spacing w:after="0" w:line="186" w:lineRule="exact"/>
        <w:rPr>
          <w:sz w:val="20"/>
          <w:szCs w:val="20"/>
          <w:color w:val="auto"/>
        </w:rPr>
      </w:pPr>
    </w:p>
    <w:p>
      <w:pPr>
        <w:ind w:right="120" w:firstLine="1569"/>
        <w:spacing w:after="0" w:line="328" w:lineRule="auto"/>
        <w:tabs>
          <w:tab w:leader="none" w:pos="2446"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Performance of Agreements</w:t>
      </w:r>
      <w:r>
        <w:rPr>
          <w:rFonts w:ascii="Arial" w:cs="Arial" w:eastAsia="Arial" w:hAnsi="Arial"/>
          <w:sz w:val="19"/>
          <w:szCs w:val="19"/>
          <w:color w:val="auto"/>
        </w:rPr>
        <w:t>. Duly perform and observe, and procure the observance and performance by all other parties thereto (other than the Lenders) of, the terms of this Agreement, the Notes and the Security Documents;</w:t>
      </w:r>
    </w:p>
    <w:p>
      <w:pPr>
        <w:spacing w:after="0" w:line="104" w:lineRule="exact"/>
        <w:rPr>
          <w:rFonts w:ascii="Arial" w:cs="Arial" w:eastAsia="Arial" w:hAnsi="Arial"/>
          <w:sz w:val="19"/>
          <w:szCs w:val="19"/>
          <w:color w:val="auto"/>
        </w:rPr>
      </w:pPr>
    </w:p>
    <w:p>
      <w:pPr>
        <w:ind w:firstLine="1569"/>
        <w:spacing w:after="0" w:line="282" w:lineRule="auto"/>
        <w:tabs>
          <w:tab w:leader="none" w:pos="2458"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Notice of Default, etc</w:t>
      </w:r>
      <w:r>
        <w:rPr>
          <w:rFonts w:ascii="Arial" w:cs="Arial" w:eastAsia="Arial" w:hAnsi="Arial"/>
          <w:sz w:val="19"/>
          <w:szCs w:val="19"/>
          <w:color w:val="auto"/>
        </w:rPr>
        <w:t>. Promptly upon obtaining knowledge thereof, inform the Administrative Agent of the occurrence of (a) any Event of Default or any Default, (b) any litigation or governmental proceeding pending or threatened against any Security Party which could reasonably be expected to have a Material Adverse Effect, (c) the withdrawal of any Vessel’s rating by its Classification Society or the issuance by the Classification Society of any material recommendation or notation affecting class and (d) any other event or condition which is reasonably likely to have a Material Adverse Effect;</w:t>
      </w:r>
    </w:p>
    <w:p>
      <w:pPr>
        <w:spacing w:after="0" w:line="147" w:lineRule="exact"/>
        <w:rPr>
          <w:rFonts w:ascii="Arial" w:cs="Arial" w:eastAsia="Arial" w:hAnsi="Arial"/>
          <w:sz w:val="19"/>
          <w:szCs w:val="19"/>
          <w:color w:val="auto"/>
        </w:rPr>
      </w:pPr>
    </w:p>
    <w:p>
      <w:pPr>
        <w:ind w:right="20" w:firstLine="1569"/>
        <w:spacing w:after="0" w:line="297" w:lineRule="auto"/>
        <w:tabs>
          <w:tab w:leader="none" w:pos="2446"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Obtain Consents</w:t>
      </w:r>
      <w:r>
        <w:rPr>
          <w:rFonts w:ascii="Arial" w:cs="Arial" w:eastAsia="Arial" w:hAnsi="Arial"/>
          <w:sz w:val="19"/>
          <w:szCs w:val="19"/>
          <w:color w:val="auto"/>
        </w:rPr>
        <w:t>. Without prejudice to Section 2.1 and this Section 9.1, obtain every consent and do all other acts and things which may from time to time be necessary or advisable for the continued due performance of all its and the other Security Parties' respective obligations under this Agreement, under the Notes and under the Security Documents;</w:t>
      </w:r>
    </w:p>
    <w:p>
      <w:pPr>
        <w:spacing w:after="0" w:line="133" w:lineRule="exact"/>
        <w:rPr>
          <w:rFonts w:ascii="Arial" w:cs="Arial" w:eastAsia="Arial" w:hAnsi="Arial"/>
          <w:sz w:val="19"/>
          <w:szCs w:val="19"/>
          <w:color w:val="auto"/>
        </w:rPr>
      </w:pPr>
    </w:p>
    <w:p>
      <w:pPr>
        <w:ind w:left="2460" w:hanging="891"/>
        <w:spacing w:after="0"/>
        <w:tabs>
          <w:tab w:leader="none" w:pos="2460"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Financial Information</w:t>
      </w:r>
      <w:r>
        <w:rPr>
          <w:rFonts w:ascii="Arial" w:cs="Arial" w:eastAsia="Arial" w:hAnsi="Arial"/>
          <w:sz w:val="22"/>
          <w:szCs w:val="22"/>
          <w:color w:val="auto"/>
        </w:rPr>
        <w:t>. Deliver to the Administrative Agent:</w:t>
      </w:r>
    </w:p>
    <w:p>
      <w:pPr>
        <w:spacing w:after="0" w:line="206" w:lineRule="exact"/>
        <w:rPr>
          <w:rFonts w:ascii="Arial" w:cs="Arial" w:eastAsia="Arial" w:hAnsi="Arial"/>
          <w:sz w:val="22"/>
          <w:szCs w:val="22"/>
          <w:color w:val="auto"/>
        </w:rPr>
      </w:pPr>
    </w:p>
    <w:p>
      <w:pPr>
        <w:ind w:left="3120" w:right="20" w:hanging="777"/>
        <w:spacing w:after="0" w:line="246" w:lineRule="auto"/>
        <w:tabs>
          <w:tab w:leader="none" w:pos="3120" w:val="left"/>
        </w:tabs>
        <w:numPr>
          <w:ilvl w:val="1"/>
          <w:numId w:val="152"/>
        </w:numPr>
        <w:rPr>
          <w:rFonts w:ascii="Arial" w:cs="Arial" w:eastAsia="Arial" w:hAnsi="Arial"/>
          <w:sz w:val="21"/>
          <w:szCs w:val="21"/>
          <w:color w:val="auto"/>
        </w:rPr>
      </w:pPr>
      <w:r>
        <w:rPr>
          <w:rFonts w:ascii="Arial" w:cs="Arial" w:eastAsia="Arial" w:hAnsi="Arial"/>
          <w:sz w:val="21"/>
          <w:szCs w:val="21"/>
          <w:color w:val="auto"/>
        </w:rPr>
        <w:t>as soon as available, but not later than ninety (90) days after the end of each fiscal year of the Holding Company, complete copies of the consolidated financial reports of the Holding Company and its Subsidiaries inclusive of a financial report of each of the Borrowers (together with a Compliance Certificate), all in reasonable detail which shall include at least the consolidated balance sheet of the Holding Company and its Subsidiaries and a balance sheet for each of the Borrowers as of the end of such year and the related statements of income for such year as well as the related statement of sources and uses of funds for such year for the Holding Company only, each</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82" w:name="page183"/>
    <w:bookmarkEnd w:id="182"/>
    <w:p>
      <w:pPr>
        <w:ind w:left="2020" w:hanging="562"/>
        <w:spacing w:after="0" w:line="328" w:lineRule="auto"/>
        <w:rPr>
          <w:sz w:val="20"/>
          <w:szCs w:val="20"/>
          <w:color w:val="auto"/>
        </w:rPr>
      </w:pPr>
      <w:r>
        <w:rPr>
          <w:rFonts w:ascii="Arial" w:cs="Arial" w:eastAsia="Arial" w:hAnsi="Arial"/>
          <w:sz w:val="19"/>
          <w:szCs w:val="19"/>
          <w:color w:val="auto"/>
        </w:rPr>
        <w:t>as prepared in accordance with GAAP, all in reasonable detail, which shall be prepared by an Acceptable Accounting Firm and, with respect to the Holding Company , be audited reports;</w:t>
      </w:r>
    </w:p>
    <w:p>
      <w:pPr>
        <w:spacing w:after="0" w:line="105" w:lineRule="exact"/>
        <w:rPr>
          <w:sz w:val="20"/>
          <w:szCs w:val="20"/>
          <w:color w:val="auto"/>
        </w:rPr>
      </w:pPr>
    </w:p>
    <w:p>
      <w:pPr>
        <w:ind w:left="2000" w:right="20" w:hanging="777"/>
        <w:spacing w:after="0" w:line="277" w:lineRule="auto"/>
        <w:tabs>
          <w:tab w:leader="none" w:pos="2000" w:val="left"/>
        </w:tabs>
        <w:numPr>
          <w:ilvl w:val="1"/>
          <w:numId w:val="153"/>
        </w:numPr>
        <w:rPr>
          <w:rFonts w:ascii="Arial" w:cs="Arial" w:eastAsia="Arial" w:hAnsi="Arial"/>
          <w:sz w:val="19"/>
          <w:szCs w:val="19"/>
          <w:color w:val="auto"/>
        </w:rPr>
      </w:pPr>
      <w:r>
        <w:rPr>
          <w:rFonts w:ascii="Arial" w:cs="Arial" w:eastAsia="Arial" w:hAnsi="Arial"/>
          <w:sz w:val="19"/>
          <w:szCs w:val="19"/>
          <w:color w:val="auto"/>
        </w:rPr>
        <w:t>as soon as available, but not later than sixty (60) days after the end of each of the first three quarters of each fiscal year of the Holding Company , a quarterly interim balance sheets and profit and loss statements of the Holding Company and its Subsidiaries and the related profit and loss statements as well as the related statement of sources and uses of funds for such year for the Holding Company only (together with a Compliance Certificate), each as prepared in accordance with GAAP, all in reasonable detail, unaudited, but certified to be true and complete by the chief financial officer of the Holding Company;</w:t>
      </w:r>
    </w:p>
    <w:p>
      <w:pPr>
        <w:spacing w:after="0" w:line="151" w:lineRule="exact"/>
        <w:rPr>
          <w:rFonts w:ascii="Arial" w:cs="Arial" w:eastAsia="Arial" w:hAnsi="Arial"/>
          <w:sz w:val="19"/>
          <w:szCs w:val="19"/>
          <w:color w:val="auto"/>
        </w:rPr>
      </w:pPr>
    </w:p>
    <w:p>
      <w:pPr>
        <w:jc w:val="both"/>
        <w:ind w:left="2000" w:right="300" w:hanging="777"/>
        <w:spacing w:after="0"/>
        <w:tabs>
          <w:tab w:leader="none" w:pos="2000" w:val="left"/>
        </w:tabs>
        <w:numPr>
          <w:ilvl w:val="1"/>
          <w:numId w:val="153"/>
        </w:numPr>
        <w:rPr>
          <w:rFonts w:ascii="Arial" w:cs="Arial" w:eastAsia="Arial" w:hAnsi="Arial"/>
          <w:sz w:val="22"/>
          <w:szCs w:val="22"/>
          <w:color w:val="auto"/>
        </w:rPr>
      </w:pPr>
      <w:r>
        <w:rPr>
          <w:rFonts w:ascii="Arial" w:cs="Arial" w:eastAsia="Arial" w:hAnsi="Arial"/>
          <w:sz w:val="22"/>
          <w:szCs w:val="22"/>
          <w:color w:val="auto"/>
        </w:rPr>
        <w:t>promptly upon the mailing thereof to the member(s) of the Holding Company, copies of all financial statements, reports, proxy statements and other communications provided to the Holding Company’s member(s);</w:t>
      </w:r>
    </w:p>
    <w:p>
      <w:pPr>
        <w:spacing w:after="0" w:line="186" w:lineRule="exact"/>
        <w:rPr>
          <w:rFonts w:ascii="Arial" w:cs="Arial" w:eastAsia="Arial" w:hAnsi="Arial"/>
          <w:sz w:val="22"/>
          <w:szCs w:val="22"/>
          <w:color w:val="auto"/>
        </w:rPr>
      </w:pPr>
    </w:p>
    <w:p>
      <w:pPr>
        <w:ind w:left="2000" w:right="200" w:hanging="777"/>
        <w:spacing w:after="0" w:line="257" w:lineRule="auto"/>
        <w:tabs>
          <w:tab w:leader="none" w:pos="2000" w:val="left"/>
        </w:tabs>
        <w:numPr>
          <w:ilvl w:val="1"/>
          <w:numId w:val="153"/>
        </w:numPr>
        <w:rPr>
          <w:rFonts w:ascii="Arial" w:cs="Arial" w:eastAsia="Arial" w:hAnsi="Arial"/>
          <w:sz w:val="21"/>
          <w:szCs w:val="21"/>
          <w:color w:val="auto"/>
        </w:rPr>
      </w:pPr>
      <w:r>
        <w:rPr>
          <w:rFonts w:ascii="Arial" w:cs="Arial" w:eastAsia="Arial" w:hAnsi="Arial"/>
          <w:sz w:val="21"/>
          <w:szCs w:val="21"/>
          <w:color w:val="auto"/>
        </w:rPr>
        <w:t>within ten (10) Banking Days of the Holding Company’s receipt thereof, copies of all audit letters or other correspondence from any external auditors including material financial information in respect of the Holding Company and its Subsidiaries;</w:t>
      </w:r>
    </w:p>
    <w:p>
      <w:pPr>
        <w:spacing w:after="0" w:line="169" w:lineRule="exact"/>
        <w:rPr>
          <w:rFonts w:ascii="Arial" w:cs="Arial" w:eastAsia="Arial" w:hAnsi="Arial"/>
          <w:sz w:val="21"/>
          <w:szCs w:val="21"/>
          <w:color w:val="auto"/>
        </w:rPr>
      </w:pPr>
    </w:p>
    <w:p>
      <w:pPr>
        <w:ind w:left="2000" w:hanging="777"/>
        <w:spacing w:after="0" w:line="257" w:lineRule="auto"/>
        <w:tabs>
          <w:tab w:leader="none" w:pos="2000" w:val="left"/>
        </w:tabs>
        <w:numPr>
          <w:ilvl w:val="1"/>
          <w:numId w:val="153"/>
        </w:numPr>
        <w:rPr>
          <w:rFonts w:ascii="Arial" w:cs="Arial" w:eastAsia="Arial" w:hAnsi="Arial"/>
          <w:sz w:val="21"/>
          <w:szCs w:val="21"/>
          <w:color w:val="auto"/>
        </w:rPr>
      </w:pPr>
      <w:r>
        <w:rPr>
          <w:rFonts w:ascii="Arial" w:cs="Arial" w:eastAsia="Arial" w:hAnsi="Arial"/>
          <w:sz w:val="21"/>
          <w:szCs w:val="21"/>
          <w:color w:val="auto"/>
        </w:rPr>
        <w:t>as soon as available, but not later than forty five (45) after the end of each fiscal year of the Holding Company, an annual projection of the cash balance of the Holding Company together with annual cash-flow projections of the Holding Company;</w:t>
      </w:r>
    </w:p>
    <w:p>
      <w:pPr>
        <w:spacing w:after="0" w:line="169" w:lineRule="exact"/>
        <w:rPr>
          <w:rFonts w:ascii="Arial" w:cs="Arial" w:eastAsia="Arial" w:hAnsi="Arial"/>
          <w:sz w:val="21"/>
          <w:szCs w:val="21"/>
          <w:color w:val="auto"/>
        </w:rPr>
      </w:pPr>
    </w:p>
    <w:p>
      <w:pPr>
        <w:ind w:left="2000" w:hanging="777"/>
        <w:spacing w:after="0" w:line="249" w:lineRule="auto"/>
        <w:tabs>
          <w:tab w:leader="none" w:pos="2000" w:val="left"/>
        </w:tabs>
        <w:numPr>
          <w:ilvl w:val="1"/>
          <w:numId w:val="153"/>
        </w:numPr>
        <w:rPr>
          <w:rFonts w:ascii="Arial" w:cs="Arial" w:eastAsia="Arial" w:hAnsi="Arial"/>
          <w:sz w:val="21"/>
          <w:szCs w:val="21"/>
          <w:color w:val="auto"/>
        </w:rPr>
      </w:pPr>
      <w:r>
        <w:rPr>
          <w:rFonts w:ascii="Arial" w:cs="Arial" w:eastAsia="Arial" w:hAnsi="Arial"/>
          <w:sz w:val="21"/>
          <w:szCs w:val="21"/>
          <w:color w:val="auto"/>
        </w:rPr>
        <w:t>such other statements (including, without limitation, monthly consolidated statements of operating revenues and expenses), lists of assets and accounts, budgets, forecasts, reports and other financial information with respect to its business as the Administrative Agent may from time to time reasonably request, certified to be true and complete by the chief financial officer of the Holding Company; and</w:t>
      </w:r>
    </w:p>
    <w:p>
      <w:pPr>
        <w:spacing w:after="0" w:line="178" w:lineRule="exact"/>
        <w:rPr>
          <w:rFonts w:ascii="Arial" w:cs="Arial" w:eastAsia="Arial" w:hAnsi="Arial"/>
          <w:sz w:val="21"/>
          <w:szCs w:val="21"/>
          <w:color w:val="auto"/>
        </w:rPr>
      </w:pPr>
    </w:p>
    <w:p>
      <w:pPr>
        <w:ind w:left="1340" w:hanging="891"/>
        <w:spacing w:after="0"/>
        <w:tabs>
          <w:tab w:leader="none" w:pos="1340"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Vessel Covenants</w:t>
      </w:r>
      <w:r>
        <w:rPr>
          <w:rFonts w:ascii="Arial" w:cs="Arial" w:eastAsia="Arial" w:hAnsi="Arial"/>
          <w:sz w:val="22"/>
          <w:szCs w:val="22"/>
          <w:color w:val="auto"/>
        </w:rPr>
        <w:t>. With respect to each of the Vessels:</w:t>
      </w:r>
    </w:p>
    <w:p>
      <w:pPr>
        <w:spacing w:after="0" w:line="206" w:lineRule="exact"/>
        <w:rPr>
          <w:rFonts w:ascii="Arial" w:cs="Arial" w:eastAsia="Arial" w:hAnsi="Arial"/>
          <w:sz w:val="22"/>
          <w:szCs w:val="22"/>
          <w:color w:val="auto"/>
        </w:rPr>
      </w:pPr>
    </w:p>
    <w:p>
      <w:pPr>
        <w:ind w:left="2000" w:hanging="777"/>
        <w:spacing w:after="0"/>
        <w:tabs>
          <w:tab w:leader="none" w:pos="200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keep the Vessels registered in the name of the applicable Borrower;</w:t>
      </w:r>
    </w:p>
    <w:p>
      <w:pPr>
        <w:spacing w:after="0" w:line="206" w:lineRule="exact"/>
        <w:rPr>
          <w:rFonts w:ascii="Arial" w:cs="Arial" w:eastAsia="Arial" w:hAnsi="Arial"/>
          <w:sz w:val="22"/>
          <w:szCs w:val="22"/>
          <w:color w:val="auto"/>
        </w:rPr>
      </w:pPr>
    </w:p>
    <w:p>
      <w:pPr>
        <w:ind w:left="2000" w:right="200" w:hanging="777"/>
        <w:spacing w:after="0" w:line="250" w:lineRule="auto"/>
        <w:tabs>
          <w:tab w:leader="none" w:pos="200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keep the Vessels in good and safe condition and state of repair (ordinary wear and tear and/or loss or damage by casualty or condemnation excepted);</w:t>
      </w:r>
    </w:p>
    <w:p>
      <w:pPr>
        <w:spacing w:after="0" w:line="174" w:lineRule="exact"/>
        <w:rPr>
          <w:rFonts w:ascii="Arial" w:cs="Arial" w:eastAsia="Arial" w:hAnsi="Arial"/>
          <w:sz w:val="22"/>
          <w:szCs w:val="22"/>
          <w:color w:val="auto"/>
        </w:rPr>
      </w:pPr>
    </w:p>
    <w:p>
      <w:pPr>
        <w:ind w:left="2000" w:right="20" w:hanging="777"/>
        <w:spacing w:after="0"/>
        <w:tabs>
          <w:tab w:leader="none" w:pos="200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keep the Vessels insured in accordance with the provisions of the relevant Mortgage recorded against it and ensure that the requirements thereof in respect of any insurances have been complied with;</w:t>
      </w:r>
    </w:p>
    <w:p>
      <w:pPr>
        <w:spacing w:after="0" w:line="186" w:lineRule="exact"/>
        <w:rPr>
          <w:rFonts w:ascii="Arial" w:cs="Arial" w:eastAsia="Arial" w:hAnsi="Arial"/>
          <w:sz w:val="22"/>
          <w:szCs w:val="22"/>
          <w:color w:val="auto"/>
        </w:rPr>
      </w:pPr>
    </w:p>
    <w:p>
      <w:pPr>
        <w:jc w:val="both"/>
        <w:ind w:left="2000" w:right="140" w:hanging="777"/>
        <w:spacing w:after="0" w:line="297" w:lineRule="auto"/>
        <w:tabs>
          <w:tab w:leader="none" w:pos="200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ensure that each of the Vessels at all times carries an Inventory of Hazardous Materials, and upon request provide a copy to teh Administrative Agent, unless an Inventory of Hazardous Materials is not required to be maintained under applicable law;</w:t>
      </w:r>
    </w:p>
    <w:p>
      <w:pPr>
        <w:spacing w:after="0" w:line="381"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203200</wp:posOffset>
            </wp:positionV>
            <wp:extent cx="71748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000"/>
          </w:cols>
          <w:pgMar w:left="1440" w:top="577" w:right="459" w:bottom="1440" w:gutter="0" w:footer="0" w:header="0"/>
        </w:sectPr>
      </w:pPr>
    </w:p>
    <w:bookmarkStart w:id="183" w:name="page184"/>
    <w:bookmarkEnd w:id="183"/>
    <w:p>
      <w:pPr>
        <w:ind w:left="3040" w:right="20" w:hanging="777"/>
        <w:spacing w:after="0" w:line="279" w:lineRule="auto"/>
        <w:tabs>
          <w:tab w:leader="none" w:pos="304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in the event the relevant Borrower undertakes to dismantle the Vessel (or to sell the Vessel with the intention of it being dismantled) with the prior written consent of the Administrative Agent, it shall comply with the Hong Kong International Convention for the Sage and Environmentally Sound Recycling of Ships, 2009 and to the extent applicable, United States laws, as well as any other applicable vessel dismantling conventions on safe, sustainable and socially and environmentally responsible dismantling of the Vessel that is taken out of service;</w:t>
      </w:r>
    </w:p>
    <w:p>
      <w:pPr>
        <w:spacing w:after="0" w:line="150" w:lineRule="exact"/>
        <w:rPr>
          <w:rFonts w:ascii="Arial" w:cs="Arial" w:eastAsia="Arial" w:hAnsi="Arial"/>
          <w:sz w:val="19"/>
          <w:szCs w:val="19"/>
          <w:color w:val="auto"/>
        </w:rPr>
      </w:pPr>
    </w:p>
    <w:p>
      <w:pPr>
        <w:ind w:left="3040" w:right="160" w:hanging="777"/>
        <w:spacing w:after="0" w:line="250" w:lineRule="auto"/>
        <w:tabs>
          <w:tab w:leader="none" w:pos="304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notify the Administrative Agent of all modifications to the Vessels and of the removal of any parts or equipment from the Vessels; and</w:t>
      </w:r>
    </w:p>
    <w:p>
      <w:pPr>
        <w:spacing w:after="0" w:line="175" w:lineRule="exact"/>
        <w:rPr>
          <w:sz w:val="20"/>
          <w:szCs w:val="20"/>
          <w:color w:val="auto"/>
        </w:rPr>
      </w:pPr>
    </w:p>
    <w:p>
      <w:pPr>
        <w:ind w:left="3040" w:hanging="777"/>
        <w:spacing w:after="0"/>
        <w:tabs>
          <w:tab w:leader="none" w:pos="304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provide the Administrative Agent with all requested Vessel related information;</w:t>
      </w:r>
    </w:p>
    <w:p>
      <w:pPr>
        <w:spacing w:after="0" w:line="206" w:lineRule="exact"/>
        <w:rPr>
          <w:rFonts w:ascii="Arial" w:cs="Arial" w:eastAsia="Arial" w:hAnsi="Arial"/>
          <w:sz w:val="22"/>
          <w:szCs w:val="22"/>
          <w:color w:val="auto"/>
        </w:rPr>
      </w:pPr>
    </w:p>
    <w:p>
      <w:pPr>
        <w:ind w:left="-80" w:right="40" w:firstLine="1569"/>
        <w:spacing w:after="0" w:line="245" w:lineRule="auto"/>
        <w:tabs>
          <w:tab w:leader="none" w:pos="2342" w:val="left"/>
        </w:tabs>
        <w:numPr>
          <w:ilvl w:val="0"/>
          <w:numId w:val="157"/>
        </w:numPr>
        <w:rPr>
          <w:rFonts w:ascii="Arial" w:cs="Arial" w:eastAsia="Arial" w:hAnsi="Arial"/>
          <w:sz w:val="21"/>
          <w:szCs w:val="21"/>
          <w:color w:val="auto"/>
        </w:rPr>
      </w:pPr>
      <w:r>
        <w:rPr>
          <w:rFonts w:ascii="Arial" w:cs="Arial" w:eastAsia="Arial" w:hAnsi="Arial"/>
          <w:sz w:val="21"/>
          <w:szCs w:val="21"/>
          <w:u w:val="single" w:color="auto"/>
          <w:color w:val="auto"/>
        </w:rPr>
        <w:t>Vessel Valuations</w:t>
      </w:r>
      <w:r>
        <w:rPr>
          <w:rFonts w:ascii="Arial" w:cs="Arial" w:eastAsia="Arial" w:hAnsi="Arial"/>
          <w:sz w:val="21"/>
          <w:szCs w:val="21"/>
          <w:color w:val="auto"/>
        </w:rPr>
        <w:t>. For inclusion with the Compliance Certificates delivered pursuant to Section 9.1(d) (for the second and fourth quarters of each fiscal year of the Holding Company), and in any event upon the reasonable request of the Administrative Agent, the Borrowers shall obtain appraisals (on a desktop basis) of the Fair Market Value of the Vessels. Up to two (2) such desktop valuations per calendar year per Vessel are to be at the Borrowers' cost. In the event the Borrowers fail or refuse to obtain the valuations requested pursuant to this Section 9.1(f) within ten (10) Banking Days of the Administrative Agent's reasonable request therefor, the Administrative Agent will be authorized to obtain such valuations, at the Borrowers’ cost, from one of the approved ship brokers listed on Schedule II (or such other ship broker as may be approved from time to time by the Majority Lenders), which valuations shall be deemed the equivalent of valuations duly obtained by the Borrowers pursuant to this Section 9.1(f), but the Administrative Agent's actions in doing so shall not excuse any default of the Borrowers under this Section 9.1(f);</w:t>
      </w:r>
    </w:p>
    <w:p>
      <w:pPr>
        <w:spacing w:after="0" w:line="180" w:lineRule="exact"/>
        <w:rPr>
          <w:rFonts w:ascii="Arial" w:cs="Arial" w:eastAsia="Arial" w:hAnsi="Arial"/>
          <w:sz w:val="21"/>
          <w:szCs w:val="21"/>
          <w:color w:val="auto"/>
        </w:rPr>
      </w:pPr>
    </w:p>
    <w:p>
      <w:pPr>
        <w:ind w:left="-80" w:firstLine="1569"/>
        <w:spacing w:after="0" w:line="276" w:lineRule="auto"/>
        <w:tabs>
          <w:tab w:leader="none" w:pos="2378"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Corporate Existence; Citizenship</w:t>
      </w:r>
      <w:r>
        <w:rPr>
          <w:rFonts w:ascii="Arial" w:cs="Arial" w:eastAsia="Arial" w:hAnsi="Arial"/>
          <w:sz w:val="19"/>
          <w:szCs w:val="19"/>
          <w:color w:val="auto"/>
        </w:rPr>
        <w:t xml:space="preserve">. Do or cause to be done all things necessary to (i) preserve and keep in full force and effect its corporate existence in good standing and all licenses, franchises, permits and assets necessary to the conduct of its business and (ii) to the extent it owns a United States flagged vessel, remain a citizen of the United States within the meaning of Section 2 of the Shipping Act of 1916, as amended, and in compliance with the citizenship requirements imposed under the Merchant Marine Act, 1920, as amended, or any other applicable United States laws for entities engaged in coastwise trade, provided however that Courageous and Resolute shall be permitted to change their jurisdiction of formation to the Republic of the Marshall Islands so long as: </w:t>
      </w:r>
      <w:r>
        <w:rPr>
          <w:rFonts w:ascii="Arial" w:cs="Arial" w:eastAsia="Arial" w:hAnsi="Arial"/>
          <w:sz w:val="17"/>
          <w:szCs w:val="17"/>
          <w:color w:val="auto"/>
        </w:rPr>
        <w:t>(x) such Borrower does not own a United States flagged vessel, and (y) such Borrower takes all actions</w:t>
      </w:r>
      <w:r>
        <w:rPr>
          <w:rFonts w:ascii="Arial" w:cs="Arial" w:eastAsia="Arial" w:hAnsi="Arial"/>
          <w:sz w:val="19"/>
          <w:szCs w:val="19"/>
          <w:color w:val="auto"/>
        </w:rPr>
        <w:t xml:space="preserve"> </w:t>
      </w:r>
      <w:r>
        <w:rPr>
          <w:rFonts w:ascii="Arial" w:cs="Arial" w:eastAsia="Arial" w:hAnsi="Arial"/>
          <w:sz w:val="17"/>
          <w:szCs w:val="17"/>
          <w:color w:val="auto"/>
        </w:rPr>
        <w:t>reasonably satisfactory to the Administrative Agent and the Security Trustee to ensure the Collateral granted by such Borrower remains in full force and effect and continues to be subject to afirst priority, perfected Lien in favor of the Security Trustee following such re-domiciliation;</w:t>
      </w:r>
    </w:p>
    <w:p>
      <w:pPr>
        <w:spacing w:after="0" w:line="167" w:lineRule="exact"/>
        <w:rPr>
          <w:rFonts w:ascii="Arial" w:cs="Arial" w:eastAsia="Arial" w:hAnsi="Arial"/>
          <w:sz w:val="19"/>
          <w:szCs w:val="19"/>
          <w:color w:val="auto"/>
        </w:rPr>
      </w:pPr>
    </w:p>
    <w:p>
      <w:pPr>
        <w:ind w:left="-80" w:right="80" w:firstLine="1569"/>
        <w:spacing w:after="0" w:line="250" w:lineRule="auto"/>
        <w:tabs>
          <w:tab w:leader="none" w:pos="2378" w:val="left"/>
        </w:tabs>
        <w:numPr>
          <w:ilvl w:val="0"/>
          <w:numId w:val="157"/>
        </w:numPr>
        <w:rPr>
          <w:rFonts w:ascii="Arial" w:cs="Arial" w:eastAsia="Arial" w:hAnsi="Arial"/>
          <w:sz w:val="22"/>
          <w:szCs w:val="22"/>
          <w:color w:val="auto"/>
        </w:rPr>
      </w:pPr>
      <w:r>
        <w:rPr>
          <w:rFonts w:ascii="Arial" w:cs="Arial" w:eastAsia="Arial" w:hAnsi="Arial"/>
          <w:sz w:val="22"/>
          <w:szCs w:val="22"/>
          <w:u w:val="single" w:color="auto"/>
          <w:color w:val="auto"/>
        </w:rPr>
        <w:t>Books and Records</w:t>
      </w:r>
      <w:r>
        <w:rPr>
          <w:rFonts w:ascii="Arial" w:cs="Arial" w:eastAsia="Arial" w:hAnsi="Arial"/>
          <w:sz w:val="22"/>
          <w:szCs w:val="22"/>
          <w:color w:val="auto"/>
        </w:rPr>
        <w:t>. At all times keep proper books of record and account into which full and correct entries shall be made in accordance with GAAP;</w:t>
      </w:r>
    </w:p>
    <w:p>
      <w:pPr>
        <w:spacing w:after="0" w:line="174" w:lineRule="exact"/>
        <w:rPr>
          <w:rFonts w:ascii="Arial" w:cs="Arial" w:eastAsia="Arial" w:hAnsi="Arial"/>
          <w:sz w:val="22"/>
          <w:szCs w:val="22"/>
          <w:color w:val="auto"/>
        </w:rPr>
      </w:pPr>
    </w:p>
    <w:p>
      <w:pPr>
        <w:jc w:val="both"/>
        <w:ind w:left="-80" w:right="60" w:firstLine="1569"/>
        <w:spacing w:after="0" w:line="238" w:lineRule="auto"/>
        <w:tabs>
          <w:tab w:leader="none" w:pos="2330" w:val="left"/>
        </w:tabs>
        <w:numPr>
          <w:ilvl w:val="0"/>
          <w:numId w:val="157"/>
        </w:numPr>
        <w:rPr>
          <w:rFonts w:ascii="Arial" w:cs="Arial" w:eastAsia="Arial" w:hAnsi="Arial"/>
          <w:sz w:val="22"/>
          <w:szCs w:val="22"/>
          <w:color w:val="auto"/>
        </w:rPr>
      </w:pPr>
      <w:r>
        <w:rPr>
          <w:rFonts w:ascii="Arial" w:cs="Arial" w:eastAsia="Arial" w:hAnsi="Arial"/>
          <w:sz w:val="22"/>
          <w:szCs w:val="22"/>
          <w:u w:val="single" w:color="auto"/>
          <w:color w:val="auto"/>
        </w:rPr>
        <w:t>Taxes and Assessments</w:t>
      </w:r>
      <w:r>
        <w:rPr>
          <w:rFonts w:ascii="Arial" w:cs="Arial" w:eastAsia="Arial" w:hAnsi="Arial"/>
          <w:sz w:val="22"/>
          <w:szCs w:val="22"/>
          <w:color w:val="auto"/>
        </w:rPr>
        <w:t>. Pay and discharge all material taxes, assessments and governmental charges or levies imposed upon it or upon its income or property prior to the date upon which penalties attach thereto; provided, however, that it shall not be required to pay and discharge, or cause to be paid and discharged, any such tax, assessment, charge or levy so long as the legality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203200</wp:posOffset>
            </wp:positionV>
            <wp:extent cx="71748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400" w:top="577" w:right="419" w:bottom="1440" w:gutter="0" w:footer="0" w:header="0"/>
        </w:sectPr>
      </w:pPr>
    </w:p>
    <w:bookmarkStart w:id="184" w:name="page185"/>
    <w:bookmarkEnd w:id="184"/>
    <w:p>
      <w:pPr>
        <w:ind w:firstLine="1561"/>
        <w:spacing w:after="0" w:line="250" w:lineRule="auto"/>
        <w:rPr>
          <w:sz w:val="20"/>
          <w:szCs w:val="20"/>
          <w:color w:val="auto"/>
        </w:rPr>
      </w:pPr>
      <w:r>
        <w:rPr>
          <w:rFonts w:ascii="Arial" w:cs="Arial" w:eastAsia="Arial" w:hAnsi="Arial"/>
          <w:sz w:val="22"/>
          <w:szCs w:val="22"/>
          <w:color w:val="auto"/>
        </w:rPr>
        <w:t>thereof shall be contested in good faith and by appropriate proceedings or other acts and it shall set aside on its books adequate reserves with respect thereto;</w:t>
      </w:r>
    </w:p>
    <w:p>
      <w:pPr>
        <w:spacing w:after="0" w:line="175" w:lineRule="exact"/>
        <w:rPr>
          <w:sz w:val="20"/>
          <w:szCs w:val="20"/>
          <w:color w:val="auto"/>
        </w:rPr>
      </w:pPr>
    </w:p>
    <w:p>
      <w:pPr>
        <w:ind w:firstLine="1569"/>
        <w:spacing w:after="0" w:line="252" w:lineRule="auto"/>
        <w:tabs>
          <w:tab w:leader="none" w:pos="2410" w:val="left"/>
        </w:tabs>
        <w:numPr>
          <w:ilvl w:val="0"/>
          <w:numId w:val="158"/>
        </w:numPr>
        <w:rPr>
          <w:rFonts w:ascii="Arial" w:cs="Arial" w:eastAsia="Arial" w:hAnsi="Arial"/>
          <w:sz w:val="21"/>
          <w:szCs w:val="21"/>
          <w:color w:val="auto"/>
        </w:rPr>
      </w:pPr>
      <w:r>
        <w:rPr>
          <w:rFonts w:ascii="Arial" w:cs="Arial" w:eastAsia="Arial" w:hAnsi="Arial"/>
          <w:sz w:val="21"/>
          <w:szCs w:val="21"/>
          <w:u w:val="single" w:color="auto"/>
          <w:color w:val="auto"/>
        </w:rPr>
        <w:t>Inspection</w:t>
      </w:r>
      <w:r>
        <w:rPr>
          <w:rFonts w:ascii="Arial" w:cs="Arial" w:eastAsia="Arial" w:hAnsi="Arial"/>
          <w:sz w:val="21"/>
          <w:szCs w:val="21"/>
          <w:color w:val="auto"/>
        </w:rPr>
        <w:t>. Upon reasonable notice, allow any representative or representatives designated by the Administrative Agent, subject to applicable laws and regulations, to visit and inspect any of its properties, and, on request, to examine its books of account, records, reports and other papers and to discuss its affairs, finances and accounts with its officers, all at such reasonable times and as often as the Administrative Agent reasonably requests;</w:t>
      </w:r>
    </w:p>
    <w:p>
      <w:pPr>
        <w:spacing w:after="0" w:line="173" w:lineRule="exact"/>
        <w:rPr>
          <w:rFonts w:ascii="Arial" w:cs="Arial" w:eastAsia="Arial" w:hAnsi="Arial"/>
          <w:sz w:val="21"/>
          <w:szCs w:val="21"/>
          <w:color w:val="auto"/>
        </w:rPr>
      </w:pPr>
    </w:p>
    <w:p>
      <w:pPr>
        <w:ind w:right="640" w:firstLine="1569"/>
        <w:spacing w:after="0" w:line="250" w:lineRule="auto"/>
        <w:tabs>
          <w:tab w:leader="none" w:pos="2458"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Inspection and Survey Reports</w:t>
      </w:r>
      <w:r>
        <w:rPr>
          <w:rFonts w:ascii="Arial" w:cs="Arial" w:eastAsia="Arial" w:hAnsi="Arial"/>
          <w:sz w:val="22"/>
          <w:szCs w:val="22"/>
          <w:color w:val="auto"/>
        </w:rPr>
        <w:t>. If the Lenders shall so request, the Borrowers shall provide the Lenders with copies of all internally generated inspection or survey reports on the Vessels;</w:t>
      </w:r>
    </w:p>
    <w:p>
      <w:pPr>
        <w:spacing w:after="0" w:line="174" w:lineRule="exact"/>
        <w:rPr>
          <w:rFonts w:ascii="Arial" w:cs="Arial" w:eastAsia="Arial" w:hAnsi="Arial"/>
          <w:sz w:val="22"/>
          <w:szCs w:val="22"/>
          <w:color w:val="auto"/>
        </w:rPr>
      </w:pPr>
    </w:p>
    <w:p>
      <w:pPr>
        <w:ind w:right="280" w:firstLine="1569"/>
        <w:spacing w:after="0" w:line="282" w:lineRule="auto"/>
        <w:tabs>
          <w:tab w:leader="none" w:pos="2410"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Compliance with Statutes, Agreements, etc</w:t>
      </w:r>
      <w:r>
        <w:rPr>
          <w:rFonts w:ascii="Arial" w:cs="Arial" w:eastAsia="Arial" w:hAnsi="Arial"/>
          <w:sz w:val="19"/>
          <w:szCs w:val="19"/>
          <w:color w:val="auto"/>
        </w:rPr>
        <w:t>. Do or cause to be done all things (including, but not limited to, obtaining all consents) necessary to comply with all material contracts or agreements to which any of the Security Parties is a party, and all material laws, and the rules and regulations thereunder, applicable to such Security Party, including, without limitation, those laws, rules and regulations relating to employee benefit plans and environmental matters except where failure to do so would not alone or in the aggregate be reasonably likely to have a Material Adverse Effect;</w:t>
      </w:r>
    </w:p>
    <w:p>
      <w:pPr>
        <w:spacing w:after="0" w:line="66" w:lineRule="exact"/>
        <w:rPr>
          <w:rFonts w:ascii="Arial" w:cs="Arial" w:eastAsia="Arial" w:hAnsi="Arial"/>
          <w:sz w:val="19"/>
          <w:szCs w:val="19"/>
          <w:color w:val="auto"/>
        </w:rPr>
      </w:pPr>
    </w:p>
    <w:p>
      <w:pPr>
        <w:ind w:right="40" w:firstLine="1569"/>
        <w:spacing w:after="0" w:line="244" w:lineRule="auto"/>
        <w:tabs>
          <w:tab w:leader="none" w:pos="2518" w:val="left"/>
        </w:tabs>
        <w:numPr>
          <w:ilvl w:val="0"/>
          <w:numId w:val="158"/>
        </w:numPr>
        <w:rPr>
          <w:rFonts w:ascii="Arial" w:cs="Arial" w:eastAsia="Arial" w:hAnsi="Arial"/>
          <w:sz w:val="21"/>
          <w:szCs w:val="21"/>
          <w:color w:val="auto"/>
        </w:rPr>
      </w:pPr>
      <w:r>
        <w:rPr>
          <w:rFonts w:ascii="Arial" w:cs="Arial" w:eastAsia="Arial" w:hAnsi="Arial"/>
          <w:sz w:val="21"/>
          <w:szCs w:val="21"/>
          <w:u w:val="single" w:color="auto"/>
          <w:color w:val="auto"/>
        </w:rPr>
        <w:t>Environmental Matters</w:t>
      </w:r>
      <w:r>
        <w:rPr>
          <w:rFonts w:ascii="Arial" w:cs="Arial" w:eastAsia="Arial" w:hAnsi="Arial"/>
          <w:sz w:val="21"/>
          <w:szCs w:val="21"/>
          <w:color w:val="auto"/>
        </w:rPr>
        <w:t>. Promptly upon the occurrence of any of the following conditions, provide to the Administrative Agent a certificate of a chief executive officer of the Holding Company, specifying in detail the nature of such condition and its proposed response or the proposed response of any Environmental Affiliate: (a) its receipt or the receipt by any Environmental Affiliate of any written communication whatsoever that alleges that such Person is not in compliance with any applicable Environmental Law or Environmental Approval, if such noncompliance could reasonably be expected to have a Material Adverse Effect, (b) knowledge by it or any Environmental Affiliate that there exists any Environmental Claim pending or threatened against any such Person, which could reasonably be expected to have a Material Adverse Effect, or (c) any release, emission, discharge or disposal of any material that could form the basis of any Environmental Claim against it or against any Environmental Affiliate, if such Environmental Claim could reasonably be expected to have a Material Adverse Effect. Upon the written request by the Administrative Agent, the Borrowers will submit to the Administrative Agent at reasonable intervals, a report providing an update of the status of any issue or claim identified in any notice or certificate required pursuant to this subsection;</w:t>
      </w:r>
    </w:p>
    <w:p>
      <w:pPr>
        <w:spacing w:after="0" w:line="185" w:lineRule="exact"/>
        <w:rPr>
          <w:rFonts w:ascii="Arial" w:cs="Arial" w:eastAsia="Arial" w:hAnsi="Arial"/>
          <w:sz w:val="21"/>
          <w:szCs w:val="21"/>
          <w:color w:val="auto"/>
        </w:rPr>
      </w:pPr>
    </w:p>
    <w:p>
      <w:pPr>
        <w:ind w:right="340" w:firstLine="1569"/>
        <w:spacing w:after="0" w:line="257" w:lineRule="auto"/>
        <w:tabs>
          <w:tab w:leader="none" w:pos="2458" w:val="left"/>
        </w:tabs>
        <w:numPr>
          <w:ilvl w:val="0"/>
          <w:numId w:val="158"/>
        </w:numPr>
        <w:rPr>
          <w:rFonts w:ascii="Arial" w:cs="Arial" w:eastAsia="Arial" w:hAnsi="Arial"/>
          <w:sz w:val="21"/>
          <w:szCs w:val="21"/>
          <w:color w:val="auto"/>
        </w:rPr>
      </w:pPr>
      <w:r>
        <w:rPr>
          <w:rFonts w:ascii="Arial" w:cs="Arial" w:eastAsia="Arial" w:hAnsi="Arial"/>
          <w:sz w:val="21"/>
          <w:szCs w:val="21"/>
          <w:u w:val="single" w:color="auto"/>
          <w:color w:val="auto"/>
        </w:rPr>
        <w:t>Insurance</w:t>
      </w:r>
      <w:r>
        <w:rPr>
          <w:rFonts w:ascii="Arial" w:cs="Arial" w:eastAsia="Arial" w:hAnsi="Arial"/>
          <w:sz w:val="21"/>
          <w:szCs w:val="21"/>
          <w:color w:val="auto"/>
        </w:rPr>
        <w:t>. Maintain with financially sound and reputable insurance companies insurance on all its properties and against all such risks and in at least such amounts and with such deductibles as are usually insured against by companies of established reputation engaged in the same or similar business from time to time;</w:t>
      </w:r>
    </w:p>
    <w:p>
      <w:pPr>
        <w:spacing w:after="0" w:line="169" w:lineRule="exact"/>
        <w:rPr>
          <w:rFonts w:ascii="Arial" w:cs="Arial" w:eastAsia="Arial" w:hAnsi="Arial"/>
          <w:sz w:val="21"/>
          <w:szCs w:val="21"/>
          <w:color w:val="auto"/>
        </w:rPr>
      </w:pPr>
    </w:p>
    <w:p>
      <w:pPr>
        <w:ind w:right="720" w:firstLine="1569"/>
        <w:spacing w:after="0" w:line="328" w:lineRule="auto"/>
        <w:tabs>
          <w:tab w:leader="none" w:pos="2458"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Vessel Management</w:t>
      </w:r>
      <w:r>
        <w:rPr>
          <w:rFonts w:ascii="Arial" w:cs="Arial" w:eastAsia="Arial" w:hAnsi="Arial"/>
          <w:sz w:val="19"/>
          <w:szCs w:val="19"/>
          <w:color w:val="auto"/>
        </w:rPr>
        <w:t>. Upon the delivery of each of the Vessels, cause each of the Vessels to be managed both commercially and technically by an Approved Manager in accordance with shipping industry standards;</w:t>
      </w:r>
    </w:p>
    <w:p>
      <w:pPr>
        <w:spacing w:after="0" w:line="104" w:lineRule="exact"/>
        <w:rPr>
          <w:rFonts w:ascii="Arial" w:cs="Arial" w:eastAsia="Arial" w:hAnsi="Arial"/>
          <w:sz w:val="19"/>
          <w:szCs w:val="19"/>
          <w:color w:val="auto"/>
        </w:rPr>
      </w:pPr>
    </w:p>
    <w:p>
      <w:pPr>
        <w:ind w:right="60" w:firstLine="1569"/>
        <w:spacing w:after="0" w:line="328" w:lineRule="auto"/>
        <w:tabs>
          <w:tab w:leader="none" w:pos="2458"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Brokerage Commissions, etc</w:t>
      </w:r>
      <w:r>
        <w:rPr>
          <w:rFonts w:ascii="Arial" w:cs="Arial" w:eastAsia="Arial" w:hAnsi="Arial"/>
          <w:sz w:val="19"/>
          <w:szCs w:val="19"/>
          <w:color w:val="auto"/>
        </w:rPr>
        <w:t>. Indemnify and hold each of the Creditors harmless from any claim for any brokerage commission, fee or compensation from any broker or third party resulting from the transactions contemplated hereby;</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185" w:name="page186"/>
    <w:bookmarkEnd w:id="185"/>
    <w:p>
      <w:pPr>
        <w:ind w:left="-8" w:right="40" w:firstLine="1569"/>
        <w:spacing w:after="0" w:line="275" w:lineRule="auto"/>
        <w:tabs>
          <w:tab w:leader="none" w:pos="2450" w:val="left"/>
        </w:tabs>
        <w:numPr>
          <w:ilvl w:val="1"/>
          <w:numId w:val="159"/>
        </w:numPr>
        <w:rPr>
          <w:rFonts w:ascii="Arial" w:cs="Arial" w:eastAsia="Arial" w:hAnsi="Arial"/>
          <w:sz w:val="19"/>
          <w:szCs w:val="19"/>
          <w:color w:val="auto"/>
        </w:rPr>
      </w:pPr>
      <w:r>
        <w:rPr>
          <w:rFonts w:ascii="Arial" w:cs="Arial" w:eastAsia="Arial" w:hAnsi="Arial"/>
          <w:sz w:val="19"/>
          <w:szCs w:val="19"/>
          <w:u w:val="single" w:color="auto"/>
          <w:color w:val="auto"/>
        </w:rPr>
        <w:t>ISM Code, ISPS Code, Annex VI and MTSA Matters</w:t>
      </w:r>
      <w:r>
        <w:rPr>
          <w:rFonts w:ascii="Arial" w:cs="Arial" w:eastAsia="Arial" w:hAnsi="Arial"/>
          <w:sz w:val="19"/>
          <w:szCs w:val="19"/>
          <w:color w:val="auto"/>
        </w:rPr>
        <w:t>. Upon the delivery of each of the Vessels, (i) procure that the Approved Manager is and shall at all times remain the Operator thereof, (ii) procure that the Operator will comply with and ensure that each of the Vessels will comply with the requirements of the ISM Code, ISPS Code, Annex VI and MTSA in accordance with the implementation schedules thereof, including (but not limited to) the maintenance and renewal of valid certificates, and when required, security plans, pursuant thereto throughout the term of the Facility; and (iii) procure that the Operator will immediately inform the Administrative Agent if there is any threatened or actual withdrawal of its DOC, SMC, ISSC or IAPPC in respect of any Vessel; and (iv) procure that the Operator will promptly inform the Administrative Agent upon the issuance to the Borrowers or Operator of a DOC and to any of the Vessels of an SMC, ISSC or IAPPC;</w:t>
      </w:r>
    </w:p>
    <w:p>
      <w:pPr>
        <w:spacing w:after="0" w:line="157" w:lineRule="exact"/>
        <w:rPr>
          <w:rFonts w:ascii="Arial" w:cs="Arial" w:eastAsia="Arial" w:hAnsi="Arial"/>
          <w:sz w:val="19"/>
          <w:szCs w:val="19"/>
          <w:color w:val="auto"/>
        </w:rPr>
      </w:pPr>
    </w:p>
    <w:p>
      <w:pPr>
        <w:ind w:left="-8" w:right="20" w:firstLine="1569"/>
        <w:spacing w:after="0" w:line="273" w:lineRule="auto"/>
        <w:tabs>
          <w:tab w:leader="none" w:pos="2414" w:val="left"/>
        </w:tabs>
        <w:numPr>
          <w:ilvl w:val="1"/>
          <w:numId w:val="159"/>
        </w:numPr>
        <w:rPr>
          <w:rFonts w:ascii="Arial" w:cs="Arial" w:eastAsia="Arial" w:hAnsi="Arial"/>
          <w:sz w:val="19"/>
          <w:szCs w:val="19"/>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Forthwith upon learning of the existence or occurrence of (i) any ERISA Termination Event or Foreign Termination Event that, when taken together with all other ERISA Termination Events and Foreign Termination Events that exist or have occurred, or which could reasonably be expected to exist or occur, could reasonably be expected to result in liability to the Security Parties and ERISA Affiliates in the aggregate in excess of $300,000, (ii) any ERISA Funding Event, ERISA Termination Event or Foreign Termination Event that, when taken together with all other ERISA Funding Events, ERISA Termination Events and Foreign Termination Events that exist or have occurred, or which could reasonably be expected to exist or occur, could reasonably be expected to result in liability to the Security Parties and ERISA Affiliates in the aggregate in excess of $500,000, or (iii) any ERISA Funding Event, ERISA Termination Event, Foreign Termination Event or Foreign Underfunding that, when taken together with all other ERISA Funding Events, ERISA Termination Events, Foreign Termination Events and Foreign Underfundings that exist or have occurred, or which could reasonably be expected to exist or occur, could reasonably be expected to result in a Material Adverse Effect, furnish or cause to be furnished to the Administrative Agent written notice thereof;</w:t>
      </w:r>
    </w:p>
    <w:p>
      <w:pPr>
        <w:spacing w:after="0" w:line="155" w:lineRule="exact"/>
        <w:rPr>
          <w:rFonts w:ascii="Arial" w:cs="Arial" w:eastAsia="Arial" w:hAnsi="Arial"/>
          <w:sz w:val="19"/>
          <w:szCs w:val="19"/>
          <w:color w:val="auto"/>
        </w:rPr>
      </w:pPr>
    </w:p>
    <w:p>
      <w:pPr>
        <w:ind w:left="-8" w:right="360" w:firstLine="1569"/>
        <w:spacing w:after="0" w:line="274" w:lineRule="auto"/>
        <w:tabs>
          <w:tab w:leader="none" w:pos="2426" w:val="left"/>
        </w:tabs>
        <w:numPr>
          <w:ilvl w:val="1"/>
          <w:numId w:val="159"/>
        </w:numPr>
        <w:rPr>
          <w:rFonts w:ascii="Arial" w:cs="Arial" w:eastAsia="Arial" w:hAnsi="Arial"/>
          <w:sz w:val="21"/>
          <w:szCs w:val="21"/>
          <w:color w:val="auto"/>
        </w:rPr>
      </w:pPr>
      <w:r>
        <w:rPr>
          <w:rFonts w:ascii="Arial" w:cs="Arial" w:eastAsia="Arial" w:hAnsi="Arial"/>
          <w:sz w:val="21"/>
          <w:szCs w:val="21"/>
          <w:u w:val="single" w:color="auto"/>
          <w:color w:val="auto"/>
        </w:rPr>
        <w:t>Evidence of Current COFR</w:t>
      </w:r>
      <w:r>
        <w:rPr>
          <w:rFonts w:ascii="Arial" w:cs="Arial" w:eastAsia="Arial" w:hAnsi="Arial"/>
          <w:sz w:val="21"/>
          <w:szCs w:val="21"/>
          <w:color w:val="auto"/>
        </w:rPr>
        <w:t>. If the Lenders shall so request, provide the Lenders with copies of the current Certificate of Financial Responsibility pursuant to the Oil Pollution Act 1990 for any Vessel;</w:t>
      </w:r>
    </w:p>
    <w:p>
      <w:pPr>
        <w:spacing w:after="0" w:line="150" w:lineRule="exact"/>
        <w:rPr>
          <w:rFonts w:ascii="Arial" w:cs="Arial" w:eastAsia="Arial" w:hAnsi="Arial"/>
          <w:sz w:val="21"/>
          <w:szCs w:val="21"/>
          <w:color w:val="auto"/>
        </w:rPr>
      </w:pPr>
    </w:p>
    <w:p>
      <w:pPr>
        <w:ind w:left="-8" w:right="20" w:firstLine="1569"/>
        <w:spacing w:after="0" w:line="276" w:lineRule="auto"/>
        <w:tabs>
          <w:tab w:leader="none" w:pos="2402" w:val="left"/>
        </w:tabs>
        <w:numPr>
          <w:ilvl w:val="1"/>
          <w:numId w:val="159"/>
        </w:numPr>
        <w:rPr>
          <w:rFonts w:ascii="Arial" w:cs="Arial" w:eastAsia="Arial" w:hAnsi="Arial"/>
          <w:sz w:val="19"/>
          <w:szCs w:val="19"/>
          <w:color w:val="auto"/>
        </w:rPr>
      </w:pPr>
      <w:r>
        <w:rPr>
          <w:rFonts w:ascii="Arial" w:cs="Arial" w:eastAsia="Arial" w:hAnsi="Arial"/>
          <w:sz w:val="19"/>
          <w:szCs w:val="19"/>
          <w:u w:val="single" w:color="auto"/>
          <w:color w:val="auto"/>
        </w:rPr>
        <w:t>Change of Ownership; Change of Control</w:t>
      </w:r>
      <w:r>
        <w:rPr>
          <w:rFonts w:ascii="Arial" w:cs="Arial" w:eastAsia="Arial" w:hAnsi="Arial"/>
          <w:sz w:val="19"/>
          <w:szCs w:val="19"/>
          <w:color w:val="auto"/>
        </w:rPr>
        <w:t>. Ensure that (i) SEACOR Marine LLC continues as the sole member and manager of the Holding Company and is solely responsible for the management decisions of the Holding Company,</w:t>
      </w:r>
    </w:p>
    <w:p>
      <w:pPr>
        <w:spacing w:after="0" w:line="1" w:lineRule="exact"/>
        <w:rPr>
          <w:rFonts w:ascii="Arial" w:cs="Arial" w:eastAsia="Arial" w:hAnsi="Arial"/>
          <w:sz w:val="19"/>
          <w:szCs w:val="19"/>
          <w:color w:val="auto"/>
        </w:rPr>
      </w:pPr>
    </w:p>
    <w:p>
      <w:pPr>
        <w:ind w:left="-8" w:right="80" w:firstLine="8"/>
        <w:spacing w:after="0" w:line="233" w:lineRule="auto"/>
        <w:tabs>
          <w:tab w:leader="none" w:pos="305"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Guarantor continues to hold directly or indirectly no less than 66 2/3% beneficial ownership of the Holding Company, (iii) the Holding Company continues as the sole owner of the capital stock or other equity interest of any Borrower (other than the Holding Company); (iv) the Approved Manager is a wholly-owned (directly or indirectly) subsidiary of the Guarantor and (v) no SEACOR Marine Change of Control shall occur;</w:t>
      </w:r>
    </w:p>
    <w:p>
      <w:pPr>
        <w:spacing w:after="0" w:line="187" w:lineRule="exact"/>
        <w:rPr>
          <w:rFonts w:ascii="Arial" w:cs="Arial" w:eastAsia="Arial" w:hAnsi="Arial"/>
          <w:sz w:val="22"/>
          <w:szCs w:val="22"/>
          <w:color w:val="auto"/>
        </w:rPr>
      </w:pPr>
    </w:p>
    <w:p>
      <w:pPr>
        <w:ind w:left="-8" w:firstLine="1569"/>
        <w:spacing w:after="0" w:line="250" w:lineRule="auto"/>
        <w:tabs>
          <w:tab w:leader="none" w:pos="2450" w:val="left"/>
        </w:tabs>
        <w:numPr>
          <w:ilvl w:val="1"/>
          <w:numId w:val="160"/>
        </w:numPr>
        <w:rPr>
          <w:rFonts w:ascii="Arial" w:cs="Arial" w:eastAsia="Arial" w:hAnsi="Arial"/>
          <w:sz w:val="22"/>
          <w:szCs w:val="22"/>
          <w:color w:val="auto"/>
        </w:rPr>
      </w:pPr>
      <w:r>
        <w:rPr>
          <w:rFonts w:ascii="Arial" w:cs="Arial" w:eastAsia="Arial" w:hAnsi="Arial"/>
          <w:sz w:val="22"/>
          <w:szCs w:val="22"/>
          <w:u w:val="single" w:color="auto"/>
          <w:color w:val="auto"/>
        </w:rPr>
        <w:t>Maintenance of Properties</w:t>
      </w:r>
      <w:r>
        <w:rPr>
          <w:rFonts w:ascii="Arial" w:cs="Arial" w:eastAsia="Arial" w:hAnsi="Arial"/>
          <w:sz w:val="22"/>
          <w:szCs w:val="22"/>
          <w:color w:val="auto"/>
        </w:rPr>
        <w:t>. Keep all material property necessary in its business in good working order and condition (loss or damage by casualty or condemnation excepted);</w:t>
      </w:r>
    </w:p>
    <w:p>
      <w:pPr>
        <w:spacing w:after="0" w:line="174" w:lineRule="exact"/>
        <w:rPr>
          <w:rFonts w:ascii="Arial" w:cs="Arial" w:eastAsia="Arial" w:hAnsi="Arial"/>
          <w:sz w:val="22"/>
          <w:szCs w:val="22"/>
          <w:color w:val="auto"/>
        </w:rPr>
      </w:pPr>
    </w:p>
    <w:p>
      <w:pPr>
        <w:jc w:val="both"/>
        <w:ind w:left="-8" w:right="100" w:firstLine="1569"/>
        <w:spacing w:after="0" w:line="297" w:lineRule="auto"/>
        <w:tabs>
          <w:tab w:leader="none" w:pos="2450" w:val="left"/>
        </w:tabs>
        <w:numPr>
          <w:ilvl w:val="1"/>
          <w:numId w:val="160"/>
        </w:numPr>
        <w:rPr>
          <w:rFonts w:ascii="Arial" w:cs="Arial" w:eastAsia="Arial" w:hAnsi="Arial"/>
          <w:sz w:val="19"/>
          <w:szCs w:val="19"/>
          <w:color w:val="auto"/>
        </w:rPr>
      </w:pPr>
      <w:r>
        <w:rPr>
          <w:rFonts w:ascii="Arial" w:cs="Arial" w:eastAsia="Arial" w:hAnsi="Arial"/>
          <w:sz w:val="19"/>
          <w:szCs w:val="19"/>
          <w:u w:val="single" w:color="auto"/>
          <w:color w:val="auto"/>
        </w:rPr>
        <w:t>Know Your Customer Requirements</w:t>
      </w:r>
      <w:r>
        <w:rPr>
          <w:rFonts w:ascii="Arial" w:cs="Arial" w:eastAsia="Arial" w:hAnsi="Arial"/>
          <w:sz w:val="19"/>
          <w:szCs w:val="19"/>
          <w:color w:val="auto"/>
        </w:rPr>
        <w:t>. Provide all documentation (including documentation requested by the Lenders or any prospective Lenders subsequent to the date hereof) to the satisfaction of the Lenders or prospective Lenders (as the case may be) in connection with their know your customer requirements, including but not limited to:</w:t>
      </w:r>
    </w:p>
    <w:p>
      <w:pPr>
        <w:spacing w:after="0" w:line="381"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203200</wp:posOffset>
            </wp:positionV>
            <wp:extent cx="71748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92"/>
          </w:cols>
          <w:pgMar w:left="328" w:top="577" w:right="379" w:bottom="1440" w:gutter="0" w:footer="0" w:header="0"/>
        </w:sectPr>
      </w:pPr>
    </w:p>
    <w:bookmarkStart w:id="186" w:name="page187"/>
    <w:bookmarkEnd w:id="186"/>
    <w:p>
      <w:pPr>
        <w:ind w:left="3120" w:right="100" w:hanging="777"/>
        <w:spacing w:after="0" w:line="328" w:lineRule="auto"/>
        <w:tabs>
          <w:tab w:leader="none" w:pos="3120" w:val="left"/>
        </w:tabs>
        <w:numPr>
          <w:ilvl w:val="1"/>
          <w:numId w:val="161"/>
        </w:numPr>
        <w:rPr>
          <w:rFonts w:ascii="Arial" w:cs="Arial" w:eastAsia="Arial" w:hAnsi="Arial"/>
          <w:sz w:val="19"/>
          <w:szCs w:val="19"/>
          <w:color w:val="auto"/>
        </w:rPr>
      </w:pPr>
      <w:r>
        <w:rPr>
          <w:rFonts w:ascii="Arial" w:cs="Arial" w:eastAsia="Arial" w:hAnsi="Arial"/>
          <w:sz w:val="19"/>
          <w:szCs w:val="19"/>
          <w:color w:val="auto"/>
        </w:rPr>
        <w:t>completed bank account opening mandates with telephone and fax indemnities to include the list of the all account holders’ authorized signatories and specimens of their signatures;</w:t>
      </w:r>
    </w:p>
    <w:p>
      <w:pPr>
        <w:spacing w:after="0" w:line="104" w:lineRule="exact"/>
        <w:rPr>
          <w:rFonts w:ascii="Arial" w:cs="Arial" w:eastAsia="Arial" w:hAnsi="Arial"/>
          <w:sz w:val="19"/>
          <w:szCs w:val="19"/>
          <w:color w:val="auto"/>
        </w:rPr>
      </w:pPr>
    </w:p>
    <w:p>
      <w:pPr>
        <w:ind w:left="3120" w:hanging="777"/>
        <w:spacing w:after="0"/>
        <w:tabs>
          <w:tab w:leader="none" w:pos="3120" w:val="left"/>
        </w:tabs>
        <w:numPr>
          <w:ilvl w:val="1"/>
          <w:numId w:val="161"/>
        </w:numPr>
        <w:rPr>
          <w:rFonts w:ascii="Arial" w:cs="Arial" w:eastAsia="Arial" w:hAnsi="Arial"/>
          <w:sz w:val="19"/>
          <w:szCs w:val="19"/>
          <w:color w:val="auto"/>
        </w:rPr>
      </w:pPr>
      <w:r>
        <w:rPr>
          <w:rFonts w:ascii="Arial" w:cs="Arial" w:eastAsia="Arial" w:hAnsi="Arial"/>
          <w:sz w:val="19"/>
          <w:szCs w:val="19"/>
          <w:color w:val="auto"/>
        </w:rPr>
        <w:t>certified list of directors, including titles, business and residential addresses and dates of birth;</w:t>
      </w:r>
    </w:p>
    <w:p>
      <w:pPr>
        <w:spacing w:after="0" w:line="240" w:lineRule="exact"/>
        <w:rPr>
          <w:rFonts w:ascii="Arial" w:cs="Arial" w:eastAsia="Arial" w:hAnsi="Arial"/>
          <w:sz w:val="19"/>
          <w:szCs w:val="19"/>
          <w:color w:val="auto"/>
        </w:rPr>
      </w:pPr>
    </w:p>
    <w:p>
      <w:pPr>
        <w:ind w:left="3120" w:right="400" w:hanging="777"/>
        <w:spacing w:after="0" w:line="328" w:lineRule="auto"/>
        <w:tabs>
          <w:tab w:leader="none" w:pos="3120" w:val="left"/>
        </w:tabs>
        <w:numPr>
          <w:ilvl w:val="1"/>
          <w:numId w:val="161"/>
        </w:numPr>
        <w:rPr>
          <w:rFonts w:ascii="Arial" w:cs="Arial" w:eastAsia="Arial" w:hAnsi="Arial"/>
          <w:sz w:val="19"/>
          <w:szCs w:val="19"/>
          <w:color w:val="auto"/>
        </w:rPr>
      </w:pPr>
      <w:r>
        <w:rPr>
          <w:rFonts w:ascii="Arial" w:cs="Arial" w:eastAsia="Arial" w:hAnsi="Arial"/>
          <w:sz w:val="19"/>
          <w:szCs w:val="19"/>
          <w:color w:val="auto"/>
        </w:rPr>
        <w:t>certified true copy of photo identification (i.e. passport or driving license) and evidence of residential address (i.e. utility bill or bank statement) for all authorized signatories;</w:t>
      </w:r>
    </w:p>
    <w:p>
      <w:pPr>
        <w:spacing w:after="0" w:line="104" w:lineRule="exact"/>
        <w:rPr>
          <w:rFonts w:ascii="Arial" w:cs="Arial" w:eastAsia="Arial" w:hAnsi="Arial"/>
          <w:sz w:val="19"/>
          <w:szCs w:val="19"/>
          <w:color w:val="auto"/>
        </w:rPr>
      </w:pPr>
    </w:p>
    <w:p>
      <w:pPr>
        <w:ind w:left="3120" w:hanging="777"/>
        <w:spacing w:after="0"/>
        <w:tabs>
          <w:tab w:leader="none" w:pos="3120" w:val="left"/>
        </w:tabs>
        <w:numPr>
          <w:ilvl w:val="1"/>
          <w:numId w:val="161"/>
        </w:numPr>
        <w:rPr>
          <w:rFonts w:ascii="Arial" w:cs="Arial" w:eastAsia="Arial" w:hAnsi="Arial"/>
          <w:sz w:val="22"/>
          <w:szCs w:val="22"/>
          <w:color w:val="auto"/>
        </w:rPr>
      </w:pPr>
      <w:r>
        <w:rPr>
          <w:rFonts w:ascii="Arial" w:cs="Arial" w:eastAsia="Arial" w:hAnsi="Arial"/>
          <w:sz w:val="22"/>
          <w:szCs w:val="22"/>
          <w:color w:val="auto"/>
        </w:rPr>
        <w:t>completed form 4-329 for each account signatory;</w:t>
      </w:r>
    </w:p>
    <w:p>
      <w:pPr>
        <w:spacing w:after="0" w:line="206" w:lineRule="exact"/>
        <w:rPr>
          <w:rFonts w:ascii="Arial" w:cs="Arial" w:eastAsia="Arial" w:hAnsi="Arial"/>
          <w:sz w:val="22"/>
          <w:szCs w:val="22"/>
          <w:color w:val="auto"/>
        </w:rPr>
      </w:pPr>
    </w:p>
    <w:p>
      <w:pPr>
        <w:ind w:left="3120" w:right="300" w:hanging="777"/>
        <w:spacing w:after="0" w:line="250" w:lineRule="auto"/>
        <w:tabs>
          <w:tab w:leader="none" w:pos="3120" w:val="left"/>
        </w:tabs>
        <w:numPr>
          <w:ilvl w:val="1"/>
          <w:numId w:val="161"/>
        </w:numPr>
        <w:rPr>
          <w:rFonts w:ascii="Arial" w:cs="Arial" w:eastAsia="Arial" w:hAnsi="Arial"/>
          <w:sz w:val="22"/>
          <w:szCs w:val="22"/>
          <w:color w:val="auto"/>
        </w:rPr>
      </w:pPr>
      <w:r>
        <w:rPr>
          <w:rFonts w:ascii="Arial" w:cs="Arial" w:eastAsia="Arial" w:hAnsi="Arial"/>
          <w:sz w:val="22"/>
          <w:szCs w:val="22"/>
          <w:color w:val="auto"/>
        </w:rPr>
        <w:t>with respect to each Borrower, certificate of ultimate beneficial ownership, certified by the respective secretary or assistant secretary of such entity; and</w:t>
      </w:r>
    </w:p>
    <w:p>
      <w:pPr>
        <w:spacing w:after="0" w:line="174" w:lineRule="exact"/>
        <w:rPr>
          <w:rFonts w:ascii="Arial" w:cs="Arial" w:eastAsia="Arial" w:hAnsi="Arial"/>
          <w:sz w:val="22"/>
          <w:szCs w:val="22"/>
          <w:color w:val="auto"/>
        </w:rPr>
      </w:pPr>
    </w:p>
    <w:p>
      <w:pPr>
        <w:ind w:left="3120" w:hanging="777"/>
        <w:spacing w:after="0"/>
        <w:tabs>
          <w:tab w:leader="none" w:pos="3120" w:val="left"/>
        </w:tabs>
        <w:numPr>
          <w:ilvl w:val="1"/>
          <w:numId w:val="161"/>
        </w:numPr>
        <w:rPr>
          <w:rFonts w:ascii="Arial" w:cs="Arial" w:eastAsia="Arial" w:hAnsi="Arial"/>
          <w:sz w:val="22"/>
          <w:szCs w:val="22"/>
          <w:color w:val="auto"/>
        </w:rPr>
      </w:pPr>
      <w:r>
        <w:rPr>
          <w:rFonts w:ascii="Arial" w:cs="Arial" w:eastAsia="Arial" w:hAnsi="Arial"/>
          <w:sz w:val="22"/>
          <w:szCs w:val="22"/>
          <w:color w:val="auto"/>
        </w:rPr>
        <w:t>non-resident declaration forms, if applicable;</w:t>
      </w:r>
    </w:p>
    <w:p>
      <w:pPr>
        <w:spacing w:after="0" w:line="206" w:lineRule="exact"/>
        <w:rPr>
          <w:rFonts w:ascii="Arial" w:cs="Arial" w:eastAsia="Arial" w:hAnsi="Arial"/>
          <w:sz w:val="22"/>
          <w:szCs w:val="22"/>
          <w:color w:val="auto"/>
        </w:rPr>
      </w:pPr>
    </w:p>
    <w:p>
      <w:pPr>
        <w:ind w:left="2520" w:hanging="951"/>
        <w:spacing w:after="0"/>
        <w:tabs>
          <w:tab w:leader="none" w:pos="2520"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440" w:firstLine="1569"/>
        <w:spacing w:after="0" w:line="274" w:lineRule="auto"/>
        <w:tabs>
          <w:tab w:leader="none" w:pos="2458" w:val="left"/>
        </w:tabs>
        <w:numPr>
          <w:ilvl w:val="0"/>
          <w:numId w:val="162"/>
        </w:numPr>
        <w:rPr>
          <w:rFonts w:ascii="Arial" w:cs="Arial" w:eastAsia="Arial" w:hAnsi="Arial"/>
          <w:sz w:val="21"/>
          <w:szCs w:val="21"/>
          <w:color w:val="auto"/>
        </w:rPr>
      </w:pPr>
      <w:r>
        <w:rPr>
          <w:rFonts w:ascii="Arial" w:cs="Arial" w:eastAsia="Arial" w:hAnsi="Arial"/>
          <w:sz w:val="21"/>
          <w:szCs w:val="21"/>
          <w:u w:val="single" w:color="auto"/>
          <w:color w:val="auto"/>
        </w:rPr>
        <w:t>Sanctions and Anti-Money Laundering Laws</w:t>
      </w:r>
      <w:r>
        <w:rPr>
          <w:rFonts w:ascii="Arial" w:cs="Arial" w:eastAsia="Arial" w:hAnsi="Arial"/>
          <w:sz w:val="21"/>
          <w:szCs w:val="21"/>
          <w:color w:val="auto"/>
        </w:rPr>
        <w:t>. Remain, and ensure that each Affiliate and Related Party thereof shall remain, in compliance with all Sanctions Laws and all Anti-Money Laundering Laws;</w:t>
      </w:r>
    </w:p>
    <w:p>
      <w:pPr>
        <w:spacing w:after="0" w:line="150" w:lineRule="exact"/>
        <w:rPr>
          <w:rFonts w:ascii="Arial" w:cs="Arial" w:eastAsia="Arial" w:hAnsi="Arial"/>
          <w:sz w:val="21"/>
          <w:szCs w:val="21"/>
          <w:color w:val="auto"/>
        </w:rPr>
      </w:pPr>
    </w:p>
    <w:p>
      <w:pPr>
        <w:ind w:left="2460" w:hanging="891"/>
        <w:spacing w:after="0"/>
        <w:tabs>
          <w:tab w:leader="none" w:pos="2460"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80" w:firstLine="1569"/>
        <w:spacing w:after="0" w:line="249" w:lineRule="auto"/>
        <w:tabs>
          <w:tab w:leader="none" w:pos="2446" w:val="left"/>
        </w:tabs>
        <w:numPr>
          <w:ilvl w:val="0"/>
          <w:numId w:val="162"/>
        </w:numPr>
        <w:rPr>
          <w:rFonts w:ascii="Arial" w:cs="Arial" w:eastAsia="Arial" w:hAnsi="Arial"/>
          <w:sz w:val="21"/>
          <w:szCs w:val="21"/>
          <w:color w:val="auto"/>
        </w:rPr>
      </w:pPr>
      <w:r>
        <w:rPr>
          <w:rFonts w:ascii="Arial" w:cs="Arial" w:eastAsia="Arial" w:hAnsi="Arial"/>
          <w:sz w:val="21"/>
          <w:szCs w:val="21"/>
          <w:u w:val="single" w:color="auto"/>
          <w:color w:val="auto"/>
        </w:rPr>
        <w:t>Beneficial Ownership</w:t>
      </w:r>
      <w:r>
        <w:rPr>
          <w:rFonts w:ascii="Arial" w:cs="Arial" w:eastAsia="Arial" w:hAnsi="Arial"/>
          <w:sz w:val="21"/>
          <w:szCs w:val="21"/>
          <w:color w:val="auto"/>
        </w:rPr>
        <w:t>. Promptly upon request by the Administrative Agent or any Lender, (i) all documentation and other information required by regulatory authorities under applicable “know your customer” and anti-money laundering rules and regulations, including the Patriot Act, and (ii) information and documentation reasonably requested by the Administrative Agent or any Lender for purposes of compliance with applicable anti-money laundering rules and regulations, including the Patriot Act and the Beneficial Ownership Regulation.</w:t>
      </w:r>
    </w:p>
    <w:p>
      <w:pPr>
        <w:spacing w:after="0" w:line="178" w:lineRule="exact"/>
        <w:rPr>
          <w:sz w:val="20"/>
          <w:szCs w:val="20"/>
          <w:color w:val="auto"/>
        </w:rPr>
      </w:pPr>
    </w:p>
    <w:p>
      <w:pPr>
        <w:ind w:firstLine="780"/>
        <w:spacing w:after="0" w:line="238"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Negative Covenants</w:t>
      </w:r>
      <w:r>
        <w:rPr>
          <w:rFonts w:ascii="Arial" w:cs="Arial" w:eastAsia="Arial" w:hAnsi="Arial"/>
          <w:sz w:val="22"/>
          <w:szCs w:val="22"/>
          <w:color w:val="auto"/>
        </w:rPr>
        <w:t>. Each of the Security Parties hereby covenants and undertakes with the Lenders that, from the date hereof and so long as any principal, interest or other moneys are owing in respect of this Agreement, the Notes or any other Transaction Documents, it will not, without the prior written consent of the Majority Lenders (or all of the Lenders if required pursuant to Section 15.8):</w:t>
      </w:r>
    </w:p>
    <w:p>
      <w:pPr>
        <w:spacing w:after="0" w:line="185" w:lineRule="exact"/>
        <w:rPr>
          <w:sz w:val="20"/>
          <w:szCs w:val="20"/>
          <w:color w:val="auto"/>
        </w:rPr>
      </w:pPr>
    </w:p>
    <w:p>
      <w:pPr>
        <w:ind w:right="420" w:firstLine="1569"/>
        <w:spacing w:after="0" w:line="328" w:lineRule="auto"/>
        <w:tabs>
          <w:tab w:leader="none" w:pos="2446"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Liens</w:t>
      </w:r>
      <w:r>
        <w:rPr>
          <w:rFonts w:ascii="Arial" w:cs="Arial" w:eastAsia="Arial" w:hAnsi="Arial"/>
          <w:sz w:val="19"/>
          <w:szCs w:val="19"/>
          <w:color w:val="auto"/>
        </w:rPr>
        <w:t>. Create, assume or permit to exist, any mortgage, pledge, lien, charge, encumbrance or any security interest whatsoever upon any Collateral or, in respect of the Borrowers, other property except:</w:t>
      </w:r>
    </w:p>
    <w:p>
      <w:pPr>
        <w:spacing w:after="0" w:line="104" w:lineRule="exact"/>
        <w:rPr>
          <w:rFonts w:ascii="Arial" w:cs="Arial" w:eastAsia="Arial" w:hAnsi="Arial"/>
          <w:sz w:val="19"/>
          <w:szCs w:val="19"/>
          <w:color w:val="auto"/>
        </w:rPr>
      </w:pPr>
    </w:p>
    <w:p>
      <w:pPr>
        <w:ind w:left="3120" w:right="20" w:hanging="777"/>
        <w:spacing w:after="0" w:line="235" w:lineRule="auto"/>
        <w:tabs>
          <w:tab w:leader="none" w:pos="3120" w:val="left"/>
        </w:tabs>
        <w:numPr>
          <w:ilvl w:val="1"/>
          <w:numId w:val="163"/>
        </w:numPr>
        <w:rPr>
          <w:rFonts w:ascii="Arial" w:cs="Arial" w:eastAsia="Arial" w:hAnsi="Arial"/>
          <w:sz w:val="22"/>
          <w:szCs w:val="22"/>
          <w:color w:val="auto"/>
        </w:rPr>
      </w:pPr>
      <w:r>
        <w:rPr>
          <w:rFonts w:ascii="Arial" w:cs="Arial" w:eastAsia="Arial" w:hAnsi="Arial"/>
          <w:sz w:val="22"/>
          <w:szCs w:val="22"/>
          <w:color w:val="auto"/>
        </w:rPr>
        <w:t>liens for taxes, assessments or governmental charges not yet payable for which adequate reserves have been maintained; provided, that once any such lien is claimed, the Borrowers shall be permitted to contest any such lien in good faith by appropriate action promptly initiated and diligently conducted, if (y) such reserves as shall be required by GAAP shall have been made therefor, and (z) the Borrowers shall have arranged for a bond or insurance (other than, and after</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77" w:right="399" w:bottom="1440" w:gutter="0" w:footer="0" w:header="0"/>
        </w:sectPr>
      </w:pPr>
    </w:p>
    <w:bookmarkStart w:id="187" w:name="page188"/>
    <w:bookmarkEnd w:id="187"/>
    <w:p>
      <w:pPr>
        <w:ind w:left="3140" w:right="380" w:hanging="562"/>
        <w:spacing w:after="0" w:line="274" w:lineRule="auto"/>
        <w:rPr>
          <w:sz w:val="20"/>
          <w:szCs w:val="20"/>
          <w:color w:val="auto"/>
        </w:rPr>
      </w:pPr>
      <w:r>
        <w:rPr>
          <w:rFonts w:ascii="Arial" w:cs="Arial" w:eastAsia="Arial" w:hAnsi="Arial"/>
          <w:sz w:val="21"/>
          <w:szCs w:val="21"/>
          <w:color w:val="auto"/>
        </w:rPr>
        <w:t>giving effect to, any deductibles that the Borrowers may have on such insurance) related to such lien in a manner that is satisfactory to the Lenders in accordance with law</w:t>
      </w:r>
    </w:p>
    <w:p>
      <w:pPr>
        <w:spacing w:after="0" w:line="151" w:lineRule="exact"/>
        <w:rPr>
          <w:sz w:val="20"/>
          <w:szCs w:val="20"/>
          <w:color w:val="auto"/>
        </w:rPr>
      </w:pPr>
    </w:p>
    <w:p>
      <w:pPr>
        <w:ind w:left="3120" w:hanging="777"/>
        <w:spacing w:after="0"/>
        <w:tabs>
          <w:tab w:leader="none" w:pos="312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the Mortgages, the Assignments and other liens in favor of the Security Trustee or the Lenders;</w:t>
      </w:r>
    </w:p>
    <w:p>
      <w:pPr>
        <w:spacing w:after="0" w:line="240" w:lineRule="exact"/>
        <w:rPr>
          <w:rFonts w:ascii="Arial" w:cs="Arial" w:eastAsia="Arial" w:hAnsi="Arial"/>
          <w:sz w:val="19"/>
          <w:szCs w:val="19"/>
          <w:color w:val="auto"/>
        </w:rPr>
      </w:pPr>
    </w:p>
    <w:p>
      <w:pPr>
        <w:ind w:left="3120" w:right="200" w:hanging="777"/>
        <w:spacing w:after="0" w:line="250" w:lineRule="auto"/>
        <w:tabs>
          <w:tab w:leader="none" w:pos="312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liens, charges and encumbrances against the Vessels permitted to exist under the terms of the relevant Mortgage;</w:t>
      </w:r>
    </w:p>
    <w:p>
      <w:pPr>
        <w:spacing w:after="0" w:line="174" w:lineRule="exact"/>
        <w:rPr>
          <w:rFonts w:ascii="Arial" w:cs="Arial" w:eastAsia="Arial" w:hAnsi="Arial"/>
          <w:sz w:val="22"/>
          <w:szCs w:val="22"/>
          <w:color w:val="auto"/>
        </w:rPr>
      </w:pPr>
    </w:p>
    <w:p>
      <w:pPr>
        <w:ind w:left="3120" w:right="20" w:hanging="777"/>
        <w:spacing w:after="0" w:line="287" w:lineRule="auto"/>
        <w:tabs>
          <w:tab w:leader="none" w:pos="312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pledges of certificates of deposit or other cash collateral securing reimbursement obligations in connection with letters of credit now or hereinafter issued for its account in connection with the establishment of its financial responsibility under 33 C.F.R. Part 130 or 46 C.F.R. Part 540, as the case may be, as the same may be amended and replaced;</w:t>
      </w:r>
    </w:p>
    <w:p>
      <w:pPr>
        <w:spacing w:after="0" w:line="142" w:lineRule="exact"/>
        <w:rPr>
          <w:rFonts w:ascii="Arial" w:cs="Arial" w:eastAsia="Arial" w:hAnsi="Arial"/>
          <w:sz w:val="19"/>
          <w:szCs w:val="19"/>
          <w:color w:val="auto"/>
        </w:rPr>
      </w:pPr>
    </w:p>
    <w:p>
      <w:pPr>
        <w:ind w:left="3120" w:right="200" w:hanging="777"/>
        <w:spacing w:after="0" w:line="282" w:lineRule="auto"/>
        <w:tabs>
          <w:tab w:leader="none" w:pos="312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pledges or deposits to secure obligations under workmen's compensation laws or similar legislation, deposits to secure public or statutory obligations, warehousemen's or other like liens, or deposits to obtain the release of such liens and deposits to secure surety, appeal or customs bonds on which it is the principal, as to all of the foregoing, only to the extent arising and continuing in the ordinary course of business; and</w:t>
      </w:r>
    </w:p>
    <w:p>
      <w:pPr>
        <w:spacing w:after="0" w:line="147" w:lineRule="exact"/>
        <w:rPr>
          <w:rFonts w:ascii="Arial" w:cs="Arial" w:eastAsia="Arial" w:hAnsi="Arial"/>
          <w:sz w:val="19"/>
          <w:szCs w:val="19"/>
          <w:color w:val="auto"/>
        </w:rPr>
      </w:pPr>
    </w:p>
    <w:p>
      <w:pPr>
        <w:ind w:left="3120" w:hanging="777"/>
        <w:spacing w:after="0" w:line="252" w:lineRule="auto"/>
        <w:tabs>
          <w:tab w:leader="none" w:pos="3120" w:val="left"/>
        </w:tabs>
        <w:numPr>
          <w:ilvl w:val="0"/>
          <w:numId w:val="164"/>
        </w:numPr>
        <w:rPr>
          <w:rFonts w:ascii="Arial" w:cs="Arial" w:eastAsia="Arial" w:hAnsi="Arial"/>
          <w:sz w:val="21"/>
          <w:szCs w:val="21"/>
          <w:color w:val="auto"/>
        </w:rPr>
      </w:pPr>
      <w:r>
        <w:rPr>
          <w:rFonts w:ascii="Arial" w:cs="Arial" w:eastAsia="Arial" w:hAnsi="Arial"/>
          <w:sz w:val="21"/>
          <w:szCs w:val="21"/>
          <w:color w:val="auto"/>
        </w:rPr>
        <w:t>other liens, charges and encumbrances incidental to the conduct of its business, the ownership of its property and assets which are not more than thirty (30) days overdue and which do not in the aggregate materially detract from the value of its property or assets or materially impair the use thereof in the operation of its business;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Items (i) through (vi) of this Section 9.2(a) are referred to herein as “</w:t>
      </w:r>
      <w:r>
        <w:rPr>
          <w:rFonts w:ascii="Arial" w:cs="Arial" w:eastAsia="Arial" w:hAnsi="Arial"/>
          <w:sz w:val="22"/>
          <w:szCs w:val="22"/>
          <w:b w:val="1"/>
          <w:bCs w:val="1"/>
          <w:color w:val="auto"/>
        </w:rPr>
        <w:t>Permitted Liens</w:t>
      </w:r>
      <w:r>
        <w:rPr>
          <w:rFonts w:ascii="Arial" w:cs="Arial" w:eastAsia="Arial" w:hAnsi="Arial"/>
          <w:sz w:val="22"/>
          <w:szCs w:val="22"/>
          <w:color w:val="auto"/>
        </w:rPr>
        <w:t>”.</w:t>
      </w:r>
    </w:p>
    <w:p>
      <w:pPr>
        <w:spacing w:after="0" w:line="212" w:lineRule="exact"/>
        <w:rPr>
          <w:sz w:val="20"/>
          <w:szCs w:val="20"/>
          <w:color w:val="auto"/>
        </w:rPr>
      </w:pPr>
    </w:p>
    <w:p>
      <w:pPr>
        <w:ind w:left="2460" w:hanging="891"/>
        <w:spacing w:after="0"/>
        <w:tabs>
          <w:tab w:leader="none" w:pos="2460"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Make any Investment in any Person, except Investments in Cash and Cash Equivalents;</w:t>
      </w:r>
    </w:p>
    <w:p>
      <w:pPr>
        <w:spacing w:after="0" w:line="240" w:lineRule="exact"/>
        <w:rPr>
          <w:rFonts w:ascii="Arial" w:cs="Arial" w:eastAsia="Arial" w:hAnsi="Arial"/>
          <w:sz w:val="19"/>
          <w:szCs w:val="19"/>
          <w:color w:val="auto"/>
        </w:rPr>
      </w:pPr>
    </w:p>
    <w:p>
      <w:pPr>
        <w:ind w:right="260" w:firstLine="1569"/>
        <w:spacing w:after="0" w:line="274" w:lineRule="auto"/>
        <w:tabs>
          <w:tab w:leader="none" w:pos="2446" w:val="left"/>
        </w:tabs>
        <w:numPr>
          <w:ilvl w:val="0"/>
          <w:numId w:val="165"/>
        </w:numPr>
        <w:rPr>
          <w:rFonts w:ascii="Arial" w:cs="Arial" w:eastAsia="Arial" w:hAnsi="Arial"/>
          <w:sz w:val="21"/>
          <w:szCs w:val="21"/>
          <w:color w:val="auto"/>
        </w:rPr>
      </w:pPr>
      <w:r>
        <w:rPr>
          <w:rFonts w:ascii="Arial" w:cs="Arial" w:eastAsia="Arial" w:hAnsi="Arial"/>
          <w:sz w:val="21"/>
          <w:szCs w:val="21"/>
          <w:u w:val="single" w:color="auto"/>
          <w:color w:val="auto"/>
        </w:rPr>
        <w:t>Loans</w:t>
      </w:r>
      <w:r>
        <w:rPr>
          <w:rFonts w:ascii="Arial" w:cs="Arial" w:eastAsia="Arial" w:hAnsi="Arial"/>
          <w:sz w:val="21"/>
          <w:szCs w:val="21"/>
          <w:color w:val="auto"/>
        </w:rPr>
        <w:t>. Make or permit to remain outstanding any loan or advance to, or own, purchase or acquire any stock, obligations or securities of, or any other interest in, or make any capital contribution to, any Person;</w:t>
      </w:r>
    </w:p>
    <w:p>
      <w:pPr>
        <w:spacing w:after="0" w:line="150" w:lineRule="exact"/>
        <w:rPr>
          <w:rFonts w:ascii="Arial" w:cs="Arial" w:eastAsia="Arial" w:hAnsi="Arial"/>
          <w:sz w:val="21"/>
          <w:szCs w:val="21"/>
          <w:color w:val="auto"/>
        </w:rPr>
      </w:pPr>
    </w:p>
    <w:p>
      <w:pPr>
        <w:ind w:right="520" w:firstLine="1569"/>
        <w:spacing w:after="0" w:line="250" w:lineRule="auto"/>
        <w:tabs>
          <w:tab w:leader="none" w:pos="2458"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Guaranties</w:t>
      </w:r>
      <w:r>
        <w:rPr>
          <w:rFonts w:ascii="Arial" w:cs="Arial" w:eastAsia="Arial" w:hAnsi="Arial"/>
          <w:sz w:val="22"/>
          <w:szCs w:val="22"/>
          <w:color w:val="auto"/>
        </w:rPr>
        <w:t>. Assume, guarantee or, other than in the ordinary course of business of the Borrowers, endorse or otherwise become or remain liable in connection with any obligation of any Person;</w:t>
      </w:r>
    </w:p>
    <w:p>
      <w:pPr>
        <w:spacing w:after="0" w:line="93" w:lineRule="exact"/>
        <w:rPr>
          <w:rFonts w:ascii="Arial" w:cs="Arial" w:eastAsia="Arial" w:hAnsi="Arial"/>
          <w:sz w:val="22"/>
          <w:szCs w:val="22"/>
          <w:color w:val="auto"/>
        </w:rPr>
      </w:pPr>
    </w:p>
    <w:p>
      <w:pPr>
        <w:ind w:right="80" w:firstLine="1569"/>
        <w:spacing w:after="0" w:line="238" w:lineRule="auto"/>
        <w:tabs>
          <w:tab w:leader="none" w:pos="2446"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Sale or Pledge of Shares of Borrowers</w:t>
      </w:r>
      <w:r>
        <w:rPr>
          <w:rFonts w:ascii="Arial" w:cs="Arial" w:eastAsia="Arial" w:hAnsi="Arial"/>
          <w:sz w:val="22"/>
          <w:szCs w:val="22"/>
          <w:color w:val="auto"/>
        </w:rPr>
        <w:t>. Other than as may be allowed in accordance with the Pledge Agreement, (i) sell, transfer, convey or dispose of any shares or membership interests of any of the Borrowers, or (ii) create, assume or permit to exist, any mortgage, pledge, lien, charge, encumbrance or any security interest whatsoever upon the membership interests of any Borrower;</w:t>
      </w:r>
    </w:p>
    <w:p>
      <w:pPr>
        <w:spacing w:after="0" w:line="184" w:lineRule="exact"/>
        <w:rPr>
          <w:rFonts w:ascii="Arial" w:cs="Arial" w:eastAsia="Arial" w:hAnsi="Arial"/>
          <w:sz w:val="22"/>
          <w:szCs w:val="22"/>
          <w:color w:val="auto"/>
        </w:rPr>
      </w:pPr>
    </w:p>
    <w:p>
      <w:pPr>
        <w:ind w:left="2440" w:hanging="871"/>
        <w:spacing w:after="0"/>
        <w:tabs>
          <w:tab w:leader="none" w:pos="2440"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Transaction with Affiliates</w:t>
      </w:r>
      <w:r>
        <w:rPr>
          <w:rFonts w:ascii="Arial" w:cs="Arial" w:eastAsia="Arial" w:hAnsi="Arial"/>
          <w:sz w:val="19"/>
          <w:szCs w:val="19"/>
          <w:color w:val="auto"/>
        </w:rPr>
        <w:t>. Enter into any transaction with an Affiliate, other than on an arms length</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basis;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88" w:name="page189"/>
    <w:bookmarkEnd w:id="188"/>
    <w:p>
      <w:pPr>
        <w:ind w:firstLine="1569"/>
        <w:spacing w:after="0" w:line="273" w:lineRule="auto"/>
        <w:tabs>
          <w:tab w:leader="none" w:pos="2458"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Change of Flag, Class, Management or Ownership</w:t>
      </w:r>
      <w:r>
        <w:rPr>
          <w:rFonts w:ascii="Arial" w:cs="Arial" w:eastAsia="Arial" w:hAnsi="Arial"/>
          <w:sz w:val="19"/>
          <w:szCs w:val="19"/>
          <w:color w:val="auto"/>
        </w:rPr>
        <w:t>. After delivery of a Vessel to the relevant Borrower, change (i) the flag of such Vessel other than to a jurisdiction reasonably acceptable to the Lenders, (ii) its Classification Society other than to another member of the International Association of Classification Societies acceptable to each of the Lenders, (iii) the technical management of such Vessel other than to an Approved Manager or (iv) the ownership of such Vessel, provided however that notwithstanding anything to the contrary herein, Courageous and Resolute shall be permitted to (in lieu of a change to their jurisdiction of formation permitted under Section 9.1(g)) transfer their respective Vessels to a wholly-owned Subsidiary of the Holding Company formed in the Republic of the Marshall Islands (each, a “</w:t>
      </w:r>
      <w:r>
        <w:rPr>
          <w:rFonts w:ascii="Arial" w:cs="Arial" w:eastAsia="Arial" w:hAnsi="Arial"/>
          <w:sz w:val="19"/>
          <w:szCs w:val="19"/>
          <w:u w:val="single" w:color="auto"/>
          <w:color w:val="auto"/>
        </w:rPr>
        <w:t>New Borrower</w:t>
      </w:r>
      <w:r>
        <w:rPr>
          <w:rFonts w:ascii="Arial" w:cs="Arial" w:eastAsia="Arial" w:hAnsi="Arial"/>
          <w:sz w:val="19"/>
          <w:szCs w:val="19"/>
          <w:color w:val="auto"/>
        </w:rPr>
        <w:t>”) at which time the Borrowers, the Lenders, the Administrative Agent and the Security Trustee shall enter into an amendment to this Agreement to replace such Borrowers with the New Borrowers and such other documents to ensure the Collateral remains in full force and effect and continues to be subject to a first priority, perfected Lien in favor of the Security Trustee following such transfer of ownership;</w:t>
      </w:r>
    </w:p>
    <w:p>
      <w:pPr>
        <w:spacing w:after="0" w:line="160" w:lineRule="exact"/>
        <w:rPr>
          <w:rFonts w:ascii="Arial" w:cs="Arial" w:eastAsia="Arial" w:hAnsi="Arial"/>
          <w:sz w:val="19"/>
          <w:szCs w:val="19"/>
          <w:color w:val="auto"/>
        </w:rPr>
      </w:pPr>
    </w:p>
    <w:p>
      <w:pPr>
        <w:ind w:right="160" w:firstLine="1569"/>
        <w:spacing w:after="0" w:line="250" w:lineRule="auto"/>
        <w:tabs>
          <w:tab w:leader="none" w:pos="2458"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Chartering and Pooling</w:t>
      </w:r>
      <w:r>
        <w:rPr>
          <w:rFonts w:ascii="Arial" w:cs="Arial" w:eastAsia="Arial" w:hAnsi="Arial"/>
          <w:sz w:val="22"/>
          <w:szCs w:val="22"/>
          <w:color w:val="auto"/>
        </w:rPr>
        <w:t>. Enter into any demise or bareboat charter with respect to any Vessel or enter any Vessel into any vessel pooling arrangement;</w:t>
      </w:r>
    </w:p>
    <w:p>
      <w:pPr>
        <w:spacing w:after="0" w:line="174" w:lineRule="exact"/>
        <w:rPr>
          <w:rFonts w:ascii="Arial" w:cs="Arial" w:eastAsia="Arial" w:hAnsi="Arial"/>
          <w:sz w:val="22"/>
          <w:szCs w:val="22"/>
          <w:color w:val="auto"/>
        </w:rPr>
      </w:pPr>
    </w:p>
    <w:p>
      <w:pPr>
        <w:ind w:firstLine="1569"/>
        <w:spacing w:after="0" w:line="250" w:lineRule="auto"/>
        <w:tabs>
          <w:tab w:leader="none" w:pos="2410"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Change in Business</w:t>
      </w:r>
      <w:r>
        <w:rPr>
          <w:rFonts w:ascii="Arial" w:cs="Arial" w:eastAsia="Arial" w:hAnsi="Arial"/>
          <w:sz w:val="22"/>
          <w:szCs w:val="22"/>
          <w:color w:val="auto"/>
        </w:rPr>
        <w:t>. Materially change the nature of its business or commence any business materially different from its current business;</w:t>
      </w:r>
    </w:p>
    <w:p>
      <w:pPr>
        <w:spacing w:after="0" w:line="174" w:lineRule="exact"/>
        <w:rPr>
          <w:rFonts w:ascii="Arial" w:cs="Arial" w:eastAsia="Arial" w:hAnsi="Arial"/>
          <w:sz w:val="22"/>
          <w:szCs w:val="22"/>
          <w:color w:val="auto"/>
        </w:rPr>
      </w:pPr>
    </w:p>
    <w:p>
      <w:pPr>
        <w:ind w:right="140" w:firstLine="1569"/>
        <w:spacing w:after="0"/>
        <w:tabs>
          <w:tab w:leader="none" w:pos="2410"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Sale of Assets</w:t>
      </w:r>
      <w:r>
        <w:rPr>
          <w:rFonts w:ascii="Arial" w:cs="Arial" w:eastAsia="Arial" w:hAnsi="Arial"/>
          <w:sz w:val="22"/>
          <w:szCs w:val="22"/>
          <w:color w:val="auto"/>
        </w:rPr>
        <w:t>. Sell, assign, transfer, pledge or otherwise convey or dispose of, any of the Vessels or any other asset (including by way of spin-off, installment sale or otherwise) which is substantial in relation to its assets taken as a whole;</w:t>
      </w:r>
    </w:p>
    <w:p>
      <w:pPr>
        <w:spacing w:after="0" w:line="186" w:lineRule="exact"/>
        <w:rPr>
          <w:rFonts w:ascii="Arial" w:cs="Arial" w:eastAsia="Arial" w:hAnsi="Arial"/>
          <w:sz w:val="22"/>
          <w:szCs w:val="22"/>
          <w:color w:val="auto"/>
        </w:rPr>
      </w:pPr>
    </w:p>
    <w:p>
      <w:pPr>
        <w:ind w:right="220" w:firstLine="1569"/>
        <w:spacing w:after="0"/>
        <w:tabs>
          <w:tab w:leader="none" w:pos="2458"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Changes in Offices or Names</w:t>
      </w:r>
      <w:r>
        <w:rPr>
          <w:rFonts w:ascii="Arial" w:cs="Arial" w:eastAsia="Arial" w:hAnsi="Arial"/>
          <w:sz w:val="22"/>
          <w:szCs w:val="22"/>
          <w:color w:val="auto"/>
        </w:rPr>
        <w:t>. Change the location of its chief executive office, its chief place of business or the office in which its records relating to the earnings or insurances of the Vessels are kept or change its name unless the Lenders shall have received sixty (60) days prior written notice of such change;</w:t>
      </w:r>
    </w:p>
    <w:p>
      <w:pPr>
        <w:spacing w:after="0" w:line="186" w:lineRule="exact"/>
        <w:rPr>
          <w:rFonts w:ascii="Arial" w:cs="Arial" w:eastAsia="Arial" w:hAnsi="Arial"/>
          <w:sz w:val="22"/>
          <w:szCs w:val="22"/>
          <w:color w:val="auto"/>
        </w:rPr>
      </w:pPr>
    </w:p>
    <w:p>
      <w:pPr>
        <w:ind w:right="200" w:firstLine="1569"/>
        <w:spacing w:after="0" w:line="250" w:lineRule="auto"/>
        <w:tabs>
          <w:tab w:leader="none" w:pos="2410"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Consolidation and Merger</w:t>
      </w:r>
      <w:r>
        <w:rPr>
          <w:rFonts w:ascii="Arial" w:cs="Arial" w:eastAsia="Arial" w:hAnsi="Arial"/>
          <w:sz w:val="22"/>
          <w:szCs w:val="22"/>
          <w:color w:val="auto"/>
        </w:rPr>
        <w:t>. Consolidate with, or merge into, any corporation or other entity, or merge any corporation or other entity into it;</w:t>
      </w:r>
    </w:p>
    <w:p>
      <w:pPr>
        <w:spacing w:after="0" w:line="174" w:lineRule="exact"/>
        <w:rPr>
          <w:rFonts w:ascii="Arial" w:cs="Arial" w:eastAsia="Arial" w:hAnsi="Arial"/>
          <w:sz w:val="22"/>
          <w:szCs w:val="22"/>
          <w:color w:val="auto"/>
        </w:rPr>
      </w:pPr>
    </w:p>
    <w:p>
      <w:pPr>
        <w:ind w:left="2520" w:hanging="951"/>
        <w:spacing w:after="0"/>
        <w:tabs>
          <w:tab w:leader="none" w:pos="2520"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Change Fiscal Year</w:t>
      </w:r>
      <w:r>
        <w:rPr>
          <w:rFonts w:ascii="Arial" w:cs="Arial" w:eastAsia="Arial" w:hAnsi="Arial"/>
          <w:sz w:val="22"/>
          <w:szCs w:val="22"/>
          <w:color w:val="auto"/>
        </w:rPr>
        <w:t>. Change its fiscal year;</w:t>
      </w:r>
    </w:p>
    <w:p>
      <w:pPr>
        <w:spacing w:after="0" w:line="206" w:lineRule="exact"/>
        <w:rPr>
          <w:rFonts w:ascii="Arial" w:cs="Arial" w:eastAsia="Arial" w:hAnsi="Arial"/>
          <w:sz w:val="22"/>
          <w:szCs w:val="22"/>
          <w:color w:val="auto"/>
        </w:rPr>
      </w:pPr>
    </w:p>
    <w:p>
      <w:pPr>
        <w:ind w:right="220" w:firstLine="1569"/>
        <w:spacing w:after="0" w:line="236" w:lineRule="auto"/>
        <w:tabs>
          <w:tab w:leader="none" w:pos="2458"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Indebtedness</w:t>
      </w:r>
      <w:r>
        <w:rPr>
          <w:rFonts w:ascii="Arial" w:cs="Arial" w:eastAsia="Arial" w:hAnsi="Arial"/>
          <w:sz w:val="22"/>
          <w:szCs w:val="22"/>
          <w:color w:val="auto"/>
        </w:rPr>
        <w:t>. Incur any new Indebtedness (which, for the sake of clarity, shall exclude any Indebtedness pursuant to this Agreement) except (i) Indebtedness under any interest rate, foreign exchange or derivatives transaction entered into in the ordinary course of business and not for speculative purposes, (ii) Indebtedness under performance guarantees and standby letters of credit entered into in the ordinary course of business in a consolidated amount of not more than $5,000,000, and (iii) Intercompany Debt;</w:t>
      </w:r>
    </w:p>
    <w:p>
      <w:pPr>
        <w:spacing w:after="0" w:line="187" w:lineRule="exact"/>
        <w:rPr>
          <w:rFonts w:ascii="Arial" w:cs="Arial" w:eastAsia="Arial" w:hAnsi="Arial"/>
          <w:sz w:val="22"/>
          <w:szCs w:val="22"/>
          <w:color w:val="auto"/>
        </w:rPr>
      </w:pPr>
    </w:p>
    <w:p>
      <w:pPr>
        <w:ind w:left="2460" w:hanging="891"/>
        <w:spacing w:after="0"/>
        <w:tabs>
          <w:tab w:leader="none" w:pos="2460"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Changes to Management Agreements</w:t>
      </w:r>
      <w:r>
        <w:rPr>
          <w:rFonts w:ascii="Arial" w:cs="Arial" w:eastAsia="Arial" w:hAnsi="Arial"/>
          <w:sz w:val="19"/>
          <w:szCs w:val="19"/>
          <w:color w:val="auto"/>
        </w:rPr>
        <w:t>. Make any changes to the management agreements of each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Borrowers;</w:t>
      </w:r>
    </w:p>
    <w:p>
      <w:pPr>
        <w:spacing w:after="0" w:line="188" w:lineRule="exact"/>
        <w:rPr>
          <w:rFonts w:ascii="Arial" w:cs="Arial" w:eastAsia="Arial" w:hAnsi="Arial"/>
          <w:sz w:val="19"/>
          <w:szCs w:val="19"/>
          <w:color w:val="auto"/>
        </w:rPr>
      </w:pPr>
    </w:p>
    <w:p>
      <w:pPr>
        <w:ind w:right="360" w:firstLine="1569"/>
        <w:spacing w:after="0" w:line="328" w:lineRule="auto"/>
        <w:tabs>
          <w:tab w:leader="none" w:pos="2458"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Distributions</w:t>
      </w:r>
      <w:r>
        <w:rPr>
          <w:rFonts w:ascii="Arial" w:cs="Arial" w:eastAsia="Arial" w:hAnsi="Arial"/>
          <w:sz w:val="19"/>
          <w:szCs w:val="19"/>
          <w:color w:val="auto"/>
        </w:rPr>
        <w:t>. With respect to the Holding Company only, directly or indirectly declare or pay any dividend or make any distribution on its limited liability company interests unless each of the following conditions are met:</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189" w:name="page190"/>
    <w:bookmarkEnd w:id="189"/>
    <w:p>
      <w:pPr>
        <w:ind w:left="3120" w:right="240" w:hanging="777"/>
        <w:spacing w:after="0" w:line="328" w:lineRule="auto"/>
        <w:tabs>
          <w:tab w:leader="none" w:pos="3120" w:val="left"/>
        </w:tabs>
        <w:numPr>
          <w:ilvl w:val="1"/>
          <w:numId w:val="167"/>
        </w:numPr>
        <w:rPr>
          <w:rFonts w:ascii="Arial" w:cs="Arial" w:eastAsia="Arial" w:hAnsi="Arial"/>
          <w:sz w:val="19"/>
          <w:szCs w:val="19"/>
          <w:color w:val="auto"/>
        </w:rPr>
      </w:pPr>
      <w:r>
        <w:rPr>
          <w:rFonts w:ascii="Arial" w:cs="Arial" w:eastAsia="Arial" w:hAnsi="Arial"/>
          <w:sz w:val="19"/>
          <w:szCs w:val="19"/>
          <w:color w:val="auto"/>
        </w:rPr>
        <w:t>After giving effect to any such dividend or distribution, the Borrowers shall be in compliance with all covenants set forth in this Agreement and any other Transaction Document;</w:t>
      </w:r>
    </w:p>
    <w:p>
      <w:pPr>
        <w:spacing w:after="0" w:line="104" w:lineRule="exact"/>
        <w:rPr>
          <w:rFonts w:ascii="Arial" w:cs="Arial" w:eastAsia="Arial" w:hAnsi="Arial"/>
          <w:sz w:val="19"/>
          <w:szCs w:val="19"/>
          <w:color w:val="auto"/>
        </w:rPr>
      </w:pPr>
    </w:p>
    <w:p>
      <w:pPr>
        <w:ind w:left="3120" w:hanging="777"/>
        <w:spacing w:after="0"/>
        <w:tabs>
          <w:tab w:leader="none" w:pos="3120" w:val="left"/>
        </w:tabs>
        <w:numPr>
          <w:ilvl w:val="1"/>
          <w:numId w:val="167"/>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right="20" w:firstLine="1569"/>
        <w:spacing w:after="0" w:line="271" w:lineRule="auto"/>
        <w:tabs>
          <w:tab w:leader="none" w:pos="2458"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Sanctions and Anti-Money Laundering</w:t>
      </w:r>
      <w:r>
        <w:rPr>
          <w:rFonts w:ascii="Arial" w:cs="Arial" w:eastAsia="Arial" w:hAnsi="Arial"/>
          <w:sz w:val="19"/>
          <w:szCs w:val="19"/>
          <w:color w:val="auto"/>
        </w:rPr>
        <w:t>. (i) Engage in a trade or financial transaction or other dealing with any individual, entity or Sanctioned Country with which such Security Party, its Subsidiary or its Affiliate is prohibited pursuant to Sanctions Laws; (ii) use, or permit or allow any Subsidiary or Affiliate of any Security Party to use, the Facility or the proceeds from the Facility, directly or indirectly, to lend, contribute, provide or otherwise make available funds (1) to a Blocked Person or to fund any trade or business involving any Blocked Person, or (2) to a person or entity for the purpose of engaging in any activities in violation of Sanctions Laws or Anti-Money Laundering Laws, or (3) in such a way that will otherwise result in a violation of Sanctions Laws and Anti-Money Laundering Laws, by such Security Party, Subsidiary or Affiliate or any Related Party thereof, including, without limitation, any such Person becoming a Blocked Person; (iii) permit or allow any of its assets (including, without limitation, any Vessel) to be used, directly or indirectly, (1) by or for the benefit of any Blocked Person, (2) in any trade or activity which is prohibited under Sanctions Laws or Anti-Money Laundering Laws, or (3) in such a way that could expose any Security Party, its Subsidiary or its Affiliate or any Related Party or its assets or its insurers to enforcement proceedings or any other consequence whatsoever arising from Sanctions Laws or Anti-Money Laundering Laws; or (iv) permit or allow any Vessel to trade in or with Iranian ports or carry or store or warehouse crude oil, petroleum products, petrochemical products or other products subject to Sanctions Laws if they originate in Iran, or are being exported from Iran to any other country;</w:t>
      </w:r>
    </w:p>
    <w:p>
      <w:pPr>
        <w:spacing w:after="0" w:line="164" w:lineRule="exact"/>
        <w:rPr>
          <w:rFonts w:ascii="Arial" w:cs="Arial" w:eastAsia="Arial" w:hAnsi="Arial"/>
          <w:sz w:val="19"/>
          <w:szCs w:val="19"/>
          <w:color w:val="auto"/>
        </w:rPr>
      </w:pPr>
    </w:p>
    <w:p>
      <w:pPr>
        <w:ind w:left="2440" w:hanging="871"/>
        <w:spacing w:after="0"/>
        <w:tabs>
          <w:tab w:leader="none" w:pos="2440"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Use of Proceeds</w:t>
      </w:r>
      <w:r>
        <w:rPr>
          <w:rFonts w:ascii="Arial" w:cs="Arial" w:eastAsia="Arial" w:hAnsi="Arial"/>
          <w:sz w:val="22"/>
          <w:szCs w:val="22"/>
          <w:color w:val="auto"/>
        </w:rPr>
        <w:t>. Use the proceeds of the Facility in violation of Regulation T, U or</w:t>
      </w:r>
    </w:p>
    <w:p>
      <w:pPr>
        <w:spacing w:after="0" w:line="8" w:lineRule="exact"/>
        <w:rPr>
          <w:sz w:val="20"/>
          <w:szCs w:val="20"/>
          <w:color w:val="auto"/>
        </w:rPr>
      </w:pPr>
    </w:p>
    <w:p>
      <w:pPr>
        <w:ind w:left="1560"/>
        <w:spacing w:after="0"/>
        <w:rPr>
          <w:sz w:val="20"/>
          <w:szCs w:val="20"/>
          <w:color w:val="auto"/>
        </w:rPr>
      </w:pPr>
      <w:r>
        <w:rPr>
          <w:rFonts w:ascii="Arial" w:cs="Arial" w:eastAsia="Arial" w:hAnsi="Arial"/>
          <w:sz w:val="22"/>
          <w:szCs w:val="22"/>
          <w:color w:val="auto"/>
        </w:rPr>
        <w:t>X; and</w:t>
      </w:r>
    </w:p>
    <w:p>
      <w:pPr>
        <w:spacing w:after="0" w:line="188" w:lineRule="exact"/>
        <w:rPr>
          <w:sz w:val="20"/>
          <w:szCs w:val="20"/>
          <w:color w:val="auto"/>
        </w:rPr>
      </w:pPr>
    </w:p>
    <w:p>
      <w:pPr>
        <w:ind w:left="1560" w:right="1060" w:firstLine="9"/>
        <w:spacing w:after="0" w:line="276" w:lineRule="auto"/>
        <w:tabs>
          <w:tab w:leader="none" w:pos="2433"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Use of Corporate Funds</w:t>
      </w:r>
      <w:r>
        <w:rPr>
          <w:rFonts w:ascii="Arial" w:cs="Arial" w:eastAsia="Arial" w:hAnsi="Arial"/>
          <w:sz w:val="19"/>
          <w:szCs w:val="19"/>
          <w:color w:val="auto"/>
        </w:rPr>
        <w:t>. Except as permitted under Sections 9.2(b) and 9.2(o) above, pay out any funds to any Person except (i) in the ordinary course of business in connection with the</w:t>
      </w:r>
    </w:p>
    <w:p>
      <w:pPr>
        <w:spacing w:after="0" w:line="1"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color w:val="auto"/>
        </w:rPr>
        <w:t>management of the business of the Borrowers, including the operation and/or repair of the Vessel (but excluding modifications to any Vessel in respect of design changes), (ii) the servicing of the Facility.</w:t>
      </w:r>
    </w:p>
    <w:p>
      <w:pPr>
        <w:spacing w:after="0" w:line="187" w:lineRule="exact"/>
        <w:rPr>
          <w:sz w:val="20"/>
          <w:szCs w:val="20"/>
          <w:color w:val="auto"/>
        </w:rPr>
      </w:pPr>
    </w:p>
    <w:p>
      <w:pPr>
        <w:ind w:left="780"/>
        <w:spacing w:after="0"/>
        <w:tabs>
          <w:tab w:leader="none" w:pos="16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06" w:lineRule="exact"/>
        <w:rPr>
          <w:sz w:val="20"/>
          <w:szCs w:val="20"/>
          <w:color w:val="auto"/>
        </w:rPr>
      </w:pPr>
    </w:p>
    <w:p>
      <w:pPr>
        <w:ind w:firstLine="780"/>
        <w:spacing w:after="0" w:line="273"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Asset Maintenance</w:t>
      </w:r>
      <w:r>
        <w:rPr>
          <w:rFonts w:ascii="Arial" w:cs="Arial" w:eastAsia="Arial" w:hAnsi="Arial"/>
          <w:sz w:val="19"/>
          <w:szCs w:val="19"/>
          <w:color w:val="auto"/>
        </w:rPr>
        <w:t>. If at any time during the term of this Agreement, the aggregate Fair Market Value of the Vessels is less than the Required Percentage of the aggregate outstanding amount of the Facility, the Borrowers shall, immediately following receipt by the Borrowers of written notice from the Administrative Agent notifying the Borrowers of such shortfall and specifying the amount thereof (which amount shall, in the absence of manifest error, be deemed to be conclusive and binding on the Borrowers), either (i) prepay such amount of the Tranches on a pro rata basis (together with interest thereon and any other monies payable in respect of such prepayment pursuant to Section 5.5) as shall result in the aggregate Fair Market Value of the Vessels being not less than the Required Percentage of the outstanding amount of the Facility or (ii) place on charged deposits with the Administrative Agent an amount in Dollars (together with interest thereon and any other monies payable in respect of such prepayment pursuant to Section 5.5) as shall result in the aggregate Fair Market Value of the Vessels together with the amount deposited being not less than the Required Percentage of the aggregate outstanding amount of the Facility. The charged deposit shall be released to the Borrowers when the Fair Market Value of the Vessels is not less than the Required Percentage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90" w:name="page191"/>
    <w:bookmarkEnd w:id="190"/>
    <w:p>
      <w:pPr>
        <w:ind w:right="340" w:firstLine="780"/>
        <w:spacing w:after="0"/>
        <w:rPr>
          <w:sz w:val="20"/>
          <w:szCs w:val="20"/>
          <w:color w:val="auto"/>
        </w:rPr>
      </w:pPr>
      <w:r>
        <w:rPr>
          <w:rFonts w:ascii="Arial" w:cs="Arial" w:eastAsia="Arial" w:hAnsi="Arial"/>
          <w:sz w:val="22"/>
          <w:szCs w:val="22"/>
          <w:color w:val="auto"/>
        </w:rPr>
        <w:t>of the outstanding amount of the Facility. Compliance with this Section 9.4 shall be measured within ten (10) Banking Days following the end of the second fiscal quarter and within ten (10) Banking Days following the end of the fourth fiscal quarter of each year during the term of this Agreement.</w:t>
      </w:r>
    </w:p>
    <w:p>
      <w:pPr>
        <w:spacing w:after="0" w:line="186" w:lineRule="exact"/>
        <w:rPr>
          <w:sz w:val="20"/>
          <w:szCs w:val="20"/>
          <w:color w:val="auto"/>
        </w:rPr>
      </w:pPr>
    </w:p>
    <w:p>
      <w:pPr>
        <w:ind w:left="920" w:hanging="912"/>
        <w:spacing w:after="0"/>
        <w:tabs>
          <w:tab w:leader="none" w:pos="92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ASSIGNMENT.</w:t>
      </w:r>
    </w:p>
    <w:p>
      <w:pPr>
        <w:spacing w:after="0" w:line="206" w:lineRule="exact"/>
        <w:rPr>
          <w:rFonts w:ascii="Arial" w:cs="Arial" w:eastAsia="Arial" w:hAnsi="Arial"/>
          <w:sz w:val="22"/>
          <w:szCs w:val="22"/>
          <w:color w:val="auto"/>
        </w:rPr>
      </w:pPr>
    </w:p>
    <w:p>
      <w:pPr>
        <w:ind w:right="100" w:firstLine="1569"/>
        <w:spacing w:after="0"/>
        <w:tabs>
          <w:tab w:leader="none" w:pos="2446" w:val="left"/>
        </w:tabs>
        <w:numPr>
          <w:ilvl w:val="1"/>
          <w:numId w:val="170"/>
        </w:numPr>
        <w:rPr>
          <w:rFonts w:ascii="Arial" w:cs="Arial" w:eastAsia="Arial" w:hAnsi="Arial"/>
          <w:sz w:val="22"/>
          <w:szCs w:val="22"/>
          <w:color w:val="auto"/>
        </w:rPr>
      </w:pPr>
      <w:r>
        <w:rPr>
          <w:rFonts w:ascii="Arial" w:cs="Arial" w:eastAsia="Arial" w:hAnsi="Arial"/>
          <w:sz w:val="22"/>
          <w:szCs w:val="22"/>
          <w:color w:val="auto"/>
        </w:rPr>
        <w:t>This Agreement shall be binding upon, and inure to the benefit of, each of the Security Parties and each of the Creditors and their respective successors and assigns, except that the Security Parties may not assign any of their respective rights or obligations hereunder without the written consent of the Lenders.</w:t>
      </w:r>
    </w:p>
    <w:p>
      <w:pPr>
        <w:spacing w:after="0" w:line="186" w:lineRule="exact"/>
        <w:rPr>
          <w:rFonts w:ascii="Arial" w:cs="Arial" w:eastAsia="Arial" w:hAnsi="Arial"/>
          <w:sz w:val="22"/>
          <w:szCs w:val="22"/>
          <w:color w:val="auto"/>
        </w:rPr>
      </w:pPr>
    </w:p>
    <w:p>
      <w:pPr>
        <w:ind w:right="40" w:firstLine="1569"/>
        <w:spacing w:after="0" w:line="269" w:lineRule="auto"/>
        <w:tabs>
          <w:tab w:leader="none" w:pos="2458" w:val="left"/>
        </w:tabs>
        <w:numPr>
          <w:ilvl w:val="1"/>
          <w:numId w:val="170"/>
        </w:numPr>
        <w:rPr>
          <w:rFonts w:ascii="Arial" w:cs="Arial" w:eastAsia="Arial" w:hAnsi="Arial"/>
          <w:sz w:val="19"/>
          <w:szCs w:val="19"/>
          <w:color w:val="auto"/>
        </w:rPr>
      </w:pPr>
      <w:r>
        <w:rPr>
          <w:rFonts w:ascii="Arial" w:cs="Arial" w:eastAsia="Arial" w:hAnsi="Arial"/>
          <w:sz w:val="19"/>
          <w:szCs w:val="19"/>
          <w:color w:val="auto"/>
        </w:rPr>
        <w:t xml:space="preserve">Each Lender shall be entitled to assign its rights and obligations under this Agreement or grant participation(s) in the Facility (i) to any subsidiary, holding company or other affiliate or office of such Lender or to any subsidiary, office or other affiliate company, special purpose entity or funding vehicle of any thereof without the consent of the Borrowers and (ii) to any other bank or financial institution (in a minimum amount of not less than $1,000,000) with the written consent of the Borrowers (such consent shall be deemed to have been given if no express refusal is received within five (5) Banking Days),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consent from the Borrowers is not required if an Event of Default has occurred and is continuing) and with the consent of the Administrative Agent; and, in any case, such Lender shall forthwith give notice of any such assignment or participation to the Borrowers and pay the Administrative Agent an assignment fee of</w:t>
      </w:r>
    </w:p>
    <w:p>
      <w:pPr>
        <w:spacing w:after="0" w:line="2" w:lineRule="exact"/>
        <w:rPr>
          <w:rFonts w:ascii="Arial" w:cs="Arial" w:eastAsia="Arial" w:hAnsi="Arial"/>
          <w:sz w:val="19"/>
          <w:szCs w:val="19"/>
          <w:color w:val="auto"/>
        </w:rPr>
      </w:pPr>
    </w:p>
    <w:p>
      <w:pPr>
        <w:ind w:right="20" w:firstLine="1561"/>
        <w:spacing w:after="0" w:line="272" w:lineRule="auto"/>
        <w:rPr>
          <w:rFonts w:ascii="Arial" w:cs="Arial" w:eastAsia="Arial" w:hAnsi="Arial"/>
          <w:sz w:val="19"/>
          <w:szCs w:val="19"/>
          <w:color w:val="auto"/>
        </w:rPr>
      </w:pPr>
      <w:r>
        <w:rPr>
          <w:rFonts w:ascii="Arial" w:cs="Arial" w:eastAsia="Arial" w:hAnsi="Arial"/>
          <w:sz w:val="19"/>
          <w:szCs w:val="19"/>
          <w:color w:val="auto"/>
        </w:rPr>
        <w:t xml:space="preserve">$4,500 for each such assignment or participation;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such assignment must be made pursuant to an Assignment and Assumption Agreement. Each of the Security Parties will take all reasonable actions requested by the Administrative Agent or any Lender to effect such assignment, including but not limited to, providing the documents required pursuant to Section 9.1(v). In addition, any Lender may disclose, with the written consent of the Borrowers (at the Borrowers’ sole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consent from the Borrowers is not required if an Event of Default has occurred and is continuing), to any prospective assignee otherwise eligible for assignment hereunder any information about the Security Parties and the Transaction Documents as the Lender shall consider appropriate if the person to whom the information is given agrees in writing to keep such information confidential. No Lender shall assign its rights and obligations under this Agreement to any natural Person, any Borrower or any of the Borrowers’ Affiliates.</w:t>
      </w:r>
    </w:p>
    <w:p>
      <w:pPr>
        <w:spacing w:after="0" w:line="156" w:lineRule="exact"/>
        <w:rPr>
          <w:rFonts w:ascii="Arial" w:cs="Arial" w:eastAsia="Arial" w:hAnsi="Arial"/>
          <w:sz w:val="19"/>
          <w:szCs w:val="19"/>
          <w:color w:val="auto"/>
        </w:rPr>
      </w:pPr>
    </w:p>
    <w:p>
      <w:pPr>
        <w:ind w:right="20" w:firstLine="1569"/>
        <w:spacing w:after="0" w:line="277" w:lineRule="auto"/>
        <w:tabs>
          <w:tab w:leader="none" w:pos="2446" w:val="left"/>
        </w:tabs>
        <w:numPr>
          <w:ilvl w:val="1"/>
          <w:numId w:val="170"/>
        </w:numPr>
        <w:rPr>
          <w:rFonts w:ascii="Arial" w:cs="Arial" w:eastAsia="Arial" w:hAnsi="Arial"/>
          <w:sz w:val="19"/>
          <w:szCs w:val="19"/>
          <w:color w:val="auto"/>
        </w:rPr>
      </w:pPr>
      <w:r>
        <w:rPr>
          <w:rFonts w:ascii="Arial" w:cs="Arial" w:eastAsia="Arial" w:hAnsi="Arial"/>
          <w:sz w:val="19"/>
          <w:szCs w:val="19"/>
          <w:color w:val="auto"/>
        </w:rPr>
        <w:t>The Administrative Agent, acting for this purpose as an agent of each of the Borrowers, shall maintain at one of its offices a copy of each Assignment and Assumption Agreement delivered to it and a register for the recordation of the names and addresses of the Lenders and principal amount of the Facility owing to each Lender pursuant to the terms hereof from time to time (the “</w:t>
      </w:r>
      <w:r>
        <w:rPr>
          <w:rFonts w:ascii="Arial" w:cs="Arial" w:eastAsia="Arial" w:hAnsi="Arial"/>
          <w:sz w:val="19"/>
          <w:szCs w:val="19"/>
          <w:b w:val="1"/>
          <w:bCs w:val="1"/>
          <w:color w:val="auto"/>
        </w:rPr>
        <w:t>Register</w:t>
      </w:r>
      <w:r>
        <w:rPr>
          <w:rFonts w:ascii="Arial" w:cs="Arial" w:eastAsia="Arial" w:hAnsi="Arial"/>
          <w:sz w:val="19"/>
          <w:szCs w:val="19"/>
          <w:color w:val="auto"/>
        </w:rPr>
        <w:t>”). The entries in the Register shall be conclusive, and the Borrowers,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Borrowers and any Lender, at any reasonable time and from time to time upon reasonable prior notice.</w:t>
      </w:r>
    </w:p>
    <w:p>
      <w:pPr>
        <w:spacing w:after="0" w:line="151" w:lineRule="exact"/>
        <w:rPr>
          <w:rFonts w:ascii="Arial" w:cs="Arial" w:eastAsia="Arial" w:hAnsi="Arial"/>
          <w:sz w:val="19"/>
          <w:szCs w:val="19"/>
          <w:color w:val="auto"/>
        </w:rPr>
      </w:pPr>
    </w:p>
    <w:p>
      <w:pPr>
        <w:ind w:firstLine="1569"/>
        <w:spacing w:after="0" w:line="282" w:lineRule="auto"/>
        <w:tabs>
          <w:tab w:leader="none" w:pos="2458" w:val="left"/>
        </w:tabs>
        <w:numPr>
          <w:ilvl w:val="1"/>
          <w:numId w:val="170"/>
        </w:numPr>
        <w:rPr>
          <w:rFonts w:ascii="Arial" w:cs="Arial" w:eastAsia="Arial" w:hAnsi="Arial"/>
          <w:sz w:val="19"/>
          <w:szCs w:val="19"/>
          <w:color w:val="auto"/>
        </w:rPr>
      </w:pPr>
      <w:r>
        <w:rPr>
          <w:rFonts w:ascii="Arial" w:cs="Arial" w:eastAsia="Arial" w:hAnsi="Arial"/>
          <w:sz w:val="19"/>
          <w:szCs w:val="19"/>
          <w:color w:val="auto"/>
        </w:rPr>
        <w:t>Upon its receipt of a duly completed Assignment and Assumption Agreement executed by an assigning Lender and an assignee, the assignment fee referred to above and any written consent to such assignment required, the Administrative Agent shall accept such Assignment and Assumption Agreement and record the information contained therein in the Register; provided that if either the assigning Lender or the assignee shall have failed to make any payment required to be made by it pursuant to this Agreement, the Administrative Agent shall have no obligation to accept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91" w:name="page192"/>
    <w:bookmarkEnd w:id="191"/>
    <w:p>
      <w:pPr>
        <w:jc w:val="both"/>
        <w:ind w:right="400" w:firstLine="1561"/>
        <w:spacing w:after="0" w:line="297" w:lineRule="auto"/>
        <w:rPr>
          <w:sz w:val="20"/>
          <w:szCs w:val="20"/>
          <w:color w:val="auto"/>
        </w:rPr>
      </w:pPr>
      <w:r>
        <w:rPr>
          <w:rFonts w:ascii="Arial" w:cs="Arial" w:eastAsia="Arial" w:hAnsi="Arial"/>
          <w:sz w:val="19"/>
          <w:szCs w:val="19"/>
          <w:color w:val="auto"/>
        </w:rPr>
        <w:t>such Assignment and Assumption Agreement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34" w:lineRule="exact"/>
        <w:rPr>
          <w:sz w:val="20"/>
          <w:szCs w:val="20"/>
          <w:color w:val="auto"/>
        </w:rPr>
      </w:pPr>
    </w:p>
    <w:p>
      <w:pPr>
        <w:ind w:firstLine="1569"/>
        <w:spacing w:after="0" w:line="273" w:lineRule="auto"/>
        <w:tabs>
          <w:tab w:leader="none" w:pos="2446" w:val="left"/>
        </w:tabs>
        <w:numPr>
          <w:ilvl w:val="1"/>
          <w:numId w:val="171"/>
        </w:numPr>
        <w:rPr>
          <w:rFonts w:ascii="Arial" w:cs="Arial" w:eastAsia="Arial" w:hAnsi="Arial"/>
          <w:sz w:val="19"/>
          <w:szCs w:val="19"/>
          <w:color w:val="auto"/>
        </w:rPr>
      </w:pPr>
      <w:r>
        <w:rPr>
          <w:rFonts w:ascii="Arial" w:cs="Arial" w:eastAsia="Arial" w:hAnsi="Arial"/>
          <w:sz w:val="19"/>
          <w:szCs w:val="19"/>
          <w:color w:val="auto"/>
        </w:rPr>
        <w:t>In addition, any Lender may at any time sell participations to any Person (other than a natural person or the Borrowers or any of the Borrower’s Affiliates) (each, a “</w:t>
      </w:r>
      <w:r>
        <w:rPr>
          <w:rFonts w:ascii="Arial" w:cs="Arial" w:eastAsia="Arial" w:hAnsi="Arial"/>
          <w:sz w:val="19"/>
          <w:szCs w:val="19"/>
          <w:b w:val="1"/>
          <w:bCs w:val="1"/>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Facility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that requires the consent of each Lender directly affected thereby pursuant to the terms of this Agreement and that directly affects such Participant.</w:t>
      </w:r>
    </w:p>
    <w:p>
      <w:pPr>
        <w:spacing w:after="0" w:line="155" w:lineRule="exact"/>
        <w:rPr>
          <w:rFonts w:ascii="Arial" w:cs="Arial" w:eastAsia="Arial" w:hAnsi="Arial"/>
          <w:sz w:val="19"/>
          <w:szCs w:val="19"/>
          <w:color w:val="auto"/>
        </w:rPr>
      </w:pPr>
    </w:p>
    <w:p>
      <w:pPr>
        <w:ind w:right="40" w:firstLine="1569"/>
        <w:spacing w:after="0" w:line="274" w:lineRule="auto"/>
        <w:tabs>
          <w:tab w:leader="none" w:pos="2422" w:val="left"/>
        </w:tabs>
        <w:numPr>
          <w:ilvl w:val="1"/>
          <w:numId w:val="171"/>
        </w:numPr>
        <w:rPr>
          <w:rFonts w:ascii="Arial" w:cs="Arial" w:eastAsia="Arial" w:hAnsi="Arial"/>
          <w:sz w:val="19"/>
          <w:szCs w:val="19"/>
          <w:color w:val="auto"/>
        </w:rPr>
      </w:pPr>
      <w:r>
        <w:rPr>
          <w:rFonts w:ascii="Arial" w:cs="Arial" w:eastAsia="Arial" w:hAnsi="Arial"/>
          <w:sz w:val="19"/>
          <w:szCs w:val="19"/>
          <w:color w:val="auto"/>
        </w:rPr>
        <w:t>Each Lender that sells a participation shall, acting solely for this purpose as an agent of the Borrowers, maintain a register on which it enters the name and address of each Participant and the principal amount of (and stated interest on) each Participant’s interest in the Facility or other obligations under this Agreement (“</w:t>
      </w:r>
      <w:r>
        <w:rPr>
          <w:rFonts w:ascii="Arial" w:cs="Arial" w:eastAsia="Arial" w:hAnsi="Arial"/>
          <w:sz w:val="19"/>
          <w:szCs w:val="19"/>
          <w:b w:val="1"/>
          <w:bCs w:val="1"/>
          <w:color w:val="auto"/>
        </w:rPr>
        <w:t>Participant Register</w:t>
      </w:r>
      <w:r>
        <w:rPr>
          <w:rFonts w:ascii="Arial" w:cs="Arial" w:eastAsia="Arial" w:hAnsi="Arial"/>
          <w:sz w:val="19"/>
          <w:szCs w:val="19"/>
          <w:color w:val="auto"/>
        </w:rPr>
        <w:t>”); provided that no Lender shall have any obligation to disclose all or any portion of the Participant Register (including the identity of any Participant or any information relating to a Participant’s interest in any obligations under this Agreement) to any Person except to the extent that such disclosure is necessary to establish that such loan or other obligation is registered under Section 5f.103-1(c) of the United States Treasury Regulations and Section 1.163-5(b) of the proposed United States Treasury Regulations. The entries in the Participant Register shall be conclusive absent manifest error, and such Lender shall treat each Person whose name is recorded in the Participant Register as owner of such participant for all purposes of this Agreement notwithstanding any notice to the contrary.</w:t>
      </w:r>
    </w:p>
    <w:p>
      <w:pPr>
        <w:spacing w:after="0" w:line="158" w:lineRule="exact"/>
        <w:rPr>
          <w:rFonts w:ascii="Arial" w:cs="Arial" w:eastAsia="Arial" w:hAnsi="Arial"/>
          <w:sz w:val="19"/>
          <w:szCs w:val="19"/>
          <w:color w:val="auto"/>
        </w:rPr>
      </w:pPr>
    </w:p>
    <w:p>
      <w:pPr>
        <w:ind w:left="920" w:hanging="912"/>
        <w:spacing w:after="0"/>
        <w:tabs>
          <w:tab w:leader="none" w:pos="92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ILLEGALITY, INCREASED COST, NON-AVAILABILITY, ETC.</w:t>
      </w:r>
    </w:p>
    <w:p>
      <w:pPr>
        <w:spacing w:after="0" w:line="206" w:lineRule="exact"/>
        <w:rPr>
          <w:sz w:val="20"/>
          <w:szCs w:val="20"/>
          <w:color w:val="auto"/>
        </w:rPr>
      </w:pPr>
    </w:p>
    <w:p>
      <w:pPr>
        <w:ind w:right="60" w:firstLine="780"/>
        <w:spacing w:after="0" w:line="273"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Illegality</w:t>
      </w:r>
      <w:r>
        <w:rPr>
          <w:rFonts w:ascii="Arial" w:cs="Arial" w:eastAsia="Arial" w:hAnsi="Arial"/>
          <w:sz w:val="19"/>
          <w:szCs w:val="19"/>
          <w:color w:val="auto"/>
        </w:rPr>
        <w:t>. In the event that by reason of any change in or introduction of any applicable law, regulation or regulatory requirement or in the interpretation thereof, a Lender has a reasonable basis to conclude that it has become unlawful for any Lender to maintain or give effect to its obligations as contemplated by this Agreement, such Lender shall inform the Administrative Agent and the Borrowers to that effect, whereafter the liability of such Lender to make its Commitment available shall forthwith cease and the Borrowers shall be required either to repay to such Lender that portion of the Facility advanced by such Lender within sixty (60) days or, if such Lender so agrees, to repay such portion of the Facility to the Lender on the last day of the calendar month in accordance with and subject to the provisions of Section 11.7. In any such event, but without prejudice to the aforesaid obligations of the Borrowers to repay such portion of the Facility, the Borrowers and the relevant Lender shall negotiate in good faith with a view to agreeing on terms for making such portion of the Facility available from another jurisdiction or otherwise restructuring such portion of the Facility on a basis which is not unlawful.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92" w:name="page193"/>
    <w:bookmarkEnd w:id="192"/>
    <w:p>
      <w:pPr>
        <w:ind w:right="20" w:firstLine="780"/>
        <w:spacing w:after="0" w:line="250"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Increased Costs</w:t>
      </w:r>
      <w:r>
        <w:rPr>
          <w:rFonts w:ascii="Arial" w:cs="Arial" w:eastAsia="Arial" w:hAnsi="Arial"/>
          <w:sz w:val="22"/>
          <w:szCs w:val="22"/>
          <w:color w:val="auto"/>
        </w:rPr>
        <w:t>. If any change in or introduction of any applicable law, regulation or regulatory requirement, or in the interpretation or application thereof by any governmental or other authority, shall:</w:t>
      </w:r>
    </w:p>
    <w:p>
      <w:pPr>
        <w:spacing w:after="0" w:line="175" w:lineRule="exact"/>
        <w:rPr>
          <w:sz w:val="20"/>
          <w:szCs w:val="20"/>
          <w:color w:val="auto"/>
        </w:rPr>
      </w:pPr>
    </w:p>
    <w:p>
      <w:pPr>
        <w:ind w:left="2340" w:hanging="780"/>
        <w:spacing w:after="0"/>
        <w:tabs>
          <w:tab w:leader="none" w:pos="234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subject any Lender to any Taxes with respect to its income from the Facility, or any part thereof, or</w:t>
      </w:r>
    </w:p>
    <w:p>
      <w:pPr>
        <w:spacing w:after="0" w:line="240" w:lineRule="exact"/>
        <w:rPr>
          <w:rFonts w:ascii="Arial" w:cs="Arial" w:eastAsia="Arial" w:hAnsi="Arial"/>
          <w:sz w:val="19"/>
          <w:szCs w:val="19"/>
          <w:color w:val="auto"/>
        </w:rPr>
      </w:pPr>
    </w:p>
    <w:p>
      <w:pPr>
        <w:ind w:left="2340" w:hanging="780"/>
        <w:spacing w:after="0" w:line="234" w:lineRule="auto"/>
        <w:tabs>
          <w:tab w:leader="none" w:pos="234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change the basis of taxation to any Lender of payments of principal or interest or any other payment due or to become due pursuant to this Agreement (other than a change in the basis effected by the jurisdiction of organization of such Lender, the jurisdiction of the principal place of business of such Lender, the United States of America, the State or City of New York or any governmental subdivision or other taxing authority having jurisdiction over such Lender (unless such jurisdiction is asserted by reason of the activities of any Security Party) or such other jurisdiction where the Facility may be payable), or</w:t>
      </w:r>
    </w:p>
    <w:p>
      <w:pPr>
        <w:spacing w:after="0" w:line="190" w:lineRule="exact"/>
        <w:rPr>
          <w:rFonts w:ascii="Arial" w:cs="Arial" w:eastAsia="Arial" w:hAnsi="Arial"/>
          <w:sz w:val="22"/>
          <w:szCs w:val="22"/>
          <w:color w:val="auto"/>
        </w:rPr>
      </w:pPr>
    </w:p>
    <w:p>
      <w:pPr>
        <w:ind w:left="2340" w:right="200" w:hanging="780"/>
        <w:spacing w:after="0"/>
        <w:tabs>
          <w:tab w:leader="none" w:pos="234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impose, modify or deem applicable any reserve requirements or require the making of any special deposits against or in respect of any assets or liabilities of, deposits with or for the account of, or loans by, a Lender, or</w:t>
      </w:r>
    </w:p>
    <w:p>
      <w:pPr>
        <w:spacing w:after="0" w:line="186" w:lineRule="exact"/>
        <w:rPr>
          <w:rFonts w:ascii="Arial" w:cs="Arial" w:eastAsia="Arial" w:hAnsi="Arial"/>
          <w:sz w:val="22"/>
          <w:szCs w:val="22"/>
          <w:color w:val="auto"/>
        </w:rPr>
      </w:pPr>
    </w:p>
    <w:p>
      <w:pPr>
        <w:ind w:left="2340" w:hanging="780"/>
        <w:spacing w:after="0"/>
        <w:tabs>
          <w:tab w:leader="none" w:pos="234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impose on any Lender any other condition affecting the Facility or any part thereof,</w:t>
      </w:r>
    </w:p>
    <w:p>
      <w:pPr>
        <w:spacing w:after="0" w:line="206" w:lineRule="exact"/>
        <w:rPr>
          <w:sz w:val="20"/>
          <w:szCs w:val="20"/>
          <w:color w:val="auto"/>
        </w:rPr>
      </w:pPr>
    </w:p>
    <w:p>
      <w:pPr>
        <w:ind w:right="100" w:firstLine="1561"/>
        <w:spacing w:after="0" w:line="238" w:lineRule="auto"/>
        <w:rPr>
          <w:sz w:val="20"/>
          <w:szCs w:val="20"/>
          <w:color w:val="auto"/>
        </w:rPr>
      </w:pPr>
      <w:r>
        <w:rPr>
          <w:rFonts w:ascii="Arial" w:cs="Arial" w:eastAsia="Arial" w:hAnsi="Arial"/>
          <w:sz w:val="22"/>
          <w:szCs w:val="22"/>
          <w:color w:val="auto"/>
        </w:rPr>
        <w:t>and the result of the foregoing is either to increase the cost to such Lender of making available or maintaining its Commitment or any part thereof or to reduce the amount of any payment received by such Lender, then and in any such case if such increase or reduction in the opinion of such Lender materially affects the interests of such Lender under or in connection with this Agreement:</w:t>
      </w:r>
    </w:p>
    <w:p>
      <w:pPr>
        <w:spacing w:after="0" w:line="104" w:lineRule="exact"/>
        <w:rPr>
          <w:sz w:val="20"/>
          <w:szCs w:val="20"/>
          <w:color w:val="auto"/>
        </w:rPr>
      </w:pPr>
    </w:p>
    <w:p>
      <w:pPr>
        <w:ind w:left="2460" w:hanging="891"/>
        <w:spacing w:after="0"/>
        <w:tabs>
          <w:tab w:leader="none" w:pos="246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such Lender shall notify the Administrative Agent and the Borrowers of the happening of such event,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88" w:lineRule="exact"/>
        <w:rPr>
          <w:sz w:val="20"/>
          <w:szCs w:val="20"/>
          <w:color w:val="auto"/>
        </w:rPr>
      </w:pPr>
    </w:p>
    <w:p>
      <w:pPr>
        <w:ind w:right="60" w:firstLine="1569"/>
        <w:spacing w:after="0" w:line="238" w:lineRule="auto"/>
        <w:tabs>
          <w:tab w:leader="none" w:pos="2458" w:val="left"/>
        </w:tabs>
        <w:numPr>
          <w:ilvl w:val="0"/>
          <w:numId w:val="175"/>
        </w:numPr>
        <w:rPr>
          <w:rFonts w:ascii="Arial" w:cs="Arial" w:eastAsia="Arial" w:hAnsi="Arial"/>
          <w:sz w:val="22"/>
          <w:szCs w:val="22"/>
          <w:color w:val="auto"/>
        </w:rPr>
      </w:pPr>
      <w:r>
        <w:rPr>
          <w:rFonts w:ascii="Arial" w:cs="Arial" w:eastAsia="Arial" w:hAnsi="Arial"/>
          <w:sz w:val="22"/>
          <w:szCs w:val="22"/>
          <w:color w:val="auto"/>
        </w:rPr>
        <w:t xml:space="preserve">each of the Borrowers agrees forthwith upon demand to pay to such Lender such amount as such Lender certifies to be necessary to compensate such Lender for such additional cost or such reduction;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foregoing provisions shall not be applicable in the event that increased costs to the Lender result from the exercise by the Lender of its right to assign its rights or obligations under Section 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jc w:val="right"/>
              <w:ind w:right="532"/>
              <w:spacing w:after="0"/>
              <w:rPr>
                <w:sz w:val="20"/>
                <w:szCs w:val="20"/>
                <w:color w:val="auto"/>
              </w:rPr>
            </w:pPr>
            <w:r>
              <w:rPr>
                <w:rFonts w:ascii="Arial" w:cs="Arial" w:eastAsia="Arial" w:hAnsi="Arial"/>
                <w:sz w:val="22"/>
                <w:szCs w:val="22"/>
                <w:color w:val="auto"/>
              </w:rPr>
              <w:t>11.3</w:t>
            </w:r>
          </w:p>
        </w:tc>
        <w:tc>
          <w:tcPr>
            <w:tcW w:w="9320" w:type="dxa"/>
            <w:vAlign w:val="bottom"/>
            <w:gridSpan w:val="3"/>
          </w:tcPr>
          <w:p>
            <w:pPr>
              <w:spacing w:after="0"/>
              <w:rPr>
                <w:sz w:val="20"/>
                <w:szCs w:val="20"/>
                <w:color w:val="auto"/>
              </w:rPr>
            </w:pPr>
            <w:r>
              <w:rPr>
                <w:rFonts w:ascii="Arial" w:cs="Arial" w:eastAsia="Arial" w:hAnsi="Arial"/>
                <w:sz w:val="22"/>
                <w:szCs w:val="22"/>
                <w:color w:val="auto"/>
                <w:w w:val="90"/>
              </w:rPr>
              <w:t>Market disruption. The following provisions of Sections 11.4 and 11.5 apply if Term SOFR is not available</w:t>
            </w:r>
          </w:p>
        </w:tc>
      </w:tr>
      <w:tr>
        <w:trPr>
          <w:trHeight w:val="20"/>
        </w:trPr>
        <w:tc>
          <w:tcPr>
            <w:tcW w:w="18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r>
        <w:trPr>
          <w:trHeight w:val="274"/>
        </w:trPr>
        <w:tc>
          <w:tcPr>
            <w:tcW w:w="11120" w:type="dxa"/>
            <w:vAlign w:val="bottom"/>
            <w:gridSpan w:val="4"/>
          </w:tcPr>
          <w:p>
            <w:pPr>
              <w:spacing w:after="0"/>
              <w:rPr>
                <w:sz w:val="20"/>
                <w:szCs w:val="20"/>
                <w:color w:val="auto"/>
              </w:rPr>
            </w:pPr>
            <w:r>
              <w:rPr>
                <w:rFonts w:ascii="Arial" w:cs="Arial" w:eastAsia="Arial" w:hAnsi="Arial"/>
                <w:sz w:val="22"/>
                <w:szCs w:val="22"/>
                <w:color w:val="auto"/>
                <w:w w:val="91"/>
              </w:rPr>
              <w:t>for an Interest Period on the date of determination of the Benchmark (excluding the circumstances described in Section 6.4).</w:t>
            </w:r>
          </w:p>
        </w:tc>
      </w:tr>
      <w:tr>
        <w:trPr>
          <w:trHeight w:val="408"/>
        </w:trPr>
        <w:tc>
          <w:tcPr>
            <w:tcW w:w="1800" w:type="dxa"/>
            <w:vAlign w:val="bottom"/>
          </w:tcPr>
          <w:p>
            <w:pPr>
              <w:jc w:val="right"/>
              <w:ind w:right="532"/>
              <w:spacing w:after="0"/>
              <w:rPr>
                <w:sz w:val="20"/>
                <w:szCs w:val="20"/>
                <w:color w:val="auto"/>
              </w:rPr>
            </w:pPr>
            <w:r>
              <w:rPr>
                <w:rFonts w:ascii="Arial" w:cs="Arial" w:eastAsia="Arial" w:hAnsi="Arial"/>
                <w:sz w:val="22"/>
                <w:szCs w:val="22"/>
                <w:color w:val="auto"/>
              </w:rPr>
              <w:t>11.4</w:t>
            </w:r>
          </w:p>
        </w:tc>
        <w:tc>
          <w:tcPr>
            <w:tcW w:w="9320" w:type="dxa"/>
            <w:vAlign w:val="bottom"/>
            <w:gridSpan w:val="3"/>
          </w:tcPr>
          <w:p>
            <w:pPr>
              <w:spacing w:after="0"/>
              <w:rPr>
                <w:sz w:val="20"/>
                <w:szCs w:val="20"/>
                <w:color w:val="auto"/>
              </w:rPr>
            </w:pPr>
            <w:r>
              <w:rPr>
                <w:rFonts w:ascii="Arial" w:cs="Arial" w:eastAsia="Arial" w:hAnsi="Arial"/>
                <w:sz w:val="22"/>
                <w:szCs w:val="22"/>
                <w:color w:val="auto"/>
                <w:w w:val="90"/>
              </w:rPr>
              <w:t>Notification of market disruption. The Administrative Agent shall promptly notify the Borrowers and each of</w:t>
            </w:r>
          </w:p>
        </w:tc>
      </w:tr>
      <w:tr>
        <w:trPr>
          <w:trHeight w:val="20"/>
        </w:trPr>
        <w:tc>
          <w:tcPr>
            <w:tcW w:w="18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bl>
    <w:p>
      <w:pPr>
        <w:ind w:right="240"/>
        <w:spacing w:after="0" w:line="239" w:lineRule="auto"/>
        <w:rPr>
          <w:sz w:val="20"/>
          <w:szCs w:val="20"/>
          <w:color w:val="auto"/>
        </w:rPr>
      </w:pPr>
      <w:r>
        <w:rPr>
          <w:rFonts w:ascii="Arial" w:cs="Arial" w:eastAsia="Arial" w:hAnsi="Arial"/>
          <w:sz w:val="22"/>
          <w:szCs w:val="22"/>
          <w:color w:val="auto"/>
        </w:rPr>
        <w:t>the Lenders, stating the circumstances falling within Section 11.3 which have caused its notice to be given (the "</w:t>
      </w:r>
      <w:r>
        <w:rPr>
          <w:rFonts w:ascii="Arial" w:cs="Arial" w:eastAsia="Arial" w:hAnsi="Arial"/>
          <w:sz w:val="22"/>
          <w:szCs w:val="22"/>
          <w:b w:val="1"/>
          <w:bCs w:val="1"/>
          <w:color w:val="auto"/>
        </w:rPr>
        <w:t>Market-Disruption Notification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level of detail of the Market-Disruption Notification shall be in the</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Administrative Agent’s discretion and the Market-Disruption Notification itself shall, absent manifest error, be final, conclusive and binding on all parties hereto.</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93" w:name="page194"/>
    <w:bookmarkEnd w:id="193"/>
    <w:p>
      <w:pPr>
        <w:jc w:val="both"/>
        <w:ind w:right="160" w:firstLine="780"/>
        <w:spacing w:after="0" w:line="236" w:lineRule="auto"/>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u w:val="single" w:color="auto"/>
          <w:color w:val="auto"/>
        </w:rPr>
        <w:t>Alternative rate of interest during market disruption</w:t>
      </w:r>
      <w:r>
        <w:rPr>
          <w:rFonts w:ascii="Arial" w:cs="Arial" w:eastAsia="Arial" w:hAnsi="Arial"/>
          <w:sz w:val="22"/>
          <w:szCs w:val="22"/>
          <w:color w:val="auto"/>
        </w:rPr>
        <w:t>. For so long as the circumstances falling within Section 11.3 are continuing, the rate of interest on each Lender’s share of the Facility for the Interest Period shall be the percentage rate per annum which is the aggregate of (i) higher of</w:t>
      </w:r>
    </w:p>
    <w:p>
      <w:pPr>
        <w:spacing w:after="0" w:line="1" w:lineRule="exact"/>
        <w:rPr>
          <w:sz w:val="20"/>
          <w:szCs w:val="20"/>
          <w:color w:val="auto"/>
        </w:rPr>
      </w:pPr>
    </w:p>
    <w:p>
      <w:pPr>
        <w:ind w:right="440" w:firstLine="8"/>
        <w:spacing w:after="0" w:line="256" w:lineRule="auto"/>
        <w:tabs>
          <w:tab w:leader="none" w:pos="294" w:val="left"/>
        </w:tabs>
        <w:numPr>
          <w:ilvl w:val="0"/>
          <w:numId w:val="176"/>
        </w:numPr>
        <w:rPr>
          <w:rFonts w:ascii="Arial" w:cs="Arial" w:eastAsia="Arial" w:hAnsi="Arial"/>
          <w:sz w:val="21"/>
          <w:szCs w:val="21"/>
          <w:color w:val="auto"/>
        </w:rPr>
      </w:pPr>
      <w:r>
        <w:rPr>
          <w:rFonts w:ascii="Arial" w:cs="Arial" w:eastAsia="Arial" w:hAnsi="Arial"/>
          <w:sz w:val="21"/>
          <w:szCs w:val="21"/>
          <w:color w:val="auto"/>
        </w:rPr>
        <w:t>rate of interest per annum last quoted by The Wall Street Journal as the “Prime Rate” in the U.S. and (b) one-half percent (1/2%) above the Federal Funds Effective Rate, (ii) the Margin, and (iii) Mandatory Costs, if any.</w:t>
      </w:r>
    </w:p>
    <w:p>
      <w:pPr>
        <w:spacing w:after="0" w:line="169" w:lineRule="exact"/>
        <w:rPr>
          <w:sz w:val="20"/>
          <w:szCs w:val="20"/>
          <w:color w:val="auto"/>
        </w:rPr>
      </w:pPr>
    </w:p>
    <w:p>
      <w:pPr>
        <w:ind w:right="200" w:firstLine="780"/>
        <w:spacing w:after="0"/>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u w:val="single" w:color="auto"/>
          <w:color w:val="auto"/>
        </w:rPr>
        <w:t>Lender's Certificate Conclusive</w:t>
      </w:r>
      <w:r>
        <w:rPr>
          <w:rFonts w:ascii="Arial" w:cs="Arial" w:eastAsia="Arial" w:hAnsi="Arial"/>
          <w:sz w:val="22"/>
          <w:szCs w:val="22"/>
          <w:color w:val="auto"/>
        </w:rPr>
        <w:t>. A certificate or determination notice of the Administrative Agent or any Lender, as the case may be, as to any of the matters referred to in this Section 11 shall, absent manifest error, be conclusive and binding on the Borrowers.</w:t>
      </w:r>
    </w:p>
    <w:p>
      <w:pPr>
        <w:spacing w:after="0" w:line="186" w:lineRule="exact"/>
        <w:rPr>
          <w:sz w:val="20"/>
          <w:szCs w:val="20"/>
          <w:color w:val="auto"/>
        </w:rPr>
      </w:pPr>
    </w:p>
    <w:p>
      <w:pPr>
        <w:ind w:firstLine="780"/>
        <w:spacing w:after="0" w:line="246" w:lineRule="auto"/>
        <w:rPr>
          <w:sz w:val="20"/>
          <w:szCs w:val="20"/>
          <w:color w:val="auto"/>
        </w:rPr>
      </w:pPr>
      <w:r>
        <w:rPr>
          <w:rFonts w:ascii="Arial" w:cs="Arial" w:eastAsia="Arial" w:hAnsi="Arial"/>
          <w:sz w:val="21"/>
          <w:szCs w:val="21"/>
          <w:color w:val="auto"/>
        </w:rPr>
        <w:t xml:space="preserve">11.7 </w:t>
      </w:r>
      <w:r>
        <w:rPr>
          <w:rFonts w:ascii="Arial" w:cs="Arial" w:eastAsia="Arial" w:hAnsi="Arial"/>
          <w:sz w:val="21"/>
          <w:szCs w:val="21"/>
          <w:u w:val="single" w:color="auto"/>
          <w:color w:val="auto"/>
        </w:rPr>
        <w:t>Compensation for Losses</w:t>
      </w:r>
      <w:r>
        <w:rPr>
          <w:rFonts w:ascii="Arial" w:cs="Arial" w:eastAsia="Arial" w:hAnsi="Arial"/>
          <w:sz w:val="21"/>
          <w:szCs w:val="21"/>
          <w:color w:val="auto"/>
        </w:rPr>
        <w:t>. Where any portion of the Facility is to be repaid by the Borrowers pursuant to Section 5 or this Section 11, each of the Borrowers agrees simultaneously with such repayment to pay to the relevant Lender all accrued interest to the date of actual payment on the amount repaid and all other sums then payable by the Borrowers to the relevant Lender pursuant to this Agreement, together with such amounts as may be certified by the relevant Lender to be necessary to compensate such Lender for any actual loss, premium or penalties incurred or to be incurred thereby on account of funds borrowed to make, fund or maintain its Commitment or such portion thereof for the remainder (if any) of the then current calendar month, but otherwise without penalty or premium.</w:t>
      </w:r>
    </w:p>
    <w:p>
      <w:pPr>
        <w:spacing w:after="0" w:line="184" w:lineRule="exact"/>
        <w:rPr>
          <w:sz w:val="20"/>
          <w:szCs w:val="20"/>
          <w:color w:val="auto"/>
        </w:rPr>
      </w:pPr>
    </w:p>
    <w:p>
      <w:pPr>
        <w:ind w:left="920" w:hanging="912"/>
        <w:spacing w:after="0"/>
        <w:tabs>
          <w:tab w:leader="none" w:pos="92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CURRENCY INDEMNITY</w:t>
      </w:r>
    </w:p>
    <w:p>
      <w:pPr>
        <w:spacing w:after="0" w:line="206" w:lineRule="exact"/>
        <w:rPr>
          <w:sz w:val="20"/>
          <w:szCs w:val="20"/>
          <w:color w:val="auto"/>
        </w:rPr>
      </w:pPr>
    </w:p>
    <w:p>
      <w:pPr>
        <w:ind w:right="140" w:firstLine="780"/>
        <w:spacing w:after="0" w:line="246" w:lineRule="auto"/>
        <w:rPr>
          <w:sz w:val="20"/>
          <w:szCs w:val="20"/>
          <w:color w:val="auto"/>
        </w:rPr>
      </w:pPr>
      <w:r>
        <w:rPr>
          <w:rFonts w:ascii="Arial" w:cs="Arial" w:eastAsia="Arial" w:hAnsi="Arial"/>
          <w:sz w:val="21"/>
          <w:szCs w:val="21"/>
          <w:color w:val="auto"/>
        </w:rPr>
        <w:t xml:space="preserve">12.1 </w:t>
      </w:r>
      <w:r>
        <w:rPr>
          <w:rFonts w:ascii="Arial" w:cs="Arial" w:eastAsia="Arial" w:hAnsi="Arial"/>
          <w:sz w:val="21"/>
          <w:szCs w:val="21"/>
          <w:u w:val="single" w:color="auto"/>
          <w:color w:val="auto"/>
        </w:rPr>
        <w:t>Currency Conversion</w:t>
      </w:r>
      <w:r>
        <w:rPr>
          <w:rFonts w:ascii="Arial" w:cs="Arial" w:eastAsia="Arial" w:hAnsi="Arial"/>
          <w:sz w:val="21"/>
          <w:szCs w:val="21"/>
          <w:color w:val="auto"/>
        </w:rPr>
        <w:t>. If for the purpose of obtaining or enforcing a judgment in any court in any country it becomes necessary to convert into any other currency (the “</w:t>
      </w:r>
      <w:r>
        <w:rPr>
          <w:rFonts w:ascii="Arial" w:cs="Arial" w:eastAsia="Arial" w:hAnsi="Arial"/>
          <w:sz w:val="21"/>
          <w:szCs w:val="21"/>
          <w:b w:val="1"/>
          <w:bCs w:val="1"/>
          <w:color w:val="auto"/>
        </w:rPr>
        <w:t>judgment currency</w:t>
      </w:r>
      <w:r>
        <w:rPr>
          <w:rFonts w:ascii="Arial" w:cs="Arial" w:eastAsia="Arial" w:hAnsi="Arial"/>
          <w:sz w:val="21"/>
          <w:szCs w:val="21"/>
          <w:color w:val="auto"/>
        </w:rPr>
        <w:t>”) an amount due in Dollars under any Transaction Document then the conversion shall be made, in the discretion of the Administrative Agent, at the rate of exchange prevailing either on the date of default or on the day before the day on which the judgment is given or the order for enforcement is made, as the case may be (the “</w:t>
      </w:r>
      <w:r>
        <w:rPr>
          <w:rFonts w:ascii="Arial" w:cs="Arial" w:eastAsia="Arial" w:hAnsi="Arial"/>
          <w:sz w:val="21"/>
          <w:szCs w:val="21"/>
          <w:b w:val="1"/>
          <w:bCs w:val="1"/>
          <w:color w:val="auto"/>
        </w:rPr>
        <w:t>conversion date</w:t>
      </w:r>
      <w:r>
        <w:rPr>
          <w:rFonts w:ascii="Arial" w:cs="Arial" w:eastAsia="Arial" w:hAnsi="Arial"/>
          <w:sz w:val="21"/>
          <w:szCs w:val="21"/>
          <w:color w:val="auto"/>
        </w:rPr>
        <w:t>”), provided that the Administrative Agent shall not be entitled to recover under this section any amount in the judgment currency which exceeds at the conversion date the amount in Dollars, as applicable, due under any Transaction Document.</w:t>
      </w:r>
    </w:p>
    <w:p>
      <w:pPr>
        <w:spacing w:after="0" w:line="184" w:lineRule="exact"/>
        <w:rPr>
          <w:sz w:val="20"/>
          <w:szCs w:val="20"/>
          <w:color w:val="auto"/>
        </w:rPr>
      </w:pPr>
    </w:p>
    <w:p>
      <w:pPr>
        <w:ind w:right="100" w:firstLine="780"/>
        <w:spacing w:after="0" w:line="282" w:lineRule="auto"/>
        <w:rPr>
          <w:sz w:val="20"/>
          <w:szCs w:val="20"/>
          <w:color w:val="auto"/>
        </w:rPr>
      </w:pPr>
      <w:r>
        <w:rPr>
          <w:rFonts w:ascii="Arial" w:cs="Arial" w:eastAsia="Arial" w:hAnsi="Arial"/>
          <w:sz w:val="19"/>
          <w:szCs w:val="19"/>
          <w:color w:val="auto"/>
        </w:rPr>
        <w:t xml:space="preserve">12.2 </w:t>
      </w:r>
      <w:r>
        <w:rPr>
          <w:rFonts w:ascii="Arial" w:cs="Arial" w:eastAsia="Arial" w:hAnsi="Arial"/>
          <w:sz w:val="19"/>
          <w:szCs w:val="19"/>
          <w:u w:val="single" w:color="auto"/>
          <w:color w:val="auto"/>
        </w:rPr>
        <w:t>Change in Exchange Rate</w:t>
      </w:r>
      <w:r>
        <w:rPr>
          <w:rFonts w:ascii="Arial" w:cs="Arial" w:eastAsia="Arial" w:hAnsi="Arial"/>
          <w:sz w:val="19"/>
          <w:szCs w:val="19"/>
          <w:color w:val="auto"/>
        </w:rPr>
        <w:t>. If there is a change in the rate of exchange prevailing between the conversion date and the date of actual payment of the amount due, the Borrowers shall pay such additional amounts (if any, but in any event not a lesser amount) as may be necessary to ensure that the amount paid in the judgment currency when converted at the rate of exchange prevailing on the date of payment will produce the amount then due under the Transaction Documents in Dollars; any excess over the amount due received or collected by the Lenders shall be remitted to the Borrowers.</w:t>
      </w:r>
    </w:p>
    <w:p>
      <w:pPr>
        <w:spacing w:after="0" w:line="147" w:lineRule="exact"/>
        <w:rPr>
          <w:sz w:val="20"/>
          <w:szCs w:val="20"/>
          <w:color w:val="auto"/>
        </w:rPr>
      </w:pPr>
    </w:p>
    <w:p>
      <w:pPr>
        <w:ind w:right="300" w:firstLine="780"/>
        <w:spacing w:after="0"/>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Additional Debt Due</w:t>
      </w:r>
      <w:r>
        <w:rPr>
          <w:rFonts w:ascii="Arial" w:cs="Arial" w:eastAsia="Arial" w:hAnsi="Arial"/>
          <w:sz w:val="22"/>
          <w:szCs w:val="22"/>
          <w:color w:val="auto"/>
        </w:rPr>
        <w:t>. Any amount due from the Borrowers under this Section 12 shall be due as a separate debt and shall not be affected by judgment being obtained for any other sums due under or in respect of the Transaction Documents.</w:t>
      </w:r>
    </w:p>
    <w:p>
      <w:pPr>
        <w:spacing w:after="0" w:line="180" w:lineRule="exact"/>
        <w:rPr>
          <w:sz w:val="20"/>
          <w:szCs w:val="20"/>
          <w:color w:val="auto"/>
        </w:rPr>
      </w:pPr>
    </w:p>
    <w:p>
      <w:pPr>
        <w:ind w:right="160" w:firstLine="780"/>
        <w:spacing w:after="0" w:line="260" w:lineRule="auto"/>
        <w:rPr>
          <w:sz w:val="20"/>
          <w:szCs w:val="20"/>
          <w:color w:val="auto"/>
        </w:rPr>
      </w:pPr>
      <w:r>
        <w:rPr>
          <w:rFonts w:ascii="Arial" w:cs="Arial" w:eastAsia="Arial" w:hAnsi="Arial"/>
          <w:sz w:val="21"/>
          <w:szCs w:val="21"/>
          <w:color w:val="auto"/>
        </w:rPr>
        <w:t xml:space="preserve">12.4 </w:t>
      </w:r>
      <w:r>
        <w:rPr>
          <w:rFonts w:ascii="Arial" w:cs="Arial" w:eastAsia="Arial" w:hAnsi="Arial"/>
          <w:sz w:val="21"/>
          <w:szCs w:val="21"/>
          <w:u w:val="single" w:color="auto"/>
          <w:color w:val="auto"/>
        </w:rPr>
        <w:t>Rate of Exchange</w:t>
      </w:r>
      <w:r>
        <w:rPr>
          <w:rFonts w:ascii="Arial" w:cs="Arial" w:eastAsia="Arial" w:hAnsi="Arial"/>
          <w:sz w:val="21"/>
          <w:szCs w:val="21"/>
          <w:color w:val="auto"/>
        </w:rPr>
        <w:t>. The term “</w:t>
      </w:r>
      <w:r>
        <w:rPr>
          <w:rFonts w:ascii="Arial" w:cs="Arial" w:eastAsia="Arial" w:hAnsi="Arial"/>
          <w:sz w:val="21"/>
          <w:szCs w:val="21"/>
          <w:b w:val="1"/>
          <w:bCs w:val="1"/>
          <w:color w:val="auto"/>
        </w:rPr>
        <w:t>rate of exchange</w:t>
      </w:r>
      <w:r>
        <w:rPr>
          <w:rFonts w:ascii="Arial" w:cs="Arial" w:eastAsia="Arial" w:hAnsi="Arial"/>
          <w:sz w:val="21"/>
          <w:szCs w:val="21"/>
          <w:color w:val="auto"/>
        </w:rPr>
        <w:t>” in this Section 12 means the rate at which the Administrative Agent in accordance with its normal practices is able on the relevant date to purchase Dollars with the judgment currency and includes any premium and costs of exchange payable in connection with such purchase.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194" w:name="page195"/>
    <w:bookmarkEnd w:id="194"/>
    <w:p>
      <w:pPr>
        <w:ind w:left="920" w:hanging="912"/>
        <w:spacing w:after="0"/>
        <w:tabs>
          <w:tab w:leader="none" w:pos="92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FEES AND EXPENSES</w:t>
      </w:r>
    </w:p>
    <w:p>
      <w:pPr>
        <w:spacing w:after="0" w:line="206" w:lineRule="exact"/>
        <w:rPr>
          <w:sz w:val="20"/>
          <w:szCs w:val="20"/>
          <w:color w:val="auto"/>
        </w:rPr>
      </w:pPr>
    </w:p>
    <w:p>
      <w:pPr>
        <w:ind w:firstLine="780"/>
        <w:spacing w:after="0" w:line="328"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u w:val="single" w:color="auto"/>
          <w:color w:val="auto"/>
        </w:rPr>
        <w:t>Fees</w:t>
      </w:r>
      <w:r>
        <w:rPr>
          <w:rFonts w:ascii="Arial" w:cs="Arial" w:eastAsia="Arial" w:hAnsi="Arial"/>
          <w:sz w:val="19"/>
          <w:szCs w:val="19"/>
          <w:color w:val="auto"/>
        </w:rPr>
        <w:t>. The Borrowers shall pay to the Administrative Agent, for further distribution to the Lenders, an upfront fee in an amount equal to one half of one percent (0.50%) of the Facility, to be paid on or before the Original Effective Date.</w:t>
      </w:r>
    </w:p>
    <w:p>
      <w:pPr>
        <w:spacing w:after="0" w:line="105" w:lineRule="exact"/>
        <w:rPr>
          <w:sz w:val="20"/>
          <w:szCs w:val="20"/>
          <w:color w:val="auto"/>
        </w:rPr>
      </w:pPr>
    </w:p>
    <w:p>
      <w:pPr>
        <w:ind w:left="780"/>
        <w:spacing w:after="0"/>
        <w:tabs>
          <w:tab w:leader="none" w:pos="180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u w:val="single" w:color="auto"/>
          <w:color w:val="auto"/>
        </w:rPr>
        <w:t>Expenses</w:t>
      </w:r>
      <w:r>
        <w:rPr>
          <w:rFonts w:ascii="Arial" w:cs="Arial" w:eastAsia="Arial" w:hAnsi="Arial"/>
          <w:sz w:val="19"/>
          <w:szCs w:val="19"/>
          <w:color w:val="auto"/>
        </w:rPr>
        <w:t>. Each of the Borrowers agrees, whether or not the transactions hereby contemplated are</w:t>
      </w:r>
    </w:p>
    <w:p>
      <w:pPr>
        <w:spacing w:after="0" w:line="8"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consummated, on demand to pay, or reimburse the Agents for their payment of, the reasonable expenses of the Agents and (after the occurrence and during the continuance of an Event of Default) the Lenders incident to said transactions (and in connection with any supplements, amendments, waivers or consents relating thereto or incurred in connection with the enforcement or defense of any of the Agents' and the Lenders' rights or remedies with respect thereto or in the preservation of the Agents' and the Lenders' priorities under the documentation executed and delivered in connection therewith) including, without limitation, all reasonable costs and expenses of preparation, negotiation, execution and administration of this Agreement and the documents referred to herein, the reasonable fees and disbursements of the Agents' counsel in connection therewith, as well as the reasonable fees and expenses of any independent appraisers, surveyors, engineers and other consultants retained by the Agents in connection with this transaction, all costs and expenses, if any, in connection with the enforcement of this Agreement and the other Transaction Documents and stamp and other similar taxes, if any, incident to the execution and delivery of the documents (including, without limitation, the other Transaction Documents) herein contemplated and to hold the Creditors free and harmless in connection with any liability arising from the nonpayment of any such stamp or other similar taxes. Such taxes and, if any, interest and penalties related thereto as may become payable after the date hereof shall be paid immediately by the Borrowers to the Creditors when liability therefor is no longer contested by such party or parties or reimbursed immediately by the Borrowers to such party or parties after payment thereof (if the Creditors, at their sole discretion, choose to make such payment).</w:t>
      </w:r>
    </w:p>
    <w:p>
      <w:pPr>
        <w:spacing w:after="0" w:line="170" w:lineRule="exact"/>
        <w:rPr>
          <w:sz w:val="20"/>
          <w:szCs w:val="20"/>
          <w:color w:val="auto"/>
        </w:rPr>
      </w:pPr>
    </w:p>
    <w:p>
      <w:pPr>
        <w:ind w:left="920" w:hanging="912"/>
        <w:spacing w:after="0"/>
        <w:tabs>
          <w:tab w:leader="none" w:pos="92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APPLICABLE LAW, JURISDICTION AND WAIVER</w:t>
      </w:r>
    </w:p>
    <w:p>
      <w:pPr>
        <w:spacing w:after="0" w:line="206" w:lineRule="exact"/>
        <w:rPr>
          <w:sz w:val="20"/>
          <w:szCs w:val="20"/>
          <w:color w:val="auto"/>
        </w:rPr>
      </w:pPr>
    </w:p>
    <w:p>
      <w:pPr>
        <w:ind w:right="360" w:firstLine="780"/>
        <w:spacing w:after="0" w:line="250" w:lineRule="auto"/>
        <w:rPr>
          <w:sz w:val="20"/>
          <w:szCs w:val="20"/>
          <w:color w:val="auto"/>
        </w:rPr>
      </w:pPr>
      <w:r>
        <w:rPr>
          <w:rFonts w:ascii="Arial" w:cs="Arial" w:eastAsia="Arial" w:hAnsi="Arial"/>
          <w:sz w:val="22"/>
          <w:szCs w:val="22"/>
          <w:color w:val="auto"/>
        </w:rPr>
        <w:t xml:space="preserve">14.1 </w:t>
      </w: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shall be governed by, and construed in accordance with, the laws of the State of New York.</w:t>
      </w:r>
    </w:p>
    <w:p>
      <w:pPr>
        <w:spacing w:after="0" w:line="175" w:lineRule="exact"/>
        <w:rPr>
          <w:sz w:val="20"/>
          <w:szCs w:val="20"/>
          <w:color w:val="auto"/>
        </w:rPr>
      </w:pPr>
    </w:p>
    <w:p>
      <w:pPr>
        <w:ind w:right="60" w:firstLine="780"/>
        <w:spacing w:after="0" w:line="272"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u w:val="single" w:color="auto"/>
          <w:color w:val="auto"/>
        </w:rPr>
        <w:t>Jurisdiction</w:t>
      </w:r>
      <w:r>
        <w:rPr>
          <w:rFonts w:ascii="Arial" w:cs="Arial" w:eastAsia="Arial" w:hAnsi="Arial"/>
          <w:sz w:val="19"/>
          <w:szCs w:val="19"/>
          <w:color w:val="auto"/>
        </w:rPr>
        <w:t>. Each of the Security Parties hereby irrevocably submits to the jurisdiction of the courts of the State of New York and of the United States District Court for the Southern District of New York in any action or proceeding brought against it by any of Creditors under this Agreement or under any document delivered hereunder and hereby irrevocably agrees that valid service of summons or other legal process on it may be effected by serving a copy of the summons and other legal process in any such action or proceeding on the Security Parties by mailing or delivering the same by hand to the Security Parties at the address indicated for notices in Section 16.1. The service, as herein provided, of such summons or other legal process in any such action or proceeding shall be deemed personal service and accepted by the Security Parties as such, and shall be legal and binding upon the Security Parties for all the purposes of any such action or proceeding. Final judgment (a certified or exemplified copy of which shall be conclusive evidence of the fact and of the amount of any indebtedness of the Security Parties to the Creditors) against the Security Parties in any such legal action or proceeding shall be conclusive and may be enforced in other jurisdictions by suit on the judgment. The Security Parties will advise the Administrative Agent promptly of any change of address for the purpose of service of process. Notwithstanding anything</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95" w:name="page196"/>
    <w:bookmarkEnd w:id="195"/>
    <w:p>
      <w:pPr>
        <w:spacing w:after="0"/>
        <w:rPr>
          <w:sz w:val="20"/>
          <w:szCs w:val="20"/>
          <w:color w:val="auto"/>
        </w:rPr>
      </w:pPr>
      <w:r>
        <w:rPr>
          <w:rFonts w:ascii="Arial" w:cs="Arial" w:eastAsia="Arial" w:hAnsi="Arial"/>
          <w:sz w:val="22"/>
          <w:szCs w:val="22"/>
          <w:color w:val="auto"/>
        </w:rPr>
        <w:t>herein to the contrary, the Creditors may bring any legal action or proceeding in any other appropriate jurisdiction.</w:t>
      </w:r>
    </w:p>
    <w:p>
      <w:pPr>
        <w:spacing w:after="0" w:line="206" w:lineRule="exact"/>
        <w:rPr>
          <w:sz w:val="20"/>
          <w:szCs w:val="20"/>
          <w:color w:val="auto"/>
        </w:rPr>
      </w:pPr>
    </w:p>
    <w:p>
      <w:pPr>
        <w:ind w:right="40" w:firstLine="780"/>
        <w:spacing w:after="0" w:line="279"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u w:val="single" w:color="auto"/>
          <w:color w:val="auto"/>
        </w:rPr>
        <w:t>WAIVER OF IMMUNITY</w:t>
      </w:r>
      <w:r>
        <w:rPr>
          <w:rFonts w:ascii="Arial" w:cs="Arial" w:eastAsia="Arial" w:hAnsi="Arial"/>
          <w:sz w:val="19"/>
          <w:szCs w:val="19"/>
          <w:color w:val="auto"/>
        </w:rPr>
        <w:t>. TO THE EXTENT THAT ANY OF THE SECURITY PARTIES HAS OR HEREAFTER MAY ACQUIRE ANY IMMUNITY FROM SUIT, JURISDICTION OF ANY COURT OR ANY LEGAL PROCESS (WHETHER THROUGH ATTACHMENT PRIOR TO JUDGMENT, ATTACHMENT IN AID OF EXECUTION, EXECUTION OF A JUDGMENT, OR FROM ANY OTHER LEGAL PROCESS OR REMEDY) WITH RESPECT TO ITSELF OR ITS PROPERTY, EACH OF THE SECURITY PARTIES HEREBY IRREVOCABLY WAIVES SUCH IMMUNITY IN RESPECT OF ITS OBLIGATIONS UNDER THIS AGREEMENT OR ANY OTHER TRANSACTION DOCUMENT.</w:t>
      </w:r>
    </w:p>
    <w:p>
      <w:pPr>
        <w:spacing w:after="0" w:line="150" w:lineRule="exact"/>
        <w:rPr>
          <w:sz w:val="20"/>
          <w:szCs w:val="20"/>
          <w:color w:val="auto"/>
        </w:rPr>
      </w:pPr>
    </w:p>
    <w:p>
      <w:pPr>
        <w:ind w:right="120" w:firstLine="780"/>
        <w:spacing w:after="0" w:line="236" w:lineRule="auto"/>
        <w:rPr>
          <w:sz w:val="20"/>
          <w:szCs w:val="20"/>
          <w:color w:val="auto"/>
        </w:rPr>
      </w:pPr>
      <w:r>
        <w:rPr>
          <w:rFonts w:ascii="Arial" w:cs="Arial" w:eastAsia="Arial" w:hAnsi="Arial"/>
          <w:sz w:val="22"/>
          <w:szCs w:val="22"/>
          <w:color w:val="auto"/>
        </w:rPr>
        <w:t xml:space="preserve">14.4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IT IS MUTUALLY AGREED BY AND AMONG EACH OF THE SECURITY PARTIES AND EACH OF THE CREDITORS THAT EACH OF THEM HEREBY WAIVES TRIAL BY JURY IN ANY ACTION, PROCEEDING OR COUNTERCLAIM BROUGHT BY ANY PARTY HERETO AGAINST ANY OTHER PARTY HERETO ON ANY MATTER WHATSOEVER ARISING OUT OF OR IN ANY WAY CONNECTED WITH THIS AGREEMENT OR THE OTHER TRANSACTION DOCUMENTS.</w:t>
      </w:r>
    </w:p>
    <w:p>
      <w:pPr>
        <w:spacing w:after="0" w:line="187" w:lineRule="exact"/>
        <w:rPr>
          <w:sz w:val="20"/>
          <w:szCs w:val="20"/>
          <w:color w:val="auto"/>
        </w:rPr>
      </w:pPr>
    </w:p>
    <w:p>
      <w:pPr>
        <w:ind w:left="920" w:hanging="912"/>
        <w:spacing w:after="0"/>
        <w:tabs>
          <w:tab w:leader="none" w:pos="92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AGENTS</w:t>
      </w:r>
    </w:p>
    <w:p>
      <w:pPr>
        <w:spacing w:after="0" w:line="206" w:lineRule="exact"/>
        <w:rPr>
          <w:sz w:val="20"/>
          <w:szCs w:val="20"/>
          <w:color w:val="auto"/>
        </w:rPr>
      </w:pPr>
    </w:p>
    <w:p>
      <w:pPr>
        <w:ind w:right="40" w:firstLine="780"/>
        <w:spacing w:after="0" w:line="248" w:lineRule="auto"/>
        <w:rPr>
          <w:sz w:val="20"/>
          <w:szCs w:val="20"/>
          <w:color w:val="auto"/>
        </w:rPr>
      </w:pPr>
      <w:r>
        <w:rPr>
          <w:rFonts w:ascii="Arial" w:cs="Arial" w:eastAsia="Arial" w:hAnsi="Arial"/>
          <w:sz w:val="21"/>
          <w:szCs w:val="21"/>
          <w:color w:val="auto"/>
        </w:rPr>
        <w:t xml:space="preserve">15.1 </w:t>
      </w:r>
      <w:r>
        <w:rPr>
          <w:rFonts w:ascii="Arial" w:cs="Arial" w:eastAsia="Arial" w:hAnsi="Arial"/>
          <w:sz w:val="21"/>
          <w:szCs w:val="21"/>
          <w:u w:val="single" w:color="auto"/>
          <w:color w:val="auto"/>
        </w:rPr>
        <w:t>Appointment of Agents</w:t>
      </w:r>
      <w:r>
        <w:rPr>
          <w:rFonts w:ascii="Arial" w:cs="Arial" w:eastAsia="Arial" w:hAnsi="Arial"/>
          <w:sz w:val="21"/>
          <w:szCs w:val="21"/>
          <w:color w:val="auto"/>
        </w:rPr>
        <w:t>. Each of the Lenders and Hedging Banks irrevocably appoints and authorizes the Administrative Agent to take such action as Administrative Agent on its behalf and to exercise such powers under this Agreement, the Notes and the other Transaction Documents as are delegated to the Administrative Agent by the terms hereof and thereof. Neither the Administrative Agent nor any of its directors, officers, employees or agents shall be liable for any action taken or omitted to be taken by it or them under this Agreement, the Notes or the other Transaction Documents or in connection therewith, except for its or their own gross negligence or willful misconduct.</w:t>
      </w:r>
    </w:p>
    <w:p>
      <w:pPr>
        <w:spacing w:after="0" w:line="177" w:lineRule="exact"/>
        <w:rPr>
          <w:sz w:val="20"/>
          <w:szCs w:val="20"/>
          <w:color w:val="auto"/>
        </w:rPr>
      </w:pPr>
    </w:p>
    <w:p>
      <w:pPr>
        <w:ind w:firstLine="780"/>
        <w:spacing w:after="0" w:line="271" w:lineRule="auto"/>
        <w:rPr>
          <w:sz w:val="20"/>
          <w:szCs w:val="20"/>
          <w:color w:val="auto"/>
        </w:rPr>
      </w:pPr>
      <w:r>
        <w:rPr>
          <w:rFonts w:ascii="Arial" w:cs="Arial" w:eastAsia="Arial" w:hAnsi="Arial"/>
          <w:sz w:val="19"/>
          <w:szCs w:val="19"/>
          <w:color w:val="auto"/>
        </w:rPr>
        <w:t xml:space="preserve">15.2 </w:t>
      </w:r>
      <w:r>
        <w:rPr>
          <w:rFonts w:ascii="Arial" w:cs="Arial" w:eastAsia="Arial" w:hAnsi="Arial"/>
          <w:sz w:val="19"/>
          <w:szCs w:val="19"/>
          <w:u w:val="single" w:color="auto"/>
          <w:color w:val="auto"/>
        </w:rPr>
        <w:t>Appointment of Security Trustee</w:t>
      </w:r>
      <w:r>
        <w:rPr>
          <w:rFonts w:ascii="Arial" w:cs="Arial" w:eastAsia="Arial" w:hAnsi="Arial"/>
          <w:sz w:val="19"/>
          <w:szCs w:val="19"/>
          <w:color w:val="auto"/>
        </w:rPr>
        <w:t>. Each of the Lenders and Hedging Banks irrevocably appoints, designates and authorizes the Security Trustee to act as security trustee on its behalf with regard to (i) the security, powers, rights, titles, benefits and interests (both present and future) constituted by and conferred on the Lenders, the Hedging Banks or any of them or for the benefit thereof under or pursuant to this Agreement or any of the other Transaction Documents (including, without limitation, the benefit of all covenants, undertakings, representations, warranties and obligations given, made or undertaken to any Lender in the Agreement or the other Transaction Documents), (ii) all moneys, property and other assets paid or transferred to or vested in any Lender, any Hedging Bank or any agent thereof or received or recovered by any Lender, any Hedging Bank or any agent thereof pursuant to, or in connection with, this Agreement or the other Transaction Documents whether from any Security Party or any other person and (iii) all money, investments, property and other assets at any time representing or deriving from any of the foregoing, including all interest, income and other sums at any time received or receivable by any Lender, any Hedging Bank or any agent thereof in respect of the same (or any part thereof). The Security Trustee hereby accepts such appointment but shall have no obligations under this Agreement, under the Notes or under any of the other Transaction Documents except those expressly set forth herein and therein. Neither the Security Trustee nor any of its directors, officers, employees or agents shall be liable for any action taken or omitted to be taken by it or them under this Agreement, the Notes or the other Transaction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96" w:name="page197"/>
    <w:bookmarkEnd w:id="196"/>
    <w:p>
      <w:pPr>
        <w:ind w:left="780"/>
        <w:spacing w:after="0"/>
        <w:rPr>
          <w:sz w:val="20"/>
          <w:szCs w:val="20"/>
          <w:color w:val="auto"/>
        </w:rPr>
      </w:pPr>
      <w:r>
        <w:rPr>
          <w:rFonts w:ascii="Arial" w:cs="Arial" w:eastAsia="Arial" w:hAnsi="Arial"/>
          <w:sz w:val="20"/>
          <w:szCs w:val="20"/>
          <w:color w:val="auto"/>
        </w:rPr>
        <w:t>Documents or in connection therewith, except for its or their own gross negligence or willfulmisconduct.</w:t>
      </w:r>
    </w:p>
    <w:p>
      <w:pPr>
        <w:spacing w:after="0" w:line="211" w:lineRule="exact"/>
        <w:rPr>
          <w:sz w:val="20"/>
          <w:szCs w:val="20"/>
          <w:color w:val="auto"/>
        </w:rPr>
      </w:pPr>
    </w:p>
    <w:p>
      <w:pPr>
        <w:ind w:firstLine="780"/>
        <w:spacing w:after="0" w:line="271" w:lineRule="auto"/>
        <w:rPr>
          <w:sz w:val="20"/>
          <w:szCs w:val="20"/>
          <w:color w:val="auto"/>
        </w:rPr>
      </w:pPr>
      <w:r>
        <w:rPr>
          <w:rFonts w:ascii="Arial" w:cs="Arial" w:eastAsia="Arial" w:hAnsi="Arial"/>
          <w:sz w:val="19"/>
          <w:szCs w:val="19"/>
          <w:color w:val="auto"/>
        </w:rPr>
        <w:t xml:space="preserve">15.3 </w:t>
      </w:r>
      <w:r>
        <w:rPr>
          <w:rFonts w:ascii="Arial" w:cs="Arial" w:eastAsia="Arial" w:hAnsi="Arial"/>
          <w:sz w:val="19"/>
          <w:szCs w:val="19"/>
          <w:u w:val="single" w:color="auto"/>
          <w:color w:val="auto"/>
        </w:rPr>
        <w:t>Distribution of Payments</w:t>
      </w:r>
      <w:r>
        <w:rPr>
          <w:rFonts w:ascii="Arial" w:cs="Arial" w:eastAsia="Arial" w:hAnsi="Arial"/>
          <w:sz w:val="19"/>
          <w:szCs w:val="19"/>
          <w:color w:val="auto"/>
        </w:rPr>
        <w:t>. Whenever any payment is received by the Administrative Agent or the Security Trustee from the Borrowers for the account of the Lenders, or any of them, whether of principal or interest on the Notes, commissions, fees under Section 13 or otherwise, it will thereafter cause to be distributed on the day of receipt if received before 10:00 a.m. New York time, or on the day after receipt if received thereafter, like funds relating to such payment ratably to the Lenders according to their respective Commitments, in each case to be applied according to the terms of this Agreement. Unless the Administrative Agent or the Security Trustee, as the case may be, shall have received notice from the Borrowers prior to the date when any payment is due hereunder that the Borrowers will not make any payment on such date, the Administrative Agent or the Security Trustee may assume that the Borrowers have made such payment to the Administrative Agent or the Security Trustee, as the case may be, on the relevant date and the Administrative Agent or the Security Trustee may, in reliance upon such assumption, make available to the Lenders on such date a corresponding amount relating to such payment ratably to the Lenders according to their respective Commitments. If and to the extent that the Borrowers shall not have so made such payment available to the Administrative Agent or the Security Trustee, as the case may be, the Lenders and the Borrowers (but without duplication) severally agree to repay to the Administrative Agent or the Security Trustee, as the case may be, forthwith on demand such corresponding amount together with interest thereon, for each day from the date such amount is made available to the Lenders until the date such amount is repaid to the Administrative Agent or the Security Trustee, as the case may be, as calculated by the Administrative Agent or Security Trustee to reflect its cost of funds.</w:t>
      </w:r>
    </w:p>
    <w:p>
      <w:pPr>
        <w:spacing w:after="0" w:line="200" w:lineRule="exact"/>
        <w:rPr>
          <w:sz w:val="20"/>
          <w:szCs w:val="20"/>
          <w:color w:val="auto"/>
        </w:rPr>
      </w:pPr>
    </w:p>
    <w:p>
      <w:pPr>
        <w:spacing w:after="0" w:line="203" w:lineRule="exact"/>
        <w:rPr>
          <w:sz w:val="20"/>
          <w:szCs w:val="20"/>
          <w:color w:val="auto"/>
        </w:rPr>
      </w:pPr>
    </w:p>
    <w:p>
      <w:pPr>
        <w:ind w:right="420" w:firstLine="780"/>
        <w:spacing w:after="0" w:line="250" w:lineRule="auto"/>
        <w:rPr>
          <w:sz w:val="20"/>
          <w:szCs w:val="20"/>
          <w:color w:val="auto"/>
        </w:rPr>
      </w:pPr>
      <w:r>
        <w:rPr>
          <w:rFonts w:ascii="Arial" w:cs="Arial" w:eastAsia="Arial" w:hAnsi="Arial"/>
          <w:sz w:val="22"/>
          <w:szCs w:val="22"/>
          <w:color w:val="auto"/>
        </w:rPr>
        <w:t xml:space="preserve">15.4 </w:t>
      </w:r>
      <w:r>
        <w:rPr>
          <w:rFonts w:ascii="Arial" w:cs="Arial" w:eastAsia="Arial" w:hAnsi="Arial"/>
          <w:sz w:val="22"/>
          <w:szCs w:val="22"/>
          <w:u w:val="single" w:color="auto"/>
          <w:color w:val="auto"/>
        </w:rPr>
        <w:t>Holder of Interest in Notes</w:t>
      </w:r>
      <w:r>
        <w:rPr>
          <w:rFonts w:ascii="Arial" w:cs="Arial" w:eastAsia="Arial" w:hAnsi="Arial"/>
          <w:sz w:val="22"/>
          <w:szCs w:val="22"/>
          <w:color w:val="auto"/>
        </w:rPr>
        <w:t>. The Agents may treat each Lender as the holder of all of the interest of such Lender in its respective Note.</w:t>
      </w:r>
    </w:p>
    <w:p>
      <w:pPr>
        <w:spacing w:after="0" w:line="175" w:lineRule="exact"/>
        <w:rPr>
          <w:sz w:val="20"/>
          <w:szCs w:val="20"/>
          <w:color w:val="auto"/>
        </w:rPr>
      </w:pPr>
    </w:p>
    <w:p>
      <w:pPr>
        <w:ind w:right="140" w:firstLine="780"/>
        <w:spacing w:after="0" w:line="236" w:lineRule="auto"/>
        <w:rPr>
          <w:sz w:val="20"/>
          <w:szCs w:val="20"/>
          <w:color w:val="auto"/>
        </w:rPr>
      </w:pPr>
      <w:r>
        <w:rPr>
          <w:rFonts w:ascii="Arial" w:cs="Arial" w:eastAsia="Arial" w:hAnsi="Arial"/>
          <w:sz w:val="22"/>
          <w:szCs w:val="22"/>
          <w:color w:val="auto"/>
        </w:rPr>
        <w:t xml:space="preserve">15.5 </w:t>
      </w:r>
      <w:r>
        <w:rPr>
          <w:rFonts w:ascii="Arial" w:cs="Arial" w:eastAsia="Arial" w:hAnsi="Arial"/>
          <w:sz w:val="22"/>
          <w:szCs w:val="22"/>
          <w:u w:val="single" w:color="auto"/>
          <w:color w:val="auto"/>
        </w:rPr>
        <w:t>No Duty to Examine, Etc</w:t>
      </w:r>
      <w:r>
        <w:rPr>
          <w:rFonts w:ascii="Arial" w:cs="Arial" w:eastAsia="Arial" w:hAnsi="Arial"/>
          <w:sz w:val="22"/>
          <w:szCs w:val="22"/>
          <w:color w:val="auto"/>
        </w:rPr>
        <w:t>. The Agents shall not be under a duty to examine or pass upon the validity, effectiveness or genuineness of any of this Agreement, the other Transaction Documents or any instrument, document or communication furnished pursuant to this Agreement or in connection therewith or in connection with any other Transaction Document, and the Agents shall be entitled to assume that the same are valid, effective and genuine, have been signed or sent by the proper parties and are what they purport to be.</w:t>
      </w:r>
    </w:p>
    <w:p>
      <w:pPr>
        <w:spacing w:after="0" w:line="187" w:lineRule="exact"/>
        <w:rPr>
          <w:sz w:val="20"/>
          <w:szCs w:val="20"/>
          <w:color w:val="auto"/>
        </w:rPr>
      </w:pPr>
    </w:p>
    <w:p>
      <w:pPr>
        <w:ind w:right="140" w:firstLine="780"/>
        <w:spacing w:after="0" w:line="287" w:lineRule="auto"/>
        <w:rPr>
          <w:sz w:val="20"/>
          <w:szCs w:val="20"/>
          <w:color w:val="auto"/>
        </w:rPr>
      </w:pPr>
      <w:r>
        <w:rPr>
          <w:rFonts w:ascii="Arial" w:cs="Arial" w:eastAsia="Arial" w:hAnsi="Arial"/>
          <w:sz w:val="19"/>
          <w:szCs w:val="19"/>
          <w:color w:val="auto"/>
        </w:rPr>
        <w:t xml:space="preserve">15.6 </w:t>
      </w:r>
      <w:r>
        <w:rPr>
          <w:rFonts w:ascii="Arial" w:cs="Arial" w:eastAsia="Arial" w:hAnsi="Arial"/>
          <w:sz w:val="19"/>
          <w:szCs w:val="19"/>
          <w:u w:val="single" w:color="auto"/>
          <w:color w:val="auto"/>
        </w:rPr>
        <w:t>Agents as Lenders</w:t>
      </w:r>
      <w:r>
        <w:rPr>
          <w:rFonts w:ascii="Arial" w:cs="Arial" w:eastAsia="Arial" w:hAnsi="Arial"/>
          <w:sz w:val="19"/>
          <w:szCs w:val="19"/>
          <w:color w:val="auto"/>
        </w:rPr>
        <w:t>. With respect to that portion of the Facility made available by it, each Agent shall have the same rights and powers hereunder as any other Lender and may exercise the same as though it were not an Agent, and the term “Lender” or “Lenders” shall include the Agent in its capacity as a Lender. Each Agent and its affiliates may accept deposits from, lend money to and generally engage in any kind of business with, the Borrowers as if it were not an Agent.</w:t>
      </w:r>
    </w:p>
    <w:p>
      <w:pPr>
        <w:spacing w:after="0" w:line="143" w:lineRule="exact"/>
        <w:rPr>
          <w:sz w:val="20"/>
          <w:szCs w:val="20"/>
          <w:color w:val="auto"/>
        </w:rPr>
      </w:pPr>
    </w:p>
    <w:p>
      <w:pPr>
        <w:ind w:left="780"/>
        <w:spacing w:after="0"/>
        <w:tabs>
          <w:tab w:leader="none" w:pos="1800" w:val="left"/>
        </w:tabs>
        <w:rPr>
          <w:sz w:val="20"/>
          <w:szCs w:val="20"/>
          <w:color w:val="auto"/>
        </w:rPr>
      </w:pPr>
      <w:r>
        <w:rPr>
          <w:rFonts w:ascii="Arial" w:cs="Arial" w:eastAsia="Arial" w:hAnsi="Arial"/>
          <w:sz w:val="22"/>
          <w:szCs w:val="22"/>
          <w:color w:val="auto"/>
        </w:rPr>
        <w:t>15.7</w:t>
      </w:r>
      <w:r>
        <w:rPr>
          <w:sz w:val="20"/>
          <w:szCs w:val="20"/>
          <w:color w:val="auto"/>
        </w:rPr>
        <w:tab/>
      </w:r>
      <w:r>
        <w:rPr>
          <w:rFonts w:ascii="Arial" w:cs="Arial" w:eastAsia="Arial" w:hAnsi="Arial"/>
          <w:sz w:val="19"/>
          <w:szCs w:val="19"/>
          <w:u w:val="single" w:color="auto"/>
          <w:color w:val="auto"/>
        </w:rPr>
        <w:t>Acts of the Agents</w:t>
      </w:r>
      <w:r>
        <w:rPr>
          <w:rFonts w:ascii="Arial" w:cs="Arial" w:eastAsia="Arial" w:hAnsi="Arial"/>
          <w:sz w:val="19"/>
          <w:szCs w:val="19"/>
          <w:color w:val="auto"/>
        </w:rPr>
        <w:t>. Each Agent shall have duties and discretion, and shall act as follows:</w:t>
      </w:r>
    </w:p>
    <w:p>
      <w:pPr>
        <w:spacing w:after="0" w:line="206" w:lineRule="exact"/>
        <w:rPr>
          <w:sz w:val="20"/>
          <w:szCs w:val="20"/>
          <w:color w:val="auto"/>
        </w:rPr>
      </w:pPr>
    </w:p>
    <w:p>
      <w:pPr>
        <w:ind w:right="320" w:firstLine="1569"/>
        <w:spacing w:after="0" w:line="250" w:lineRule="auto"/>
        <w:tabs>
          <w:tab w:leader="none" w:pos="2446" w:val="left"/>
        </w:tabs>
        <w:numPr>
          <w:ilvl w:val="0"/>
          <w:numId w:val="181"/>
        </w:numPr>
        <w:rPr>
          <w:rFonts w:ascii="Arial" w:cs="Arial" w:eastAsia="Arial" w:hAnsi="Arial"/>
          <w:sz w:val="22"/>
          <w:szCs w:val="22"/>
          <w:color w:val="auto"/>
        </w:rPr>
      </w:pPr>
      <w:r>
        <w:rPr>
          <w:rFonts w:ascii="Arial" w:cs="Arial" w:eastAsia="Arial" w:hAnsi="Arial"/>
          <w:sz w:val="22"/>
          <w:szCs w:val="22"/>
          <w:u w:val="single" w:color="auto"/>
          <w:color w:val="auto"/>
        </w:rPr>
        <w:t>Obligations of the Agents</w:t>
      </w:r>
      <w:r>
        <w:rPr>
          <w:rFonts w:ascii="Arial" w:cs="Arial" w:eastAsia="Arial" w:hAnsi="Arial"/>
          <w:sz w:val="22"/>
          <w:szCs w:val="22"/>
          <w:color w:val="auto"/>
        </w:rPr>
        <w:t>. The obligations of each Agent under this Agreement, the Notes and the other Transaction Documents are only those expressly set forth herein and therein;</w:t>
      </w:r>
    </w:p>
    <w:p>
      <w:pPr>
        <w:spacing w:after="0" w:line="174" w:lineRule="exact"/>
        <w:rPr>
          <w:rFonts w:ascii="Arial" w:cs="Arial" w:eastAsia="Arial" w:hAnsi="Arial"/>
          <w:sz w:val="22"/>
          <w:szCs w:val="22"/>
          <w:color w:val="auto"/>
        </w:rPr>
      </w:pPr>
    </w:p>
    <w:p>
      <w:pPr>
        <w:ind w:right="40" w:firstLine="1569"/>
        <w:spacing w:after="0"/>
        <w:tabs>
          <w:tab w:leader="none" w:pos="2458" w:val="left"/>
        </w:tabs>
        <w:numPr>
          <w:ilvl w:val="0"/>
          <w:numId w:val="181"/>
        </w:numPr>
        <w:rPr>
          <w:rFonts w:ascii="Arial" w:cs="Arial" w:eastAsia="Arial" w:hAnsi="Arial"/>
          <w:sz w:val="22"/>
          <w:szCs w:val="22"/>
          <w:color w:val="auto"/>
        </w:rPr>
      </w:pPr>
      <w:r>
        <w:rPr>
          <w:rFonts w:ascii="Arial" w:cs="Arial" w:eastAsia="Arial" w:hAnsi="Arial"/>
          <w:sz w:val="22"/>
          <w:szCs w:val="22"/>
          <w:u w:val="single" w:color="auto"/>
          <w:color w:val="auto"/>
        </w:rPr>
        <w:t>No Duty to Investigate</w:t>
      </w:r>
      <w:r>
        <w:rPr>
          <w:rFonts w:ascii="Arial" w:cs="Arial" w:eastAsia="Arial" w:hAnsi="Arial"/>
          <w:sz w:val="22"/>
          <w:szCs w:val="22"/>
          <w:color w:val="auto"/>
        </w:rPr>
        <w:t>. No Agent shall at any time, unless requested to do so by a Lender or Lenders, be under any duty to enquire whether an Event of Default or a Default has occurred or to investigate the performance of this Agreement, the Notes or any Security Document by any Security Party; and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82" w:right="399" w:bottom="1440" w:gutter="0" w:footer="0" w:header="0"/>
        </w:sectPr>
      </w:pPr>
    </w:p>
    <w:bookmarkStart w:id="197" w:name="page198"/>
    <w:bookmarkEnd w:id="197"/>
    <w:p>
      <w:pPr>
        <w:ind w:right="40" w:firstLine="1569"/>
        <w:spacing w:after="0" w:line="248" w:lineRule="auto"/>
        <w:tabs>
          <w:tab w:leader="none" w:pos="2446" w:val="left"/>
        </w:tabs>
        <w:numPr>
          <w:ilvl w:val="0"/>
          <w:numId w:val="182"/>
        </w:numPr>
        <w:rPr>
          <w:rFonts w:ascii="Arial" w:cs="Arial" w:eastAsia="Arial" w:hAnsi="Arial"/>
          <w:sz w:val="21"/>
          <w:szCs w:val="21"/>
          <w:color w:val="auto"/>
        </w:rPr>
      </w:pPr>
      <w:r>
        <w:rPr>
          <w:rFonts w:ascii="Arial" w:cs="Arial" w:eastAsia="Arial" w:hAnsi="Arial"/>
          <w:sz w:val="21"/>
          <w:szCs w:val="21"/>
          <w:u w:val="single" w:color="auto"/>
          <w:color w:val="auto"/>
        </w:rPr>
        <w:t>Discretion of the Agents</w:t>
      </w:r>
      <w:r>
        <w:rPr>
          <w:rFonts w:ascii="Arial" w:cs="Arial" w:eastAsia="Arial" w:hAnsi="Arial"/>
          <w:sz w:val="21"/>
          <w:szCs w:val="21"/>
          <w:color w:val="auto"/>
        </w:rPr>
        <w:t>. Each Agent shall be entitled to use its discretion with respect to exercising or refraining from exercising any rights which may be vested in it by, and with respect to taking or refraining from taking any action or actions which it may be able to take under or in respect of, this Agreement and the other Transaction Documents, unless the Administrative Agent shall have been instructed by the Majority Lenders to exercise such rights or to take or refrain from taking such action; provided, however, that no Agent shall be required to take any action which exposes it to personal liability or which is contrary to this Agreement or applicable law;</w:t>
      </w:r>
    </w:p>
    <w:p>
      <w:pPr>
        <w:spacing w:after="0" w:line="176" w:lineRule="exact"/>
        <w:rPr>
          <w:rFonts w:ascii="Arial" w:cs="Arial" w:eastAsia="Arial" w:hAnsi="Arial"/>
          <w:sz w:val="21"/>
          <w:szCs w:val="21"/>
          <w:color w:val="auto"/>
        </w:rPr>
      </w:pPr>
    </w:p>
    <w:p>
      <w:pPr>
        <w:ind w:right="240" w:firstLine="1569"/>
        <w:spacing w:after="0" w:line="297" w:lineRule="auto"/>
        <w:tabs>
          <w:tab w:leader="none" w:pos="2458"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Instructions of Majority Lenders</w:t>
      </w:r>
      <w:r>
        <w:rPr>
          <w:rFonts w:ascii="Arial" w:cs="Arial" w:eastAsia="Arial" w:hAnsi="Arial"/>
          <w:sz w:val="19"/>
          <w:szCs w:val="19"/>
          <w:color w:val="auto"/>
        </w:rPr>
        <w:t>. Each Agent shall in all cases be fully protected in acting or refraining from acting under this Agreement or under any other Transaction Document in accordance with the instructions of the Majority Lenders, and any action taken or failure to act pursuant to such instructions shall be binding on all of the Lenders.</w:t>
      </w:r>
    </w:p>
    <w:p>
      <w:pPr>
        <w:spacing w:after="0" w:line="134" w:lineRule="exact"/>
        <w:rPr>
          <w:sz w:val="20"/>
          <w:szCs w:val="20"/>
          <w:color w:val="auto"/>
        </w:rPr>
      </w:pPr>
    </w:p>
    <w:p>
      <w:pPr>
        <w:ind w:firstLine="780"/>
        <w:spacing w:after="0" w:line="271" w:lineRule="auto"/>
        <w:rPr>
          <w:sz w:val="20"/>
          <w:szCs w:val="20"/>
          <w:color w:val="auto"/>
        </w:rPr>
      </w:pPr>
      <w:r>
        <w:rPr>
          <w:rFonts w:ascii="Arial" w:cs="Arial" w:eastAsia="Arial" w:hAnsi="Arial"/>
          <w:sz w:val="19"/>
          <w:szCs w:val="19"/>
          <w:color w:val="auto"/>
        </w:rPr>
        <w:t xml:space="preserve">15.8 </w:t>
      </w:r>
      <w:r>
        <w:rPr>
          <w:rFonts w:ascii="Arial" w:cs="Arial" w:eastAsia="Arial" w:hAnsi="Arial"/>
          <w:sz w:val="19"/>
          <w:szCs w:val="19"/>
          <w:u w:val="single" w:color="auto"/>
          <w:color w:val="auto"/>
        </w:rPr>
        <w:t>Certain Amendments</w:t>
      </w:r>
      <w:r>
        <w:rPr>
          <w:rFonts w:ascii="Arial" w:cs="Arial" w:eastAsia="Arial" w:hAnsi="Arial"/>
          <w:sz w:val="19"/>
          <w:szCs w:val="19"/>
          <w:color w:val="auto"/>
        </w:rPr>
        <w:t>. Neither this Agreement, the Notes nor any of the Security Documents nor any terms hereof or thereof may be amended unless such amendment is approved by the Borrowers and the Majority Lenders, provided that no such amendment shall, without the consent of each Lender affected thereby, (i) reduce the interest rate or extend the time of payment of scheduled principal payments or interest or fees on the Facility, or reduce the principal amount of the Facility or any fees hereunder, (ii) increase or decrease the Commitment of any Lender or subject any Lender to any additional obligation (it being understood that a waiver of any Event of Default or any mandatory repayment of the Facility shall not constitute a change in the terms of any Commitment of any Lender), (iii) amend, modify or waive any provision of this Section 15.8, (iv) amend the definition of Majority Lenders or any other definition referred to in this Section 15.8, (v) amend any provision specifying the number or percentage of Lenders required to waive, amend or modify any rights thereunder or make any determination or grant any consent thereunder, (vi) consent to the assignment or transfer by any of the Borrowers of any of its rights and obligations under this Agreement, (vii) release any Security Party from any of its obligations or release any collateral under any Security Document except as expressly provided herein or in such Security Document, (viii) amend Section 5.5 or Section 8.3, or (ix) amend any provision relating to the maintenance of collateral under Section 9.4. All amendments approved by the Majority Lenders under this Section 15.8 must be in writing and signed by each of the Borrowers and each of the Lenders comprising the Majority Lenders. No provision of this Section 15 or any other provisions relating to the Agent may be modified without the consent of the Administrative Agent.</w:t>
      </w:r>
    </w:p>
    <w:p>
      <w:pPr>
        <w:spacing w:after="0" w:line="200" w:lineRule="exact"/>
        <w:rPr>
          <w:sz w:val="20"/>
          <w:szCs w:val="20"/>
          <w:color w:val="auto"/>
        </w:rPr>
      </w:pPr>
    </w:p>
    <w:p>
      <w:pPr>
        <w:spacing w:after="0" w:line="203" w:lineRule="exact"/>
        <w:rPr>
          <w:sz w:val="20"/>
          <w:szCs w:val="20"/>
          <w:color w:val="auto"/>
        </w:rPr>
      </w:pPr>
    </w:p>
    <w:p>
      <w:pPr>
        <w:ind w:right="20" w:firstLine="780"/>
        <w:spacing w:after="0" w:line="277" w:lineRule="auto"/>
        <w:rPr>
          <w:sz w:val="20"/>
          <w:szCs w:val="20"/>
          <w:color w:val="auto"/>
        </w:rPr>
      </w:pPr>
      <w:r>
        <w:rPr>
          <w:rFonts w:ascii="Arial" w:cs="Arial" w:eastAsia="Arial" w:hAnsi="Arial"/>
          <w:sz w:val="19"/>
          <w:szCs w:val="19"/>
          <w:color w:val="auto"/>
        </w:rPr>
        <w:t xml:space="preserve">15.9 </w:t>
      </w:r>
      <w:r>
        <w:rPr>
          <w:rFonts w:ascii="Arial" w:cs="Arial" w:eastAsia="Arial" w:hAnsi="Arial"/>
          <w:sz w:val="19"/>
          <w:szCs w:val="19"/>
          <w:u w:val="single" w:color="auto"/>
          <w:color w:val="auto"/>
        </w:rPr>
        <w:t>Assumption re Event of Default</w:t>
      </w:r>
      <w:r>
        <w:rPr>
          <w:rFonts w:ascii="Arial" w:cs="Arial" w:eastAsia="Arial" w:hAnsi="Arial"/>
          <w:sz w:val="19"/>
          <w:szCs w:val="19"/>
          <w:color w:val="auto"/>
        </w:rPr>
        <w:t>. Except as otherwise provided in Section 15.15, the Administrative Agent and the Security Trustee shall be entitled to assume that no Event of Default or Default has occurred and is continuing, unless it has been notified by any Security Party of such fact, or has been notified by a Lender that such Lender considers that an Event of Default or such an event (specifying in detail the nature thereof) has occurred and is continuing. In the event that either thereof shall have been notified by any Security Party or any Lender in the manner set forth in the preceding sentence of any Event of Default or Default, the Administrative Agent shall notify the Lenders and shall take action and assert such rights under this Agreement, under the Notes and under Security Documents as the Majority Lenders shall request in writing.</w:t>
      </w:r>
    </w:p>
    <w:p>
      <w:pPr>
        <w:spacing w:after="0" w:line="152" w:lineRule="exact"/>
        <w:rPr>
          <w:sz w:val="20"/>
          <w:szCs w:val="20"/>
          <w:color w:val="auto"/>
        </w:rPr>
      </w:pPr>
    </w:p>
    <w:p>
      <w:pPr>
        <w:ind w:left="780"/>
        <w:spacing w:after="0"/>
        <w:tabs>
          <w:tab w:leader="none" w:pos="1900" w:val="left"/>
        </w:tabs>
        <w:rPr>
          <w:sz w:val="20"/>
          <w:szCs w:val="20"/>
          <w:color w:val="auto"/>
        </w:rPr>
      </w:pPr>
      <w:r>
        <w:rPr>
          <w:rFonts w:ascii="Arial" w:cs="Arial" w:eastAsia="Arial" w:hAnsi="Arial"/>
          <w:sz w:val="22"/>
          <w:szCs w:val="22"/>
          <w:color w:val="auto"/>
        </w:rPr>
        <w:t>15.10</w:t>
      </w:r>
      <w:r>
        <w:rPr>
          <w:sz w:val="20"/>
          <w:szCs w:val="20"/>
          <w:color w:val="auto"/>
        </w:rPr>
        <w:tab/>
      </w:r>
      <w:r>
        <w:rPr>
          <w:rFonts w:ascii="Arial" w:cs="Arial" w:eastAsia="Arial" w:hAnsi="Arial"/>
          <w:sz w:val="19"/>
          <w:szCs w:val="19"/>
          <w:u w:val="single" w:color="auto"/>
          <w:color w:val="auto"/>
        </w:rPr>
        <w:t>Limitations of Liability</w:t>
      </w:r>
      <w:r>
        <w:rPr>
          <w:rFonts w:ascii="Arial" w:cs="Arial" w:eastAsia="Arial" w:hAnsi="Arial"/>
          <w:sz w:val="19"/>
          <w:szCs w:val="19"/>
          <w:color w:val="auto"/>
        </w:rPr>
        <w:t>. No Agent or Lender shall be under any liability or responsibility whatsoever:</w:t>
      </w:r>
    </w:p>
    <w:p>
      <w:pPr>
        <w:spacing w:after="0" w:line="8" w:lineRule="exact"/>
        <w:rPr>
          <w:sz w:val="20"/>
          <w:szCs w:val="20"/>
          <w:color w:val="auto"/>
        </w:rPr>
      </w:pPr>
    </w:p>
    <w:p>
      <w:pPr>
        <w:ind w:right="220" w:firstLine="1569"/>
        <w:spacing w:after="0" w:line="234" w:lineRule="auto"/>
        <w:tabs>
          <w:tab w:leader="none" w:pos="2446"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to any Security Party or any other person or entity as a consequence of any failure or delay in performance by, or any breach by, any other Lenders or any other person of any of its or their obligations under this Agreement or under any Security Document;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198" w:name="page199"/>
    <w:bookmarkEnd w:id="198"/>
    <w:p>
      <w:pPr>
        <w:ind w:right="200" w:firstLine="1569"/>
        <w:spacing w:after="0" w:line="328" w:lineRule="auto"/>
        <w:tabs>
          <w:tab w:leader="none" w:pos="2458" w:val="left"/>
        </w:tabs>
        <w:numPr>
          <w:ilvl w:val="0"/>
          <w:numId w:val="184"/>
        </w:numPr>
        <w:rPr>
          <w:rFonts w:ascii="Arial" w:cs="Arial" w:eastAsia="Arial" w:hAnsi="Arial"/>
          <w:sz w:val="19"/>
          <w:szCs w:val="19"/>
          <w:color w:val="auto"/>
        </w:rPr>
      </w:pPr>
      <w:r>
        <w:rPr>
          <w:rFonts w:ascii="Arial" w:cs="Arial" w:eastAsia="Arial" w:hAnsi="Arial"/>
          <w:sz w:val="19"/>
          <w:szCs w:val="19"/>
          <w:color w:val="auto"/>
        </w:rPr>
        <w:t>to any Lender or Lenders as a consequence of any failure or delay in performance by, or any breach by, any Security Party of any of its respective obligations under this Agreement or under the other Transaction Documents; or</w:t>
      </w:r>
    </w:p>
    <w:p>
      <w:pPr>
        <w:spacing w:after="0" w:line="104" w:lineRule="exact"/>
        <w:rPr>
          <w:rFonts w:ascii="Arial" w:cs="Arial" w:eastAsia="Arial" w:hAnsi="Arial"/>
          <w:sz w:val="19"/>
          <w:szCs w:val="19"/>
          <w:color w:val="auto"/>
        </w:rPr>
      </w:pPr>
    </w:p>
    <w:p>
      <w:pPr>
        <w:ind w:firstLine="1569"/>
        <w:spacing w:after="0" w:line="287" w:lineRule="auto"/>
        <w:tabs>
          <w:tab w:leader="none" w:pos="2446" w:val="left"/>
        </w:tabs>
        <w:numPr>
          <w:ilvl w:val="0"/>
          <w:numId w:val="184"/>
        </w:numPr>
        <w:rPr>
          <w:rFonts w:ascii="Arial" w:cs="Arial" w:eastAsia="Arial" w:hAnsi="Arial"/>
          <w:sz w:val="19"/>
          <w:szCs w:val="19"/>
          <w:color w:val="auto"/>
        </w:rPr>
      </w:pPr>
      <w:r>
        <w:rPr>
          <w:rFonts w:ascii="Arial" w:cs="Arial" w:eastAsia="Arial" w:hAnsi="Arial"/>
          <w:sz w:val="19"/>
          <w:szCs w:val="19"/>
          <w:color w:val="auto"/>
        </w:rPr>
        <w:t>to any Lender or Lenders for any statements, representations or warranties contained in this Agreement, in any Security Document or in any document or instrument delivered in connection with the transaction hereby contemplated; or for the validity, effectiveness, enforceability or sufficiency of this Agreement, any other Transaction Document or any document or instrument delivered in connection with the transactions hereby contemplated.</w:t>
      </w:r>
    </w:p>
    <w:p>
      <w:pPr>
        <w:spacing w:after="0" w:line="143" w:lineRule="exact"/>
        <w:rPr>
          <w:sz w:val="20"/>
          <w:szCs w:val="20"/>
          <w:color w:val="auto"/>
        </w:rPr>
      </w:pPr>
    </w:p>
    <w:p>
      <w:pPr>
        <w:ind w:right="160" w:firstLine="780"/>
        <w:spacing w:after="0" w:line="273" w:lineRule="auto"/>
        <w:rPr>
          <w:sz w:val="20"/>
          <w:szCs w:val="20"/>
          <w:color w:val="auto"/>
        </w:rPr>
      </w:pPr>
      <w:r>
        <w:rPr>
          <w:rFonts w:ascii="Arial" w:cs="Arial" w:eastAsia="Arial" w:hAnsi="Arial"/>
          <w:sz w:val="19"/>
          <w:szCs w:val="19"/>
          <w:color w:val="auto"/>
        </w:rPr>
        <w:t xml:space="preserve">15.11 </w:t>
      </w:r>
      <w:r>
        <w:rPr>
          <w:rFonts w:ascii="Arial" w:cs="Arial" w:eastAsia="Arial" w:hAnsi="Arial"/>
          <w:sz w:val="19"/>
          <w:szCs w:val="19"/>
          <w:u w:val="single" w:color="auto"/>
          <w:color w:val="auto"/>
        </w:rPr>
        <w:t>Indemnification of the Agent and Security Trustee</w:t>
      </w:r>
      <w:r>
        <w:rPr>
          <w:rFonts w:ascii="Arial" w:cs="Arial" w:eastAsia="Arial" w:hAnsi="Arial"/>
          <w:sz w:val="19"/>
          <w:szCs w:val="19"/>
          <w:color w:val="auto"/>
        </w:rPr>
        <w:t>. The Lenders and Hedging Banks agree to indemnify each Agent (to the extent not reimbursed by the Security Parties or any thereof), pro rata according to the respective amounts of their Commitments, from and against any and all liabilities, obligations, losses, damages, penalties, actions, judgments, suits, costs, expenses or disbursements of any kind or nature whatsoever (including legal fees and expenses incurred in investigating claims and defending itself against such liabilities) which may be imposed on, incurred by or asserted against, such Agent in any way relating to or arising out of this Agreement or any other Transaction Document, any action taken or omitted by such Agent thereunder or the preparation, administration, amendment or enforcement of, or waiver of any provision of, this Agreement or any other Transaction Document, except that no Lender or Hedging Bank shall be liable for any portion of such liabilities, obligations, losses, damages, penalties, actions, judgments, suits, costs, expenses or disbursements resulting from the gross negligence or willful misconduct of any such Agent.</w:t>
      </w:r>
    </w:p>
    <w:p>
      <w:pPr>
        <w:spacing w:after="0" w:line="161" w:lineRule="exact"/>
        <w:rPr>
          <w:sz w:val="20"/>
          <w:szCs w:val="20"/>
          <w:color w:val="auto"/>
        </w:rPr>
      </w:pPr>
    </w:p>
    <w:p>
      <w:pPr>
        <w:ind w:right="440" w:firstLine="780"/>
        <w:spacing w:after="0"/>
        <w:rPr>
          <w:sz w:val="20"/>
          <w:szCs w:val="20"/>
          <w:color w:val="auto"/>
        </w:rPr>
      </w:pPr>
      <w:r>
        <w:rPr>
          <w:rFonts w:ascii="Arial" w:cs="Arial" w:eastAsia="Arial" w:hAnsi="Arial"/>
          <w:sz w:val="22"/>
          <w:szCs w:val="22"/>
          <w:color w:val="auto"/>
        </w:rPr>
        <w:t xml:space="preserve">15.12 </w:t>
      </w:r>
      <w:r>
        <w:rPr>
          <w:rFonts w:ascii="Arial" w:cs="Arial" w:eastAsia="Arial" w:hAnsi="Arial"/>
          <w:sz w:val="22"/>
          <w:szCs w:val="22"/>
          <w:u w:val="single" w:color="auto"/>
          <w:color w:val="auto"/>
        </w:rPr>
        <w:t>Consultation with Counsel</w:t>
      </w:r>
      <w:r>
        <w:rPr>
          <w:rFonts w:ascii="Arial" w:cs="Arial" w:eastAsia="Arial" w:hAnsi="Arial"/>
          <w:sz w:val="22"/>
          <w:szCs w:val="22"/>
          <w:color w:val="auto"/>
        </w:rPr>
        <w:t>. Each of the Administrative Agent and the Security Trustee may consult with legal counsel selected by such Agent and shall not be liable for any action taken, permitted or omitted by it in good faith in accordance with the advice or opinion of such counsel.</w:t>
      </w:r>
    </w:p>
    <w:p>
      <w:pPr>
        <w:spacing w:after="0" w:line="186" w:lineRule="exact"/>
        <w:rPr>
          <w:sz w:val="20"/>
          <w:szCs w:val="20"/>
          <w:color w:val="auto"/>
        </w:rPr>
      </w:pPr>
    </w:p>
    <w:p>
      <w:pPr>
        <w:ind w:right="40" w:firstLine="780"/>
        <w:spacing w:after="0" w:line="273" w:lineRule="auto"/>
        <w:rPr>
          <w:sz w:val="20"/>
          <w:szCs w:val="20"/>
          <w:color w:val="auto"/>
        </w:rPr>
      </w:pPr>
      <w:r>
        <w:rPr>
          <w:rFonts w:ascii="Arial" w:cs="Arial" w:eastAsia="Arial" w:hAnsi="Arial"/>
          <w:sz w:val="19"/>
          <w:szCs w:val="19"/>
          <w:color w:val="auto"/>
        </w:rPr>
        <w:t xml:space="preserve">15.13 </w:t>
      </w:r>
      <w:r>
        <w:rPr>
          <w:rFonts w:ascii="Arial" w:cs="Arial" w:eastAsia="Arial" w:hAnsi="Arial"/>
          <w:sz w:val="19"/>
          <w:szCs w:val="19"/>
          <w:u w:val="single" w:color="auto"/>
          <w:color w:val="auto"/>
        </w:rPr>
        <w:t>Resignation</w:t>
      </w:r>
      <w:r>
        <w:rPr>
          <w:rFonts w:ascii="Arial" w:cs="Arial" w:eastAsia="Arial" w:hAnsi="Arial"/>
          <w:sz w:val="19"/>
          <w:szCs w:val="19"/>
          <w:color w:val="auto"/>
        </w:rPr>
        <w:t>. Any Agent may resign at any time by giving sixty (60) days' written notice thereof to the other Agents, the Lenders and the Borrowers. Upon any such resignation, the Lenders shall have the right to appoint a successor Agent. If no successor Agent shall have been so appointed by the Lenders and shall have accepted such appointment within sixty</w:t>
      </w:r>
    </w:p>
    <w:p>
      <w:pPr>
        <w:spacing w:after="0" w:line="1" w:lineRule="exact"/>
        <w:rPr>
          <w:sz w:val="20"/>
          <w:szCs w:val="20"/>
          <w:color w:val="auto"/>
        </w:rPr>
      </w:pPr>
    </w:p>
    <w:p>
      <w:pPr>
        <w:jc w:val="both"/>
        <w:ind w:right="40" w:firstLine="8"/>
        <w:spacing w:after="0" w:line="245" w:lineRule="auto"/>
        <w:tabs>
          <w:tab w:leader="none" w:pos="414" w:val="left"/>
        </w:tabs>
        <w:numPr>
          <w:ilvl w:val="0"/>
          <w:numId w:val="185"/>
        </w:numPr>
        <w:rPr>
          <w:rFonts w:ascii="Arial" w:cs="Arial" w:eastAsia="Arial" w:hAnsi="Arial"/>
          <w:sz w:val="21"/>
          <w:szCs w:val="21"/>
          <w:color w:val="auto"/>
        </w:rPr>
      </w:pPr>
      <w:r>
        <w:rPr>
          <w:rFonts w:ascii="Arial" w:cs="Arial" w:eastAsia="Arial" w:hAnsi="Arial"/>
          <w:sz w:val="21"/>
          <w:szCs w:val="21"/>
          <w:color w:val="auto"/>
        </w:rPr>
        <w:t>days after the retiring Agent's giving notice of resignation, then the retiring Agent may, on behalf of the Lenders, appoint a successor Agent which shall be a bank or trust company of recognized standing. The appointment of any successor Agent shall be subject to the prior written consent of the Borrowers, such consent not to be unreasonably withheld. After any retiring Agent's resignation as Agent hereunder, the provisions of this Section 15 shall continue in effect for its benefit with respect to any actions taken or omitted by it while acting as Agent.</w:t>
      </w:r>
    </w:p>
    <w:p>
      <w:pPr>
        <w:spacing w:after="0" w:line="180" w:lineRule="exact"/>
        <w:rPr>
          <w:sz w:val="20"/>
          <w:szCs w:val="20"/>
          <w:color w:val="auto"/>
        </w:rPr>
      </w:pPr>
    </w:p>
    <w:p>
      <w:pPr>
        <w:ind w:left="780"/>
        <w:spacing w:after="0"/>
        <w:tabs>
          <w:tab w:leader="none" w:pos="1900" w:val="left"/>
        </w:tabs>
        <w:rPr>
          <w:sz w:val="20"/>
          <w:szCs w:val="20"/>
          <w:color w:val="auto"/>
        </w:rPr>
      </w:pPr>
      <w:r>
        <w:rPr>
          <w:rFonts w:ascii="Arial" w:cs="Arial" w:eastAsia="Arial" w:hAnsi="Arial"/>
          <w:sz w:val="22"/>
          <w:szCs w:val="22"/>
          <w:color w:val="auto"/>
        </w:rPr>
        <w:t>15.14</w:t>
      </w:r>
      <w:r>
        <w:rPr>
          <w:sz w:val="20"/>
          <w:szCs w:val="20"/>
          <w:color w:val="auto"/>
        </w:rPr>
        <w:tab/>
      </w:r>
      <w:r>
        <w:rPr>
          <w:rFonts w:ascii="Arial" w:cs="Arial" w:eastAsia="Arial" w:hAnsi="Arial"/>
          <w:sz w:val="19"/>
          <w:szCs w:val="19"/>
          <w:u w:val="single" w:color="auto"/>
          <w:color w:val="auto"/>
        </w:rPr>
        <w:t>Representations of Lenders</w:t>
      </w:r>
      <w:r>
        <w:rPr>
          <w:rFonts w:ascii="Arial" w:cs="Arial" w:eastAsia="Arial" w:hAnsi="Arial"/>
          <w:sz w:val="19"/>
          <w:szCs w:val="19"/>
          <w:color w:val="auto"/>
        </w:rPr>
        <w:t>. Each Lender represents and warrants to each other Lender and the Agent that:</w:t>
      </w:r>
    </w:p>
    <w:p>
      <w:pPr>
        <w:spacing w:after="0" w:line="206" w:lineRule="exact"/>
        <w:rPr>
          <w:sz w:val="20"/>
          <w:szCs w:val="20"/>
          <w:color w:val="auto"/>
        </w:rPr>
      </w:pPr>
    </w:p>
    <w:p>
      <w:pPr>
        <w:ind w:right="100" w:firstLine="1569"/>
        <w:spacing w:after="0" w:line="233" w:lineRule="auto"/>
        <w:tabs>
          <w:tab w:leader="none" w:pos="2446" w:val="left"/>
        </w:tabs>
        <w:numPr>
          <w:ilvl w:val="0"/>
          <w:numId w:val="186"/>
        </w:numPr>
        <w:rPr>
          <w:rFonts w:ascii="Arial" w:cs="Arial" w:eastAsia="Arial" w:hAnsi="Arial"/>
          <w:sz w:val="22"/>
          <w:szCs w:val="22"/>
          <w:color w:val="auto"/>
        </w:rPr>
      </w:pPr>
      <w:r>
        <w:rPr>
          <w:rFonts w:ascii="Arial" w:cs="Arial" w:eastAsia="Arial" w:hAnsi="Arial"/>
          <w:sz w:val="22"/>
          <w:szCs w:val="22"/>
          <w:color w:val="auto"/>
        </w:rPr>
        <w:t xml:space="preserve">in making its decision to enter into this Agreement and to make its Commitment available hereunder, it has independently taken whatever steps it considers necessary to evaluate the financial condition and affairs of the Security Parties, that it has made an independent </w:t>
      </w:r>
      <w:r>
        <w:rPr>
          <w:rFonts w:ascii="Arial" w:cs="Arial" w:eastAsia="Arial" w:hAnsi="Arial"/>
          <w:sz w:val="19"/>
          <w:szCs w:val="19"/>
          <w:color w:val="auto"/>
        </w:rPr>
        <w:t>credit judgment and that it has not relied upon any statement, representation or warranty by any</w:t>
      </w:r>
      <w:r>
        <w:rPr>
          <w:rFonts w:ascii="Arial" w:cs="Arial" w:eastAsia="Arial" w:hAnsi="Arial"/>
          <w:sz w:val="22"/>
          <w:szCs w:val="22"/>
          <w:color w:val="auto"/>
        </w:rPr>
        <w:t xml:space="preserve"> </w:t>
      </w:r>
      <w:r>
        <w:rPr>
          <w:rFonts w:ascii="Arial" w:cs="Arial" w:eastAsia="Arial" w:hAnsi="Arial"/>
          <w:sz w:val="19"/>
          <w:szCs w:val="19"/>
          <w:color w:val="auto"/>
        </w:rPr>
        <w:t>otherLender or any Agent; and</w:t>
      </w:r>
    </w:p>
    <w:p>
      <w:pPr>
        <w:spacing w:after="0" w:line="192" w:lineRule="exact"/>
        <w:rPr>
          <w:rFonts w:ascii="Arial" w:cs="Arial" w:eastAsia="Arial" w:hAnsi="Arial"/>
          <w:sz w:val="22"/>
          <w:szCs w:val="22"/>
          <w:color w:val="auto"/>
        </w:rPr>
      </w:pPr>
    </w:p>
    <w:p>
      <w:pPr>
        <w:ind w:right="720" w:firstLine="1569"/>
        <w:spacing w:after="0" w:line="250" w:lineRule="auto"/>
        <w:tabs>
          <w:tab w:leader="none" w:pos="2458" w:val="left"/>
        </w:tabs>
        <w:numPr>
          <w:ilvl w:val="0"/>
          <w:numId w:val="186"/>
        </w:numPr>
        <w:rPr>
          <w:rFonts w:ascii="Arial" w:cs="Arial" w:eastAsia="Arial" w:hAnsi="Arial"/>
          <w:sz w:val="22"/>
          <w:szCs w:val="22"/>
          <w:color w:val="auto"/>
        </w:rPr>
      </w:pPr>
      <w:r>
        <w:rPr>
          <w:rFonts w:ascii="Arial" w:cs="Arial" w:eastAsia="Arial" w:hAnsi="Arial"/>
          <w:sz w:val="22"/>
          <w:szCs w:val="22"/>
          <w:color w:val="auto"/>
        </w:rPr>
        <w:t>so long as any portion of its Commitment remains outstanding, it will continue to make its own independent evaluation of the financial condition and affairs of the Security Parties.</w:t>
      </w:r>
    </w:p>
    <w:p>
      <w:pPr>
        <w:spacing w:after="0" w:line="175" w:lineRule="exact"/>
        <w:rPr>
          <w:sz w:val="20"/>
          <w:szCs w:val="20"/>
          <w:color w:val="auto"/>
        </w:rPr>
      </w:pPr>
    </w:p>
    <w:p>
      <w:pPr>
        <w:ind w:right="100" w:firstLine="780"/>
        <w:spacing w:after="0" w:line="297" w:lineRule="auto"/>
        <w:rPr>
          <w:sz w:val="20"/>
          <w:szCs w:val="20"/>
          <w:color w:val="auto"/>
        </w:rPr>
      </w:pPr>
      <w:r>
        <w:rPr>
          <w:rFonts w:ascii="Arial" w:cs="Arial" w:eastAsia="Arial" w:hAnsi="Arial"/>
          <w:sz w:val="19"/>
          <w:szCs w:val="19"/>
          <w:color w:val="auto"/>
        </w:rPr>
        <w:t xml:space="preserve">15.15 </w:t>
      </w:r>
      <w:r>
        <w:rPr>
          <w:rFonts w:ascii="Arial" w:cs="Arial" w:eastAsia="Arial" w:hAnsi="Arial"/>
          <w:sz w:val="19"/>
          <w:szCs w:val="19"/>
          <w:u w:val="single" w:color="auto"/>
          <w:color w:val="auto"/>
        </w:rPr>
        <w:t>Notification of Event of Default</w:t>
      </w:r>
      <w:r>
        <w:rPr>
          <w:rFonts w:ascii="Arial" w:cs="Arial" w:eastAsia="Arial" w:hAnsi="Arial"/>
          <w:sz w:val="19"/>
          <w:szCs w:val="19"/>
          <w:color w:val="auto"/>
        </w:rPr>
        <w:t>. The Administrative Agent hereby undertakes to promptly notify the Lenders, and the Lenders hereby promptly undertake to notify the Administrative Agent and the other Lenders, of the existence of any Event of Default which shall have occurred and be continuing of which such party has actual knowledge.</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64" w:right="379" w:bottom="1440" w:gutter="0" w:footer="0" w:header="0"/>
        </w:sectPr>
      </w:pPr>
    </w:p>
    <w:bookmarkStart w:id="199" w:name="page200"/>
    <w:bookmarkEnd w:id="199"/>
    <w:p>
      <w:pPr>
        <w:ind w:right="80" w:firstLine="780"/>
        <w:spacing w:after="0" w:line="271" w:lineRule="auto"/>
        <w:rPr>
          <w:sz w:val="20"/>
          <w:szCs w:val="20"/>
          <w:color w:val="auto"/>
        </w:rPr>
      </w:pPr>
      <w:r>
        <w:rPr>
          <w:rFonts w:ascii="Arial" w:cs="Arial" w:eastAsia="Arial" w:hAnsi="Arial"/>
          <w:sz w:val="19"/>
          <w:szCs w:val="19"/>
          <w:color w:val="auto"/>
        </w:rPr>
        <w:t xml:space="preserve">15.16 </w:t>
      </w:r>
      <w:r>
        <w:rPr>
          <w:rFonts w:ascii="Arial" w:cs="Arial" w:eastAsia="Arial" w:hAnsi="Arial"/>
          <w:sz w:val="19"/>
          <w:szCs w:val="19"/>
          <w:u w:val="single" w:color="auto"/>
          <w:color w:val="auto"/>
        </w:rPr>
        <w:t>Sharing of Payments, Etc</w:t>
      </w:r>
      <w:r>
        <w:rPr>
          <w:rFonts w:ascii="Arial" w:cs="Arial" w:eastAsia="Arial" w:hAnsi="Arial"/>
          <w:sz w:val="19"/>
          <w:szCs w:val="19"/>
          <w:color w:val="auto"/>
        </w:rPr>
        <w:t xml:space="preserve">. If any Lender shall obtain any payment (whether by voluntary payment, by realization upon security, by the exercise of the right of setoff or banker’s lien, by counterclaim or cross action, by the enforcement of any right under its Note or the Security Documents, or otherwise) on account of the Advances owing to it (other than pursuant to Sections 11.2 or 11.7 or otherwise in respect of any gross up for Taxes pursuant to Section 7.1) in excess of its ratable share of payments on account of the Advances obtained by all the Lenders, such Lender shall forthwith purchase from the other Lenders such participations in the Advances owing to them as shall be necessary to cause such purchasing Lender to share the excess payment ratably with each of them;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The Borrower agrees that any Lender so purchasing a participation from another Lender pursuant to this Section 2.17 may, to the fullest extent permitted by law, exercise all its rights of payment (including the right of set-off) with respect to such participation as fully as if such Lender were the direct creditor of the Borrowers in the amount of such participation.</w:t>
      </w:r>
    </w:p>
    <w:p>
      <w:pPr>
        <w:spacing w:after="0" w:line="164" w:lineRule="exact"/>
        <w:rPr>
          <w:sz w:val="20"/>
          <w:szCs w:val="20"/>
          <w:color w:val="auto"/>
        </w:rPr>
      </w:pPr>
    </w:p>
    <w:p>
      <w:pPr>
        <w:ind w:left="780"/>
        <w:spacing w:after="0"/>
        <w:tabs>
          <w:tab w:leader="none" w:pos="1900" w:val="left"/>
        </w:tabs>
        <w:rPr>
          <w:sz w:val="20"/>
          <w:szCs w:val="20"/>
          <w:color w:val="auto"/>
        </w:rPr>
      </w:pPr>
      <w:r>
        <w:rPr>
          <w:rFonts w:ascii="Arial" w:cs="Arial" w:eastAsia="Arial" w:hAnsi="Arial"/>
          <w:sz w:val="22"/>
          <w:szCs w:val="22"/>
          <w:color w:val="auto"/>
        </w:rPr>
        <w:t>15.17</w:t>
      </w:r>
      <w:r>
        <w:rPr>
          <w:sz w:val="20"/>
          <w:szCs w:val="20"/>
          <w:color w:val="auto"/>
        </w:rPr>
        <w:tab/>
      </w:r>
      <w:r>
        <w:rPr>
          <w:rFonts w:ascii="Arial" w:cs="Arial" w:eastAsia="Arial" w:hAnsi="Arial"/>
          <w:sz w:val="19"/>
          <w:szCs w:val="19"/>
          <w:u w:val="single" w:color="auto"/>
          <w:color w:val="auto"/>
        </w:rPr>
        <w:t>Erroneous Payments</w:t>
      </w:r>
      <w:r>
        <w:rPr>
          <w:rFonts w:ascii="Arial" w:cs="Arial" w:eastAsia="Arial" w:hAnsi="Arial"/>
          <w:sz w:val="19"/>
          <w:szCs w:val="19"/>
          <w:color w:val="auto"/>
        </w:rPr>
        <w:t>.</w:t>
      </w:r>
    </w:p>
    <w:p>
      <w:pPr>
        <w:spacing w:after="0" w:line="206" w:lineRule="exact"/>
        <w:rPr>
          <w:sz w:val="20"/>
          <w:szCs w:val="20"/>
          <w:color w:val="auto"/>
        </w:rPr>
      </w:pPr>
    </w:p>
    <w:p>
      <w:pPr>
        <w:ind w:firstLine="1569"/>
        <w:spacing w:after="0" w:line="274" w:lineRule="auto"/>
        <w:tabs>
          <w:tab w:leader="none" w:pos="2446" w:val="left"/>
        </w:tabs>
        <w:numPr>
          <w:ilvl w:val="0"/>
          <w:numId w:val="187"/>
        </w:numPr>
        <w:rPr>
          <w:rFonts w:ascii="Arial" w:cs="Arial" w:eastAsia="Arial" w:hAnsi="Arial"/>
          <w:sz w:val="19"/>
          <w:szCs w:val="19"/>
          <w:color w:val="auto"/>
        </w:rPr>
      </w:pPr>
      <w:r>
        <w:rPr>
          <w:rFonts w:ascii="Arial" w:cs="Arial" w:eastAsia="Arial" w:hAnsi="Arial"/>
          <w:sz w:val="19"/>
          <w:szCs w:val="19"/>
          <w:color w:val="auto"/>
        </w:rPr>
        <w:t>With respect to any payment that the Administrative Agent makes to any Lender or other Creditor as to which the Administrative Agent determines that any of the following applies (such payment referred to as the “</w:t>
      </w:r>
      <w:r>
        <w:rPr>
          <w:rFonts w:ascii="Arial" w:cs="Arial" w:eastAsia="Arial" w:hAnsi="Arial"/>
          <w:sz w:val="19"/>
          <w:szCs w:val="19"/>
          <w:u w:val="single" w:color="auto"/>
          <w:color w:val="auto"/>
        </w:rPr>
        <w:t>Rescindable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(1) the Borrowers have not in fact made the corresponding payment to the Administrative Agent; (2) the Administrative Agent has made a payment in excess of the amount(s) received by it from the Borrowers either individually or in the aggregate (whether or not then owed); or (3) the Administrative Agent has for any reason otherwise erroneously made such payment; then each of the Creditors severally agrees to repay to the Administrative Agent forthwith on demand the Rescindable Amount so distributed to such Creditor, in immediately available funds with interest thereon, for each day from and including the date such amount is distributed to it to but excluding the date of payment to the Administrative Agent, at the Federal Funds Effective Rate. A notice of the Administrative Agent to any Person under this clause shall be conclusive, absent manifest error.</w:t>
      </w:r>
    </w:p>
    <w:p>
      <w:pPr>
        <w:spacing w:after="0" w:line="158" w:lineRule="exact"/>
        <w:rPr>
          <w:rFonts w:ascii="Arial" w:cs="Arial" w:eastAsia="Arial" w:hAnsi="Arial"/>
          <w:sz w:val="19"/>
          <w:szCs w:val="19"/>
          <w:color w:val="auto"/>
        </w:rPr>
      </w:pPr>
    </w:p>
    <w:p>
      <w:pPr>
        <w:ind w:right="160" w:firstLine="1569"/>
        <w:spacing w:after="0" w:line="257" w:lineRule="auto"/>
        <w:tabs>
          <w:tab w:leader="none" w:pos="2458" w:val="left"/>
        </w:tabs>
        <w:numPr>
          <w:ilvl w:val="0"/>
          <w:numId w:val="187"/>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Agreement, if at any time the Administrative Agent determines (in its sole and absolute discretion) that it has made a payment hereunder in error to any Lender or other Creditor, whether or not in respect of a Secured Obligation due and owing by a Creditor at such time, where such payment is a Rescindable Amount, then in any </w:t>
      </w:r>
      <w:r>
        <w:rPr>
          <w:rFonts w:ascii="Arial" w:cs="Arial" w:eastAsia="Arial" w:hAnsi="Arial"/>
          <w:sz w:val="18"/>
          <w:szCs w:val="18"/>
          <w:color w:val="auto"/>
        </w:rPr>
        <w:t>such event, each such Person receiving a Rescindable Amount severally agrees to repay to the Administrative Agent</w:t>
      </w:r>
      <w:r>
        <w:rPr>
          <w:rFonts w:ascii="Arial" w:cs="Arial" w:eastAsia="Arial" w:hAnsi="Arial"/>
          <w:sz w:val="21"/>
          <w:szCs w:val="21"/>
          <w:color w:val="auto"/>
        </w:rPr>
        <w:t xml:space="preserve"> </w:t>
      </w:r>
      <w:r>
        <w:rPr>
          <w:rFonts w:ascii="Arial" w:cs="Arial" w:eastAsia="Arial" w:hAnsi="Arial"/>
          <w:sz w:val="18"/>
          <w:szCs w:val="18"/>
          <w:color w:val="auto"/>
        </w:rPr>
        <w:t>forthwith on demand the Rescindable Amount received by such Person in immediately available funds in the currency so received, with interest thereon, for each day from andincluding the date such Rescindable Amount was received by it to but excluding the date of paymentto the Administrative Agent, at the Federal Funds Effective Rate. A notice of the Administrative Agent to any Person under this clause (b) shall be conclusive, absent manifest error. To the extent permitted by law, each Lender and each other Creditor irrevocably waives any and all defenses, including any “discharge for value” (under which a creditor might otherwise claim a right to retain funds mistakenly paid by a third party in respect of a debt owed by another), “good consideration”, “change of position” or similar defenses (whether at law or in equity) to its obligation to return any Rescindable Amount. The Administrative Agent shall inform each Lender or other Creditor that received a Rescindable Amount promptly upon determining that any payment made 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t>such Person comprised, in whole or in part, a Rescindable Amount. Each Person’s obligations, agreements and waivers under this Section</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15.17 shall survive the resignation or replacement of the Administrative Agent, any transfer of rights or obligations by, or the replacement of, a Lender, the termination of theCommitments and/or the repayment, satisfaction or discharge of all obligations (or any portion thereof) under any Transaction Document.</w:t>
      </w:r>
    </w:p>
    <w:p>
      <w:pPr>
        <w:spacing w:after="0" w:line="191" w:lineRule="exact"/>
        <w:rPr>
          <w:sz w:val="20"/>
          <w:szCs w:val="20"/>
          <w:color w:val="auto"/>
        </w:rPr>
      </w:pPr>
    </w:p>
    <w:p>
      <w:pPr>
        <w:ind w:right="40" w:firstLine="1569"/>
        <w:spacing w:after="0" w:line="297" w:lineRule="auto"/>
        <w:tabs>
          <w:tab w:leader="none" w:pos="2446" w:val="left"/>
        </w:tabs>
        <w:numPr>
          <w:ilvl w:val="0"/>
          <w:numId w:val="188"/>
        </w:numPr>
        <w:rPr>
          <w:rFonts w:ascii="Arial" w:cs="Arial" w:eastAsia="Arial" w:hAnsi="Arial"/>
          <w:sz w:val="19"/>
          <w:szCs w:val="19"/>
          <w:color w:val="auto"/>
        </w:rPr>
      </w:pPr>
      <w:r>
        <w:rPr>
          <w:rFonts w:ascii="Arial" w:cs="Arial" w:eastAsia="Arial" w:hAnsi="Arial"/>
          <w:sz w:val="19"/>
          <w:szCs w:val="19"/>
          <w:color w:val="auto"/>
        </w:rPr>
        <w:t>Each Lender or Creditor hereby authorizes the Administrative Agent to set off, net and apply any and all amounts at any time owing to such Lender or Creditor under any Transaction Document against any amount due to the Administrative Agent under immediately preceding clauses (a) or (b) under the indemnification provisions of this Agreement.</w:t>
      </w:r>
    </w:p>
    <w:p>
      <w:pPr>
        <w:spacing w:after="0" w:line="133" w:lineRule="exact"/>
        <w:rPr>
          <w:rFonts w:ascii="Arial" w:cs="Arial" w:eastAsia="Arial" w:hAnsi="Arial"/>
          <w:sz w:val="19"/>
          <w:szCs w:val="19"/>
          <w:color w:val="auto"/>
        </w:rPr>
      </w:pPr>
    </w:p>
    <w:p>
      <w:pPr>
        <w:ind w:right="240" w:firstLine="1569"/>
        <w:spacing w:after="0" w:line="233" w:lineRule="auto"/>
        <w:tabs>
          <w:tab w:leader="none" w:pos="2461"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parties hereto agree that payment of a Rescindable Amount shall not pay, prepay, repay, discharge or otherwise satisfy any obligations owed by the Borrowers or any other Credit Party under the Transaction Documents, except, in each case, to the extent such Rescindable Amount is, and solely with respect to the amount of such Rescindable Amount that is, comprised of funds received by the Administrative Agent from the Borrowers or any other Credit Party for the purpose of making such Rescindable Amount. For the avoidance of doubt, no provision in this Section 15.17 shall be interpreted to increase (or accelerate the due date for) or have the effect of increasing (or accelerating the due date for), the obligations of the Borrowers or other Credit Party under the Transaction Documents relative to the amount (and/or timing for payment) of the obligations that would have been payable had the erroneous Rescindable Amount not been paid by the Administrative Agent.</w:t>
      </w:r>
    </w:p>
    <w:p>
      <w:pPr>
        <w:spacing w:after="0" w:line="193" w:lineRule="exact"/>
        <w:rPr>
          <w:sz w:val="20"/>
          <w:szCs w:val="20"/>
          <w:color w:val="auto"/>
        </w:rPr>
      </w:pPr>
    </w:p>
    <w:p>
      <w:pPr>
        <w:ind w:left="920" w:hanging="912"/>
        <w:spacing w:after="0"/>
        <w:tabs>
          <w:tab w:leader="none" w:pos="92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NOTICES AND DEMANDS</w:t>
      </w:r>
    </w:p>
    <w:p>
      <w:pPr>
        <w:spacing w:after="0" w:line="206" w:lineRule="exact"/>
        <w:rPr>
          <w:sz w:val="20"/>
          <w:szCs w:val="20"/>
          <w:color w:val="auto"/>
        </w:rPr>
      </w:pPr>
    </w:p>
    <w:p>
      <w:pPr>
        <w:ind w:right="20" w:firstLine="780"/>
        <w:spacing w:after="0" w:line="276" w:lineRule="auto"/>
        <w:rPr>
          <w:sz w:val="20"/>
          <w:szCs w:val="20"/>
          <w:color w:val="auto"/>
        </w:rPr>
      </w:pPr>
      <w:r>
        <w:rPr>
          <w:rFonts w:ascii="Arial" w:cs="Arial" w:eastAsia="Arial" w:hAnsi="Arial"/>
          <w:sz w:val="19"/>
          <w:szCs w:val="19"/>
          <w:color w:val="auto"/>
        </w:rPr>
        <w:t xml:space="preserve">16.1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requests, demands and other communications to any party hereunder shall be in writing (including prepaid overnight courier, facsimile transmission or similar writing) and shall be given to the Security Parties and/or the Administrative Agent and/or the Security Trustee at its respective address or facsimile number set forth below and to the Lenders at their addresses and facsimile numbers set forth in Schedule I hereto or at such other address or facsimile numbers as such party may hereafter specify for the purpose by notice to the other party hereto. Each such notice, request or other communication shall be effective (i) if given by facsimile, when such facsimile is transmitted to the facsimile number specified in this Section 16.1 and telephonic confirmation of receipt thereof is obtained or (ii) if given by mail, prepaid overnight courier or any </w:t>
      </w:r>
      <w:r>
        <w:rPr>
          <w:rFonts w:ascii="Arial" w:cs="Arial" w:eastAsia="Arial" w:hAnsi="Arial"/>
          <w:sz w:val="17"/>
          <w:szCs w:val="17"/>
          <w:color w:val="auto"/>
        </w:rPr>
        <w:t>other</w:t>
      </w:r>
      <w:r>
        <w:rPr>
          <w:rFonts w:ascii="Arial" w:cs="Arial" w:eastAsia="Arial" w:hAnsi="Arial"/>
          <w:sz w:val="19"/>
          <w:szCs w:val="19"/>
          <w:color w:val="auto"/>
        </w:rPr>
        <w:t xml:space="preserve"> </w:t>
      </w:r>
      <w:r>
        <w:rPr>
          <w:rFonts w:ascii="Arial" w:cs="Arial" w:eastAsia="Arial" w:hAnsi="Arial"/>
          <w:sz w:val="17"/>
          <w:szCs w:val="17"/>
          <w:color w:val="auto"/>
        </w:rPr>
        <w:t>means, when received at the address specified in this Section or when delivery at such addressis refused.</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If to any Security Party: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 SEACOR Marine Holdings Inc. 12121 Wickchester Lane</w:t>
      </w:r>
    </w:p>
    <w:p>
      <w:pPr>
        <w:spacing w:after="0" w:line="238" w:lineRule="auto"/>
        <w:rPr>
          <w:sz w:val="20"/>
          <w:szCs w:val="20"/>
          <w:color w:val="auto"/>
        </w:rPr>
      </w:pPr>
      <w:r>
        <w:rPr>
          <w:rFonts w:ascii="Arial" w:cs="Arial" w:eastAsia="Arial" w:hAnsi="Arial"/>
          <w:sz w:val="22"/>
          <w:szCs w:val="22"/>
          <w:color w:val="auto"/>
        </w:rPr>
        <w:t>Suite 500</w:t>
      </w:r>
    </w:p>
    <w:p>
      <w:pPr>
        <w:spacing w:after="0" w:line="230" w:lineRule="auto"/>
        <w:rPr>
          <w:sz w:val="20"/>
          <w:szCs w:val="20"/>
          <w:color w:val="auto"/>
        </w:rPr>
      </w:pPr>
      <w:r>
        <w:rPr>
          <w:rFonts w:ascii="Arial" w:cs="Arial" w:eastAsia="Arial" w:hAnsi="Arial"/>
          <w:sz w:val="22"/>
          <w:szCs w:val="22"/>
          <w:color w:val="auto"/>
        </w:rPr>
        <w:t>Houston, Texas 77079</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Facsimile No. 346-589-0255 Attention: Legal Department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If to the Administrative Agent or Security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DNB BANK ASA, New York Branch 30 Hudson Yards, 81</w:t>
      </w:r>
      <w:r>
        <w:rPr>
          <w:rFonts w:ascii="Arial" w:cs="Arial" w:eastAsia="Arial" w:hAnsi="Arial"/>
          <w:sz w:val="18"/>
          <w:szCs w:val="18"/>
          <w:color w:val="auto"/>
        </w:rPr>
        <w:t>st</w:t>
      </w:r>
      <w:r>
        <w:rPr>
          <w:rFonts w:ascii="Arial" w:cs="Arial" w:eastAsia="Arial" w:hAnsi="Arial"/>
          <w:sz w:val="22"/>
          <w:szCs w:val="22"/>
          <w:color w:val="auto"/>
        </w:rPr>
        <w:t xml:space="preserve"> Floor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New York, New York 10001 Attention: Ms. Samantha Stone E-mail: </w:t>
      </w:r>
      <w:r>
        <w:rPr>
          <w:rFonts w:ascii="Arial" w:cs="Arial" w:eastAsia="Arial" w:hAnsi="Arial"/>
          <w:sz w:val="22"/>
          <w:szCs w:val="22"/>
          <w:u w:val="single" w:color="auto"/>
          <w:color w:val="0000FF"/>
        </w:rPr>
        <w:t>Samantha.stone@dnb.no</w:t>
      </w:r>
    </w:p>
    <w:p>
      <w:pPr>
        <w:spacing w:after="0" w:line="188" w:lineRule="exact"/>
        <w:rPr>
          <w:sz w:val="20"/>
          <w:szCs w:val="20"/>
          <w:color w:val="auto"/>
        </w:rPr>
      </w:pPr>
    </w:p>
    <w:p>
      <w:pPr>
        <w:ind w:left="920" w:hanging="912"/>
        <w:spacing w:after="0"/>
        <w:tabs>
          <w:tab w:leader="none" w:pos="92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MISCELLANEOUS</w:t>
      </w:r>
    </w:p>
    <w:p>
      <w:pPr>
        <w:spacing w:after="0" w:line="206" w:lineRule="exact"/>
        <w:rPr>
          <w:sz w:val="20"/>
          <w:szCs w:val="20"/>
          <w:color w:val="auto"/>
        </w:rPr>
      </w:pPr>
    </w:p>
    <w:p>
      <w:pPr>
        <w:ind w:right="1280" w:firstLine="780"/>
        <w:spacing w:after="0" w:line="274" w:lineRule="auto"/>
        <w:rPr>
          <w:sz w:val="20"/>
          <w:szCs w:val="20"/>
          <w:color w:val="auto"/>
        </w:rPr>
      </w:pPr>
      <w:r>
        <w:rPr>
          <w:rFonts w:ascii="Arial" w:cs="Arial" w:eastAsia="Arial" w:hAnsi="Arial"/>
          <w:sz w:val="21"/>
          <w:szCs w:val="21"/>
          <w:color w:val="auto"/>
        </w:rPr>
        <w:t xml:space="preserve">17.1 </w:t>
      </w:r>
      <w:r>
        <w:rPr>
          <w:rFonts w:ascii="Arial" w:cs="Arial" w:eastAsia="Arial" w:hAnsi="Arial"/>
          <w:sz w:val="21"/>
          <w:szCs w:val="21"/>
          <w:u w:val="single" w:color="auto"/>
          <w:color w:val="auto"/>
        </w:rPr>
        <w:t>Right of Set-off</w:t>
      </w:r>
      <w:r>
        <w:rPr>
          <w:rFonts w:ascii="Arial" w:cs="Arial" w:eastAsia="Arial" w:hAnsi="Arial"/>
          <w:sz w:val="21"/>
          <w:szCs w:val="21"/>
          <w:color w:val="auto"/>
        </w:rPr>
        <w:t>. Upon the occurrence and during the continuance of any Event of Default, the Administrative Agent and each Lender and each of their respective Affiliates is hereby authorized at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01" w:name="page202"/>
    <w:bookmarkEnd w:id="201"/>
    <w:p>
      <w:pPr>
        <w:spacing w:after="0" w:line="272" w:lineRule="auto"/>
        <w:rPr>
          <w:sz w:val="20"/>
          <w:szCs w:val="20"/>
          <w:color w:val="auto"/>
        </w:rPr>
      </w:pPr>
      <w:r>
        <w:rPr>
          <w:rFonts w:ascii="Arial" w:cs="Arial" w:eastAsia="Arial" w:hAnsi="Arial"/>
          <w:sz w:val="19"/>
          <w:szCs w:val="19"/>
          <w:color w:val="auto"/>
        </w:rPr>
        <w:t>any time and from time to time, to the fullest extent permitted by law, to set off and otherwise apply any and all deposits (general or special, time or demand, provisional or final) at any time held and other indebtedness at any time owing by the Administrative Agent, such Lender or such Affiliate to or for the credit or the account of the Borrowers or any other Security Party against any and all of the obligations of the Borrowers or other Security Party now or hereafter existing under the Transaction Documents, irrespective of whether the Administrative Agent or such Lender shall have made any demand under this Agreement and although such obligations may be unmatured. The Administrative Agent and each Lender agrees promptly to notify the Borrowers after any such set-off and application; provided, however, that the failure to give such notice shall not affect the validity of such set-off and application. The rights of the Administrative Agent and each Lender and their respective Affiliates under this Section 17.1 are in addition to other rights and remedies (including, without limitation, other rights of set-off) that the Administrative Agent, such Lender and their respective Affiliates may have. Notwithstanding anything to the contrary set forth in Section 17 or elsewhere herein, the Administrative Agent may not discriminate against the Lenders generally in favor of its own interests when exercising setoff rights against amounts received from any Security Party hereunder.</w:t>
      </w:r>
    </w:p>
    <w:p>
      <w:pPr>
        <w:spacing w:after="0" w:line="161" w:lineRule="exact"/>
        <w:rPr>
          <w:sz w:val="20"/>
          <w:szCs w:val="20"/>
          <w:color w:val="auto"/>
        </w:rPr>
      </w:pPr>
    </w:p>
    <w:p>
      <w:pPr>
        <w:ind w:right="80" w:firstLine="780"/>
        <w:spacing w:after="0" w:line="287" w:lineRule="auto"/>
        <w:rPr>
          <w:sz w:val="20"/>
          <w:szCs w:val="20"/>
          <w:color w:val="auto"/>
        </w:rPr>
      </w:pPr>
      <w:r>
        <w:rPr>
          <w:rFonts w:ascii="Arial" w:cs="Arial" w:eastAsia="Arial" w:hAnsi="Arial"/>
          <w:sz w:val="19"/>
          <w:szCs w:val="19"/>
          <w:color w:val="auto"/>
        </w:rPr>
        <w:t xml:space="preserve">17.2 </w:t>
      </w:r>
      <w:r>
        <w:rPr>
          <w:rFonts w:ascii="Arial" w:cs="Arial" w:eastAsia="Arial" w:hAnsi="Arial"/>
          <w:sz w:val="19"/>
          <w:szCs w:val="19"/>
          <w:u w:val="single" w:color="auto"/>
          <w:color w:val="auto"/>
        </w:rPr>
        <w:t>Time of Essence</w:t>
      </w:r>
      <w:r>
        <w:rPr>
          <w:rFonts w:ascii="Arial" w:cs="Arial" w:eastAsia="Arial" w:hAnsi="Arial"/>
          <w:sz w:val="19"/>
          <w:szCs w:val="19"/>
          <w:color w:val="auto"/>
        </w:rPr>
        <w:t>. Time is of the essence of this Agreement but no failure or delay on the part of any Creditor to exercise any power or right under this Agreement shall operate as a waiver thereof, nor shall any single or partial exercise by any Creditor of any power or right hereunder preclude any other or further exercise thereof or the exercise of any other power or right. The remedies provided herein are cumulative and are not exclusive of any remedies provided by law.</w:t>
      </w:r>
    </w:p>
    <w:p>
      <w:pPr>
        <w:spacing w:after="0" w:line="143" w:lineRule="exact"/>
        <w:rPr>
          <w:sz w:val="20"/>
          <w:szCs w:val="20"/>
          <w:color w:val="auto"/>
        </w:rPr>
      </w:pPr>
    </w:p>
    <w:p>
      <w:pPr>
        <w:ind w:left="780"/>
        <w:spacing w:after="0"/>
        <w:tabs>
          <w:tab w:leader="none" w:pos="180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19"/>
          <w:szCs w:val="19"/>
          <w:u w:val="single" w:color="auto"/>
          <w:color w:val="auto"/>
        </w:rPr>
        <w:t>Unenforceable, etc., Provisions - Effect</w:t>
      </w:r>
      <w:r>
        <w:rPr>
          <w:rFonts w:ascii="Arial" w:cs="Arial" w:eastAsia="Arial" w:hAnsi="Arial"/>
          <w:sz w:val="19"/>
          <w:szCs w:val="19"/>
          <w:color w:val="auto"/>
        </w:rPr>
        <w:t>. In case any one or more of the provisions contained in this</w:t>
      </w:r>
    </w:p>
    <w:p>
      <w:pPr>
        <w:spacing w:after="0" w:line="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Agreement or in the other Transaction Documents would, if given effect, be invalid, </w:t>
      </w:r>
      <w:r>
        <w:rPr>
          <w:rFonts w:ascii="Arial" w:cs="Arial" w:eastAsia="Arial" w:hAnsi="Arial"/>
          <w:sz w:val="17"/>
          <w:szCs w:val="17"/>
          <w:color w:val="auto"/>
        </w:rPr>
        <w:t>illegal or unenforceable in any respect under any</w:t>
      </w:r>
      <w:r>
        <w:rPr>
          <w:rFonts w:ascii="Arial" w:cs="Arial" w:eastAsia="Arial" w:hAnsi="Arial"/>
          <w:sz w:val="19"/>
          <w:szCs w:val="19"/>
          <w:color w:val="auto"/>
        </w:rPr>
        <w:t xml:space="preserve"> </w:t>
      </w:r>
      <w:r>
        <w:rPr>
          <w:rFonts w:ascii="Arial" w:cs="Arial" w:eastAsia="Arial" w:hAnsi="Arial"/>
          <w:sz w:val="17"/>
          <w:szCs w:val="17"/>
          <w:color w:val="auto"/>
        </w:rPr>
        <w:t>law applicable in any relevant jurisdiction, said provision shall not be enforceable against the relevant Security Party, but the validity, legality and enforceability of the remaining provisions herein or therein contained shall not in any way be affectedor impaired thereby.</w:t>
      </w:r>
    </w:p>
    <w:p>
      <w:pPr>
        <w:spacing w:after="0" w:line="146" w:lineRule="exact"/>
        <w:rPr>
          <w:sz w:val="20"/>
          <w:szCs w:val="20"/>
          <w:color w:val="auto"/>
        </w:rPr>
      </w:pPr>
    </w:p>
    <w:p>
      <w:pPr>
        <w:jc w:val="both"/>
        <w:ind w:firstLine="780"/>
        <w:spacing w:after="0"/>
        <w:rPr>
          <w:sz w:val="20"/>
          <w:szCs w:val="20"/>
          <w:color w:val="auto"/>
        </w:rPr>
      </w:pPr>
      <w:r>
        <w:rPr>
          <w:rFonts w:ascii="Arial" w:cs="Arial" w:eastAsia="Arial" w:hAnsi="Arial"/>
          <w:sz w:val="22"/>
          <w:szCs w:val="22"/>
          <w:color w:val="auto"/>
        </w:rPr>
        <w:t xml:space="preserve">17.4 </w:t>
      </w:r>
      <w:r>
        <w:rPr>
          <w:rFonts w:ascii="Arial" w:cs="Arial" w:eastAsia="Arial" w:hAnsi="Arial"/>
          <w:sz w:val="22"/>
          <w:szCs w:val="22"/>
          <w:u w:val="single" w:color="auto"/>
          <w:color w:val="auto"/>
        </w:rPr>
        <w:t>References</w:t>
      </w:r>
      <w:r>
        <w:rPr>
          <w:rFonts w:ascii="Arial" w:cs="Arial" w:eastAsia="Arial" w:hAnsi="Arial"/>
          <w:sz w:val="22"/>
          <w:szCs w:val="22"/>
          <w:color w:val="auto"/>
        </w:rPr>
        <w:t>. References herein to Articles, Sections, Exhibits and Schedules are to be construed as references to articles, sections of, exhibits to, and schedules to, this Agreement or the other Transaction Documents as applicable, unless the context otherwise requires.</w:t>
      </w:r>
    </w:p>
    <w:p>
      <w:pPr>
        <w:spacing w:after="0" w:line="186" w:lineRule="exact"/>
        <w:rPr>
          <w:sz w:val="20"/>
          <w:szCs w:val="20"/>
          <w:color w:val="auto"/>
        </w:rPr>
      </w:pPr>
    </w:p>
    <w:p>
      <w:pPr>
        <w:ind w:right="40" w:firstLine="780"/>
        <w:spacing w:after="0" w:line="249" w:lineRule="auto"/>
        <w:rPr>
          <w:sz w:val="20"/>
          <w:szCs w:val="20"/>
          <w:color w:val="auto"/>
        </w:rPr>
      </w:pPr>
      <w:r>
        <w:rPr>
          <w:rFonts w:ascii="Arial" w:cs="Arial" w:eastAsia="Arial" w:hAnsi="Arial"/>
          <w:sz w:val="21"/>
          <w:szCs w:val="21"/>
          <w:color w:val="auto"/>
        </w:rPr>
        <w:t xml:space="preserve">17.5 </w:t>
      </w:r>
      <w:r>
        <w:rPr>
          <w:rFonts w:ascii="Arial" w:cs="Arial" w:eastAsia="Arial" w:hAnsi="Arial"/>
          <w:sz w:val="21"/>
          <w:szCs w:val="21"/>
          <w:u w:val="single" w:color="auto"/>
          <w:color w:val="auto"/>
        </w:rPr>
        <w:t>Further Assurances</w:t>
      </w:r>
      <w:r>
        <w:rPr>
          <w:rFonts w:ascii="Arial" w:cs="Arial" w:eastAsia="Arial" w:hAnsi="Arial"/>
          <w:sz w:val="21"/>
          <w:szCs w:val="21"/>
          <w:color w:val="auto"/>
        </w:rPr>
        <w:t>. Each of the Security Parties hereby agrees that if this Agreement or any of the other Transaction Documents shall, in the reasonable opinion of the Lenders, at any time be deemed by the Lenders for any reason insufficient in whole or in part to carry out the true intent and spirit hereof or thereof, it will execute or cause to be executed such other and further assurances and documents as in the opinion of the Lenders may be required in order to more effectively accomplish the purposes of this Agreement and/or the other Transaction Documents.</w:t>
      </w:r>
    </w:p>
    <w:p>
      <w:pPr>
        <w:spacing w:after="0" w:line="178" w:lineRule="exact"/>
        <w:rPr>
          <w:sz w:val="20"/>
          <w:szCs w:val="20"/>
          <w:color w:val="auto"/>
        </w:rPr>
      </w:pPr>
    </w:p>
    <w:p>
      <w:pPr>
        <w:ind w:firstLine="780"/>
        <w:spacing w:after="0" w:line="282" w:lineRule="auto"/>
        <w:rPr>
          <w:sz w:val="20"/>
          <w:szCs w:val="20"/>
          <w:color w:val="auto"/>
        </w:rPr>
      </w:pPr>
      <w:r>
        <w:rPr>
          <w:rFonts w:ascii="Arial" w:cs="Arial" w:eastAsia="Arial" w:hAnsi="Arial"/>
          <w:sz w:val="19"/>
          <w:szCs w:val="19"/>
          <w:color w:val="auto"/>
        </w:rPr>
        <w:t xml:space="preserve">17.6 </w:t>
      </w:r>
      <w:r>
        <w:rPr>
          <w:rFonts w:ascii="Arial" w:cs="Arial" w:eastAsia="Arial" w:hAnsi="Arial"/>
          <w:sz w:val="19"/>
          <w:szCs w:val="19"/>
          <w:u w:val="single" w:color="auto"/>
          <w:color w:val="auto"/>
        </w:rPr>
        <w:t>Prior Agreements, Merger</w:t>
      </w:r>
      <w:r>
        <w:rPr>
          <w:rFonts w:ascii="Arial" w:cs="Arial" w:eastAsia="Arial" w:hAnsi="Arial"/>
          <w:sz w:val="19"/>
          <w:szCs w:val="19"/>
          <w:color w:val="auto"/>
        </w:rPr>
        <w:t>. Any and all prior understandings and agreements heretofore entered into between the Security Parties on the one part, and the Creditors, on the other part, relating to the transactions contemplated hereby, whether written or oral, are superseded by and merged into this Agreement and the other agreements (the forms of which are exhibited hereto) to be executed and delivered in connection herewith to which the Security Parties or any Creditor are parties, which alone fully and completely express the agreements between the Security Parties and the Creditors.</w:t>
      </w:r>
    </w:p>
    <w:p>
      <w:pPr>
        <w:spacing w:after="0" w:line="147" w:lineRule="exact"/>
        <w:rPr>
          <w:sz w:val="20"/>
          <w:szCs w:val="20"/>
          <w:color w:val="auto"/>
        </w:rPr>
      </w:pPr>
    </w:p>
    <w:p>
      <w:pPr>
        <w:ind w:right="60" w:firstLine="780"/>
        <w:spacing w:after="0"/>
        <w:rPr>
          <w:sz w:val="20"/>
          <w:szCs w:val="20"/>
          <w:color w:val="auto"/>
        </w:rPr>
      </w:pPr>
      <w:r>
        <w:rPr>
          <w:rFonts w:ascii="Arial" w:cs="Arial" w:eastAsia="Arial" w:hAnsi="Arial"/>
          <w:sz w:val="22"/>
          <w:szCs w:val="22"/>
          <w:color w:val="auto"/>
        </w:rPr>
        <w:t xml:space="preserve">17.7 </w:t>
      </w:r>
      <w:r>
        <w:rPr>
          <w:rFonts w:ascii="Arial" w:cs="Arial" w:eastAsia="Arial" w:hAnsi="Arial"/>
          <w:sz w:val="22"/>
          <w:szCs w:val="22"/>
          <w:u w:val="single" w:color="auto"/>
          <w:color w:val="auto"/>
        </w:rPr>
        <w:t>Entire Agreement; Amendments</w:t>
      </w:r>
      <w:r>
        <w:rPr>
          <w:rFonts w:ascii="Arial" w:cs="Arial" w:eastAsia="Arial" w:hAnsi="Arial"/>
          <w:sz w:val="22"/>
          <w:szCs w:val="22"/>
          <w:color w:val="auto"/>
        </w:rPr>
        <w:t>. This Agreement constitutes the entire agreement of the parties hereto including all parties added hereto pursuant to an Assignment and Assumption Agreement. Subject to Section 15.8, any provision of this Agreement or any other Transaction Document may be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8" w:right="379" w:bottom="1440" w:gutter="0" w:footer="0" w:header="0"/>
        </w:sectPr>
      </w:pPr>
    </w:p>
    <w:bookmarkStart w:id="202" w:name="page203"/>
    <w:bookmarkEnd w:id="202"/>
    <w:p>
      <w:pPr>
        <w:ind w:right="60"/>
        <w:spacing w:after="0" w:line="257" w:lineRule="auto"/>
        <w:rPr>
          <w:sz w:val="20"/>
          <w:szCs w:val="20"/>
          <w:color w:val="auto"/>
        </w:rPr>
      </w:pPr>
      <w:r>
        <w:rPr>
          <w:rFonts w:ascii="Arial" w:cs="Arial" w:eastAsia="Arial" w:hAnsi="Arial"/>
          <w:sz w:val="21"/>
          <w:szCs w:val="21"/>
          <w:color w:val="auto"/>
        </w:rPr>
        <w:t>amended or waived if, but only if, such amendment or waiver is in writing and is signed by the Borrowers, the Administrative Agent and the Majority Lenders. This Agreement may be executed in any number of counterparts, each of which shall be deemed an original, but all such counterparts together shall constitute one and the same instrument.</w:t>
      </w:r>
    </w:p>
    <w:p>
      <w:pPr>
        <w:spacing w:after="0" w:line="169" w:lineRule="exact"/>
        <w:rPr>
          <w:sz w:val="20"/>
          <w:szCs w:val="20"/>
          <w:color w:val="auto"/>
        </w:rPr>
      </w:pPr>
    </w:p>
    <w:p>
      <w:pPr>
        <w:ind w:firstLine="780"/>
        <w:spacing w:after="0" w:line="276" w:lineRule="auto"/>
        <w:rPr>
          <w:sz w:val="20"/>
          <w:szCs w:val="20"/>
          <w:color w:val="auto"/>
        </w:rPr>
      </w:pPr>
      <w:r>
        <w:rPr>
          <w:rFonts w:ascii="Arial" w:cs="Arial" w:eastAsia="Arial" w:hAnsi="Arial"/>
          <w:sz w:val="19"/>
          <w:szCs w:val="19"/>
          <w:color w:val="auto"/>
        </w:rPr>
        <w:t xml:space="preserve">17.8 </w:t>
      </w:r>
      <w:r>
        <w:rPr>
          <w:rFonts w:ascii="Arial" w:cs="Arial" w:eastAsia="Arial" w:hAnsi="Arial"/>
          <w:sz w:val="19"/>
          <w:szCs w:val="19"/>
          <w:u w:val="single" w:color="auto"/>
          <w:color w:val="auto"/>
        </w:rPr>
        <w:t>Indemnification</w:t>
      </w:r>
      <w:r>
        <w:rPr>
          <w:rFonts w:ascii="Arial" w:cs="Arial" w:eastAsia="Arial" w:hAnsi="Arial"/>
          <w:sz w:val="19"/>
          <w:szCs w:val="19"/>
          <w:color w:val="auto"/>
        </w:rPr>
        <w:t>. Neither any Creditor nor any of its directors, officers, agents or employees shall be liable to any of the Security Parties for any action taken or not taken thereby in connection herewith in the absence of its own gross negligence or willful misconduct. Each of the Borrowers hereby jointly and severally agrees to indemnify the Creditors, their respective affiliates and the respective directors, officers, agents and employees of the foregoing (each an “</w:t>
      </w:r>
      <w:r>
        <w:rPr>
          <w:rFonts w:ascii="Arial" w:cs="Arial" w:eastAsia="Arial" w:hAnsi="Arial"/>
          <w:sz w:val="19"/>
          <w:szCs w:val="19"/>
          <w:b w:val="1"/>
          <w:bCs w:val="1"/>
          <w:color w:val="auto"/>
        </w:rPr>
        <w:t>Indemnitee</w:t>
      </w:r>
      <w:r>
        <w:rPr>
          <w:rFonts w:ascii="Arial" w:cs="Arial" w:eastAsia="Arial" w:hAnsi="Arial"/>
          <w:sz w:val="19"/>
          <w:szCs w:val="19"/>
          <w:color w:val="auto"/>
        </w:rPr>
        <w:t xml:space="preserve">”) and hold each Indemnitee harmless from and against any and all claims, actions and suits whether groundless or otherwise, and from and against any and all liabilities, losses, damages and related expenses of every nature and character (other than taxes) arising out of this Agreement or any of the other Transaction Documents, the performance by the respective parties of their obligations hereunder or thereunder, or the consummation of the transactions contemplated hereby including, without limitation, (a) any actual or proposed use by the Borrowers of the proceeds of any of the Facility, (b) the reversal or withdrawal of any provisional credits granted by the Administrative Agent upon the transfer of funds from lock box, bank agency, concentration accounts or otherwise under any cash management arrangements with any Security Party, (c) any claim, litigation, investigation or proceeding relating to any of the foregoing, whether based on contract, tort, or any other theory, and regardless of whether any Indemnitee is a party thereof, (d) any civil penalty or fine assessed by OFAC or another Governmental Authority against, and all reasonable costs and expenses (including </w:t>
      </w:r>
      <w:r>
        <w:rPr>
          <w:rFonts w:ascii="Arial" w:cs="Arial" w:eastAsia="Arial" w:hAnsi="Arial"/>
          <w:sz w:val="17"/>
          <w:szCs w:val="17"/>
          <w:color w:val="auto"/>
        </w:rPr>
        <w:t>reasonable counsel fees and disbursements) incurred in connection with defense thereof by, the Administrative Agent</w:t>
      </w:r>
      <w:r>
        <w:rPr>
          <w:rFonts w:ascii="Arial" w:cs="Arial" w:eastAsia="Arial" w:hAnsi="Arial"/>
          <w:sz w:val="19"/>
          <w:szCs w:val="19"/>
          <w:color w:val="auto"/>
        </w:rPr>
        <w:t xml:space="preserve"> </w:t>
      </w:r>
      <w:r>
        <w:rPr>
          <w:rFonts w:ascii="Arial" w:cs="Arial" w:eastAsia="Arial" w:hAnsi="Arial"/>
          <w:sz w:val="17"/>
          <w:szCs w:val="17"/>
          <w:color w:val="auto"/>
        </w:rPr>
        <w:t xml:space="preserve">or any other Creditor as a result of conduct of any Security Party, any Subsidiary or Affiliate of a Security Party or any Related Party thereof that violates a Sanctions Lawor Anti-Money Laundering Law or (e) with respect to the Security Parties and their respective properties and assets, the violation of any Environmental Law, the presence, disposal, escape, seepage, leakage, spillage, discharge, emission, release or threatened release of any Materials of Environmental Concern or any action, suit, proceeding or investigation brought or threatened with respect to any Materials of Environmental Concern (including, but not limited to, claims with respectto wrongful death, personal injury or damage to property), in each case including, without limitation,the reasonable fees and disbursements of counsel incurred in connection with any such investigation,litigation or other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Security Parties shall not be responsible for anyliabilities, losses, damages and/or expenses under this Section 17.8 which were caused by such Indemnitee’s own gross negligence or willful misconduct. In litigation, or the preparation therefor, the Creditors and their Affiliates shall be entitled to select their own counsel and, if arising after the occurrence and during the continuation of an Event of Default, the Security Parties agree to pay promptly the reasonable fees and expenses of such counsel. To the extent that the respective interestsof the Creditors in such litigation do not, and reasonably could not be expected to, conflict (such determination of existing or potential conflict to be made by the Creditors using their reasonable goodfaith judgment), the Creditors shall make reasonable efforts to use common counsel in connection with such litigation and the preparation therefor. If, and to the extent that the obligations of the Security Parties under this Section 17.8 are unenforceable for any reason, the Security Parties herebyagree to make the maximum contribution to the payment in satisfaction of such obligations which ispermissible under applicable law. The covenants contained in this Section 17.8 shall survive paymentor satisfaction in full of the Facility and all other obligations under this Agreement and the other Transaction Documents.</w:t>
      </w:r>
    </w:p>
    <w:p>
      <w:pPr>
        <w:spacing w:after="0" w:line="200" w:lineRule="exact"/>
        <w:rPr>
          <w:sz w:val="20"/>
          <w:szCs w:val="20"/>
          <w:color w:val="auto"/>
        </w:rPr>
      </w:pPr>
    </w:p>
    <w:p>
      <w:pPr>
        <w:spacing w:after="0" w:line="205" w:lineRule="exact"/>
        <w:rPr>
          <w:sz w:val="20"/>
          <w:szCs w:val="20"/>
          <w:color w:val="auto"/>
        </w:rPr>
      </w:pPr>
    </w:p>
    <w:p>
      <w:pPr>
        <w:ind w:left="780"/>
        <w:spacing w:after="0"/>
        <w:tabs>
          <w:tab w:leader="none" w:pos="1800" w:val="left"/>
        </w:tabs>
        <w:rPr>
          <w:sz w:val="20"/>
          <w:szCs w:val="20"/>
          <w:color w:val="auto"/>
        </w:rPr>
      </w:pPr>
      <w:r>
        <w:rPr>
          <w:rFonts w:ascii="Arial" w:cs="Arial" w:eastAsia="Arial" w:hAnsi="Arial"/>
          <w:sz w:val="22"/>
          <w:szCs w:val="22"/>
          <w:color w:val="auto"/>
        </w:rPr>
        <w:t>17.9</w:t>
      </w:r>
      <w:r>
        <w:rPr>
          <w:sz w:val="20"/>
          <w:szCs w:val="20"/>
          <w:color w:val="auto"/>
        </w:rPr>
        <w:tab/>
      </w:r>
      <w:r>
        <w:rPr>
          <w:rFonts w:ascii="Arial" w:cs="Arial" w:eastAsia="Arial" w:hAnsi="Arial"/>
          <w:sz w:val="19"/>
          <w:szCs w:val="19"/>
          <w:u w:val="single" w:color="auto"/>
          <w:color w:val="auto"/>
        </w:rPr>
        <w:t>USA Patriot Act Notice; Bank Secrecy Act</w:t>
      </w:r>
      <w:r>
        <w:rPr>
          <w:rFonts w:ascii="Arial" w:cs="Arial" w:eastAsia="Arial" w:hAnsi="Arial"/>
          <w:sz w:val="19"/>
          <w:szCs w:val="19"/>
          <w:color w:val="auto"/>
        </w:rPr>
        <w:t>. The Administrative Agent hereby notifies each of the Security</w:t>
      </w:r>
    </w:p>
    <w:p>
      <w:pPr>
        <w:spacing w:after="0" w:line="8" w:lineRule="exact"/>
        <w:rPr>
          <w:sz w:val="20"/>
          <w:szCs w:val="20"/>
          <w:color w:val="auto"/>
        </w:rPr>
      </w:pPr>
    </w:p>
    <w:p>
      <w:pPr>
        <w:ind w:right="80"/>
        <w:spacing w:after="0" w:line="243" w:lineRule="auto"/>
        <w:rPr>
          <w:sz w:val="20"/>
          <w:szCs w:val="20"/>
          <w:color w:val="auto"/>
        </w:rPr>
      </w:pPr>
      <w:r>
        <w:rPr>
          <w:rFonts w:ascii="Arial" w:cs="Arial" w:eastAsia="Arial" w:hAnsi="Arial"/>
          <w:sz w:val="22"/>
          <w:szCs w:val="22"/>
          <w:color w:val="auto"/>
        </w:rPr>
        <w:t xml:space="preserve">Parties that pursuant to the requirements of the USA Patriot Act (Title III of Pub. </w:t>
      </w:r>
      <w:r>
        <w:rPr>
          <w:rFonts w:ascii="Arial" w:cs="Arial" w:eastAsia="Arial" w:hAnsi="Arial"/>
          <w:sz w:val="19"/>
          <w:szCs w:val="19"/>
          <w:color w:val="auto"/>
        </w:rPr>
        <w:t>L. 107-56, signed into law October 26, 2001) (the</w:t>
      </w:r>
      <w:r>
        <w:rPr>
          <w:rFonts w:ascii="Arial" w:cs="Arial" w:eastAsia="Arial" w:hAnsi="Arial"/>
          <w:sz w:val="22"/>
          <w:szCs w:val="22"/>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Patriot Act</w:t>
      </w:r>
      <w:r>
        <w:rPr>
          <w:rFonts w:ascii="Arial" w:cs="Arial" w:eastAsia="Arial" w:hAnsi="Arial"/>
          <w:sz w:val="19"/>
          <w:szCs w:val="19"/>
          <w:color w:val="auto"/>
        </w:rPr>
        <w:t>”), and the policies and practices of the Administrative Agent, each of the Creditors is required to obtain, verify and record certain information and documentation that identifies each of the Security Parties, which informationincludes the name and address of each of the Security Parties and such other information that will allow the Creditors to identify each of the Security Parties in accordance with the Patriot Act. In addition, each of the Security Parties shall comply, and cause any of its subsidiaries to comply, withall applicable Bank Secrecy Act laws and regulations, as amended.</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203" w:name="page204"/>
    <w:bookmarkEnd w:id="203"/>
    <w:p>
      <w:pPr>
        <w:ind w:right="20" w:firstLine="780"/>
        <w:spacing w:after="0" w:line="236" w:lineRule="auto"/>
        <w:rPr>
          <w:sz w:val="20"/>
          <w:szCs w:val="20"/>
          <w:color w:val="auto"/>
        </w:rPr>
      </w:pPr>
      <w:r>
        <w:rPr>
          <w:rFonts w:ascii="Arial" w:cs="Arial" w:eastAsia="Arial" w:hAnsi="Arial"/>
          <w:sz w:val="22"/>
          <w:szCs w:val="22"/>
          <w:color w:val="auto"/>
        </w:rPr>
        <w:t xml:space="preserve">17.10 </w:t>
      </w:r>
      <w:r>
        <w:rPr>
          <w:rFonts w:ascii="Arial" w:cs="Arial" w:eastAsia="Arial" w:hAnsi="Arial"/>
          <w:sz w:val="22"/>
          <w:szCs w:val="22"/>
          <w:u w:val="single" w:color="auto"/>
          <w:color w:val="auto"/>
        </w:rPr>
        <w:t>CEA Eligible Contract Participant</w:t>
      </w:r>
      <w:r>
        <w:rPr>
          <w:rFonts w:ascii="Arial" w:cs="Arial" w:eastAsia="Arial" w:hAnsi="Arial"/>
          <w:sz w:val="22"/>
          <w:szCs w:val="22"/>
          <w:color w:val="auto"/>
        </w:rPr>
        <w:t>. Notwithstanding anything to the contrary in any Transaction Document, no Security Party shall be deemed to guarantee, become jointly and severally obligated for or pledge assets in support of a “swap,” as defined in Section 1(a)(47) of the Commodity Exchange Act (“</w:t>
      </w:r>
      <w:r>
        <w:rPr>
          <w:rFonts w:ascii="Arial" w:cs="Arial" w:eastAsia="Arial" w:hAnsi="Arial"/>
          <w:sz w:val="22"/>
          <w:szCs w:val="22"/>
          <w:b w:val="1"/>
          <w:bCs w:val="1"/>
          <w:color w:val="auto"/>
        </w:rPr>
        <w:t>CEA</w:t>
      </w:r>
      <w:r>
        <w:rPr>
          <w:rFonts w:ascii="Arial" w:cs="Arial" w:eastAsia="Arial" w:hAnsi="Arial"/>
          <w:sz w:val="22"/>
          <w:szCs w:val="22"/>
          <w:color w:val="auto"/>
        </w:rPr>
        <w:t>”) of another Security Party in favor of any Hedging Bank if at the time that swap is entered into, such Security Party is not an “eligible contract participant” as defined in Section 1(a)(18) of the CEA.</w:t>
      </w:r>
    </w:p>
    <w:p>
      <w:pPr>
        <w:spacing w:after="0" w:line="187" w:lineRule="exact"/>
        <w:rPr>
          <w:sz w:val="20"/>
          <w:szCs w:val="20"/>
          <w:color w:val="auto"/>
        </w:rPr>
      </w:pPr>
    </w:p>
    <w:p>
      <w:pPr>
        <w:ind w:firstLine="780"/>
        <w:spacing w:after="0" w:line="234" w:lineRule="auto"/>
        <w:rPr>
          <w:sz w:val="20"/>
          <w:szCs w:val="20"/>
          <w:color w:val="auto"/>
        </w:rPr>
      </w:pPr>
      <w:r>
        <w:rPr>
          <w:rFonts w:ascii="Arial" w:cs="Arial" w:eastAsia="Arial" w:hAnsi="Arial"/>
          <w:sz w:val="22"/>
          <w:szCs w:val="22"/>
          <w:color w:val="auto"/>
        </w:rPr>
        <w:t xml:space="preserve">17.11 </w:t>
      </w:r>
      <w:r>
        <w:rPr>
          <w:rFonts w:ascii="Arial" w:cs="Arial" w:eastAsia="Arial" w:hAnsi="Arial"/>
          <w:sz w:val="22"/>
          <w:szCs w:val="22"/>
          <w:u w:val="single" w:color="auto"/>
          <w:color w:val="auto"/>
        </w:rPr>
        <w:t>Counterparts; Electronic Delivery</w:t>
      </w:r>
      <w:r>
        <w:rPr>
          <w:rFonts w:ascii="Arial" w:cs="Arial" w:eastAsia="Arial" w:hAnsi="Arial"/>
          <w:sz w:val="22"/>
          <w:szCs w:val="22"/>
          <w:color w:val="auto"/>
        </w:rPr>
        <w:t xml:space="preserve">. This Agreement may be executed in any number of counterparts, each of which shall be deemed an original, but all such counterparts together shall constitute one and the same instrument. Delivery of an executed counterpart of this Agreement by facsimile or electronic transmission shall be deemed as effective as delivery of an originally executed counterpart. In the event that any of the Security Parties deliver an executed counterpart of this Agreement by facsimile or electronic transmission, such Security Parties shall also deliver an </w:t>
      </w:r>
      <w:r>
        <w:rPr>
          <w:rFonts w:ascii="Arial" w:cs="Arial" w:eastAsia="Arial" w:hAnsi="Arial"/>
          <w:sz w:val="19"/>
          <w:szCs w:val="19"/>
          <w:color w:val="auto"/>
        </w:rPr>
        <w:t>originally executed counterpart as soon as</w:t>
      </w:r>
      <w:r>
        <w:rPr>
          <w:rFonts w:ascii="Arial" w:cs="Arial" w:eastAsia="Arial" w:hAnsi="Arial"/>
          <w:sz w:val="22"/>
          <w:szCs w:val="22"/>
          <w:color w:val="auto"/>
        </w:rPr>
        <w:t xml:space="preserve"> </w:t>
      </w:r>
      <w:r>
        <w:rPr>
          <w:rFonts w:ascii="Arial" w:cs="Arial" w:eastAsia="Arial" w:hAnsi="Arial"/>
          <w:sz w:val="19"/>
          <w:szCs w:val="19"/>
          <w:color w:val="auto"/>
        </w:rPr>
        <w:t>practicable, but the failure of such Security Parties to deliver an originally executed counterpart of this Agreement shall not affect the validity or effectiveness of this Agreement.</w:t>
      </w:r>
    </w:p>
    <w:p>
      <w:pPr>
        <w:spacing w:after="0" w:line="197" w:lineRule="exact"/>
        <w:rPr>
          <w:sz w:val="20"/>
          <w:szCs w:val="20"/>
          <w:color w:val="auto"/>
        </w:rPr>
      </w:pPr>
    </w:p>
    <w:p>
      <w:pPr>
        <w:ind w:right="60" w:firstLine="780"/>
        <w:spacing w:after="0" w:line="250" w:lineRule="auto"/>
        <w:rPr>
          <w:sz w:val="20"/>
          <w:szCs w:val="20"/>
          <w:color w:val="auto"/>
        </w:rPr>
      </w:pPr>
      <w:r>
        <w:rPr>
          <w:rFonts w:ascii="Arial" w:cs="Arial" w:eastAsia="Arial" w:hAnsi="Arial"/>
          <w:sz w:val="22"/>
          <w:szCs w:val="22"/>
          <w:color w:val="auto"/>
        </w:rPr>
        <w:t xml:space="preserve">17.12 </w:t>
      </w:r>
      <w:r>
        <w:rPr>
          <w:rFonts w:ascii="Arial" w:cs="Arial" w:eastAsia="Arial" w:hAnsi="Arial"/>
          <w:sz w:val="22"/>
          <w:szCs w:val="22"/>
          <w:u w:val="single" w:color="auto"/>
          <w:color w:val="auto"/>
        </w:rPr>
        <w:t>Headings</w:t>
      </w:r>
      <w:r>
        <w:rPr>
          <w:rFonts w:ascii="Arial" w:cs="Arial" w:eastAsia="Arial" w:hAnsi="Arial"/>
          <w:sz w:val="22"/>
          <w:szCs w:val="22"/>
          <w:color w:val="auto"/>
        </w:rPr>
        <w:t>. In this Agreement, Section headings are inserted for convenience of reference only and shall not be taken into account in the interpretation of this Agreement.</w:t>
      </w:r>
    </w:p>
    <w:p>
      <w:pPr>
        <w:spacing w:after="0" w:line="175" w:lineRule="exact"/>
        <w:rPr>
          <w:sz w:val="20"/>
          <w:szCs w:val="20"/>
          <w:color w:val="auto"/>
        </w:rPr>
      </w:pPr>
    </w:p>
    <w:p>
      <w:pPr>
        <w:ind w:left="780"/>
        <w:spacing w:after="0"/>
        <w:tabs>
          <w:tab w:leader="none" w:pos="1900" w:val="left"/>
        </w:tabs>
        <w:rPr>
          <w:sz w:val="20"/>
          <w:szCs w:val="20"/>
          <w:color w:val="auto"/>
        </w:rPr>
      </w:pPr>
      <w:r>
        <w:rPr>
          <w:rFonts w:ascii="Arial" w:cs="Arial" w:eastAsia="Arial" w:hAnsi="Arial"/>
          <w:sz w:val="22"/>
          <w:szCs w:val="22"/>
          <w:color w:val="auto"/>
        </w:rPr>
        <w:t>17.13</w:t>
      </w:r>
      <w:r>
        <w:rPr>
          <w:sz w:val="20"/>
          <w:szCs w:val="20"/>
          <w:color w:val="auto"/>
        </w:rPr>
        <w:tab/>
      </w:r>
      <w:r>
        <w:rPr>
          <w:rFonts w:ascii="Arial" w:cs="Arial" w:eastAsia="Arial" w:hAnsi="Arial"/>
          <w:sz w:val="19"/>
          <w:szCs w:val="19"/>
          <w:u w:val="single" w:color="auto"/>
          <w:color w:val="auto"/>
        </w:rPr>
        <w:t>Agreement Represents Amendment and Restatement</w:t>
      </w:r>
      <w:r>
        <w:rPr>
          <w:rFonts w:ascii="Arial" w:cs="Arial" w:eastAsia="Arial" w:hAnsi="Arial"/>
          <w:sz w:val="19"/>
          <w:szCs w:val="19"/>
          <w:color w:val="auto"/>
        </w:rPr>
        <w:t>. The Borrowers hereby acknowledge and agree that</w:t>
      </w:r>
    </w:p>
    <w:p>
      <w:pPr>
        <w:spacing w:after="0" w:line="8" w:lineRule="exact"/>
        <w:rPr>
          <w:sz w:val="20"/>
          <w:szCs w:val="20"/>
          <w:color w:val="auto"/>
        </w:rPr>
      </w:pPr>
    </w:p>
    <w:p>
      <w:pPr>
        <w:ind w:right="220" w:firstLine="8"/>
        <w:spacing w:after="0" w:line="266" w:lineRule="auto"/>
        <w:tabs>
          <w:tab w:leader="none" w:pos="258" w:val="left"/>
        </w:tabs>
        <w:numPr>
          <w:ilvl w:val="0"/>
          <w:numId w:val="191"/>
        </w:numPr>
        <w:rPr>
          <w:rFonts w:ascii="Arial" w:cs="Arial" w:eastAsia="Arial" w:hAnsi="Arial"/>
          <w:sz w:val="19"/>
          <w:szCs w:val="19"/>
          <w:color w:val="auto"/>
        </w:rPr>
      </w:pPr>
      <w:r>
        <w:rPr>
          <w:rFonts w:ascii="Arial" w:cs="Arial" w:eastAsia="Arial" w:hAnsi="Arial"/>
          <w:sz w:val="19"/>
          <w:szCs w:val="19"/>
          <w:color w:val="auto"/>
        </w:rPr>
        <w:t>this Agreement represents, among other things, an amendment, restatement, renewal, extension, consolidation and modification of the Original Loan Agreement and the Facility made under the Original Loan Agreement; (ii) this Agreement, the Notes and the Security Documents shall evidence and secure, without interruption or impairment of any kind, all existing indebtedness of the Borrowers and all obligations of the Borrowers under the Original Loan Agreement, the Notes (as defined in the Original Loan Agreement, the “</w:t>
      </w:r>
      <w:r>
        <w:rPr>
          <w:rFonts w:ascii="Arial" w:cs="Arial" w:eastAsia="Arial" w:hAnsi="Arial"/>
          <w:sz w:val="19"/>
          <w:szCs w:val="19"/>
          <w:b w:val="1"/>
          <w:bCs w:val="1"/>
          <w:color w:val="auto"/>
        </w:rPr>
        <w:t>2013 Notes</w:t>
      </w:r>
      <w:r>
        <w:rPr>
          <w:rFonts w:ascii="Arial" w:cs="Arial" w:eastAsia="Arial" w:hAnsi="Arial"/>
          <w:sz w:val="19"/>
          <w:szCs w:val="19"/>
          <w:color w:val="auto"/>
        </w:rPr>
        <w:t>”) and the Security Documents (as defined in the Original Loan Agreement, the “</w:t>
      </w:r>
      <w:r>
        <w:rPr>
          <w:rFonts w:ascii="Arial" w:cs="Arial" w:eastAsia="Arial" w:hAnsi="Arial"/>
          <w:sz w:val="19"/>
          <w:szCs w:val="19"/>
          <w:b w:val="1"/>
          <w:bCs w:val="1"/>
          <w:color w:val="auto"/>
        </w:rPr>
        <w:t>2013 Security Documents</w:t>
      </w:r>
      <w:r>
        <w:rPr>
          <w:rFonts w:ascii="Arial" w:cs="Arial" w:eastAsia="Arial" w:hAnsi="Arial"/>
          <w:sz w:val="19"/>
          <w:szCs w:val="19"/>
          <w:color w:val="auto"/>
        </w:rPr>
        <w:t>”), as so amended, restated, restructured, renewed, extended, consolidated and modified hereunder;</w:t>
      </w:r>
    </w:p>
    <w:p>
      <w:pPr>
        <w:spacing w:after="0" w:line="5" w:lineRule="exact"/>
        <w:rPr>
          <w:rFonts w:ascii="Arial" w:cs="Arial" w:eastAsia="Arial" w:hAnsi="Arial"/>
          <w:sz w:val="19"/>
          <w:szCs w:val="19"/>
          <w:color w:val="auto"/>
        </w:rPr>
      </w:pPr>
    </w:p>
    <w:p>
      <w:pPr>
        <w:ind w:right="220" w:firstLine="8"/>
        <w:spacing w:after="0" w:line="272" w:lineRule="auto"/>
        <w:tabs>
          <w:tab w:leader="none" w:pos="378" w:val="left"/>
        </w:tabs>
        <w:numPr>
          <w:ilvl w:val="0"/>
          <w:numId w:val="192"/>
        </w:numPr>
        <w:rPr>
          <w:rFonts w:ascii="Arial" w:cs="Arial" w:eastAsia="Arial" w:hAnsi="Arial"/>
          <w:sz w:val="19"/>
          <w:szCs w:val="19"/>
          <w:color w:val="auto"/>
        </w:rPr>
      </w:pPr>
      <w:r>
        <w:rPr>
          <w:rFonts w:ascii="Arial" w:cs="Arial" w:eastAsia="Arial" w:hAnsi="Arial"/>
          <w:sz w:val="19"/>
          <w:szCs w:val="19"/>
          <w:color w:val="auto"/>
        </w:rPr>
        <w:t>all liens and security evidenced by the Original Loan Agreement and the 2013 Security Documents to the extent amended, restated, renewed, extended, consolidated and modified hereunder, are hereby ratified, confirmed and continued; (iv) this Agreement, the Notes and the Security Documents are intended to amend, restate, restructure, renew, extend, consolidate and modify the Original Loan Agreement, the 2013 Notes, and the 2013 Security Documents; (v) the execution and delivery of this Agreement shall not constitute a novation of any indebtedness or other obligations owing to the Lenders or the Administrative Agent under the Original Loan Agreement; (vi) all references in any of the Security Documents to this Agreement, the “Loan Agreement”, the “Credit Facility Agreement” or any other term referencing this Agreement shall be deemed to be references to this Agreement as amended and restated hereby.</w:t>
      </w:r>
    </w:p>
    <w:p>
      <w:pPr>
        <w:spacing w:after="0" w:line="161" w:lineRule="exact"/>
        <w:rPr>
          <w:sz w:val="20"/>
          <w:szCs w:val="20"/>
          <w:color w:val="auto"/>
        </w:rPr>
      </w:pPr>
    </w:p>
    <w:p>
      <w:pPr>
        <w:ind w:firstLine="780"/>
        <w:spacing w:after="0" w:line="245" w:lineRule="auto"/>
        <w:rPr>
          <w:sz w:val="20"/>
          <w:szCs w:val="20"/>
          <w:color w:val="auto"/>
        </w:rPr>
      </w:pPr>
      <w:r>
        <w:rPr>
          <w:rFonts w:ascii="Arial" w:cs="Arial" w:eastAsia="Arial" w:hAnsi="Arial"/>
          <w:sz w:val="21"/>
          <w:szCs w:val="21"/>
          <w:color w:val="auto"/>
        </w:rPr>
        <w:t xml:space="preserve">17.14 </w:t>
      </w:r>
      <w:r>
        <w:rPr>
          <w:rFonts w:ascii="Arial" w:cs="Arial" w:eastAsia="Arial" w:hAnsi="Arial"/>
          <w:sz w:val="21"/>
          <w:szCs w:val="21"/>
          <w:u w:val="single" w:color="auto"/>
          <w:color w:val="auto"/>
        </w:rPr>
        <w:t>Confidentiality</w:t>
      </w:r>
      <w:r>
        <w:rPr>
          <w:rFonts w:ascii="Arial" w:cs="Arial" w:eastAsia="Arial" w:hAnsi="Arial"/>
          <w:sz w:val="21"/>
          <w:szCs w:val="21"/>
          <w:color w:val="auto"/>
        </w:rPr>
        <w:t>. Each of the Administrative Agent, Security Trustee and the Creditors agree to maintain the confidentiality of the Information,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Transaction Document or any action or proceeding relating to this Agreement or any other Transaction Document or the enforcement of rights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204" w:name="page205"/>
    <w:bookmarkEnd w:id="204"/>
    <w:p>
      <w:pPr>
        <w:spacing w:after="0"/>
        <w:rPr>
          <w:sz w:val="20"/>
          <w:szCs w:val="20"/>
          <w:color w:val="auto"/>
        </w:rPr>
      </w:pPr>
      <w:r>
        <w:rPr>
          <w:rFonts w:ascii="Arial" w:cs="Arial" w:eastAsia="Arial" w:hAnsi="Arial"/>
          <w:sz w:val="19"/>
          <w:szCs w:val="19"/>
          <w:color w:val="auto"/>
        </w:rPr>
        <w:t>hereunder or thereunder; (f) subject to an agreement containing provisions substantially the same as those of this Section 17.14, to</w:t>
      </w:r>
    </w:p>
    <w:p>
      <w:pPr>
        <w:spacing w:after="0" w:line="43" w:lineRule="exact"/>
        <w:rPr>
          <w:sz w:val="20"/>
          <w:szCs w:val="20"/>
          <w:color w:val="auto"/>
        </w:rPr>
      </w:pPr>
    </w:p>
    <w:p>
      <w:pPr>
        <w:ind w:right="120" w:firstLine="8"/>
        <w:spacing w:after="0" w:line="274" w:lineRule="auto"/>
        <w:tabs>
          <w:tab w:leader="none" w:pos="258"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any assignee of or participant in, or any prospective assignee of or participant in, any of its rights and obligations under this Agreement, (ii) any actual or prospective party (or its Related Parties) to any swap, derivative or other transaction under which payments are to be made by reference to the Borrowers and its obligations, this Agreement or payments hereunder or (iii) to any credit insurance provider; (g) on a confidential basis to any rating agency in connection with rating the Borrowers or their respective Subsidiaries or the </w:t>
      </w:r>
      <w:r>
        <w:rPr>
          <w:rFonts w:ascii="Arial" w:cs="Arial" w:eastAsia="Arial" w:hAnsi="Arial"/>
          <w:sz w:val="17"/>
          <w:szCs w:val="17"/>
          <w:color w:val="auto"/>
        </w:rPr>
        <w:t>Facility</w:t>
      </w:r>
      <w:r>
        <w:rPr>
          <w:rFonts w:ascii="Arial" w:cs="Arial" w:eastAsia="Arial" w:hAnsi="Arial"/>
          <w:sz w:val="19"/>
          <w:szCs w:val="19"/>
          <w:color w:val="auto"/>
        </w:rPr>
        <w:t xml:space="preserve">; (h) with the consent of the Borrowers; or (i) to the extent such Information (x) becomes publicly available other than as a result of a breach of this Section 17.14, or (y) becomes available to the Administrative Agent, Security Trustee, any Creditor or any of their respective Affiliates on a non-confidential basis from a source other than a Credit Party. In addition, the Administrative Agent, Security Trustee and the Creditors may disclose the existence of this Agreement and information </w:t>
      </w:r>
      <w:r>
        <w:rPr>
          <w:rFonts w:ascii="Arial" w:cs="Arial" w:eastAsia="Arial" w:hAnsi="Arial"/>
          <w:sz w:val="17"/>
          <w:szCs w:val="17"/>
          <w:color w:val="auto"/>
        </w:rPr>
        <w:t>about this Agreement to market data collectors, similar service providers to the lending industry andservice providers to</w:t>
      </w:r>
      <w:r>
        <w:rPr>
          <w:rFonts w:ascii="Arial" w:cs="Arial" w:eastAsia="Arial" w:hAnsi="Arial"/>
          <w:sz w:val="19"/>
          <w:szCs w:val="19"/>
          <w:color w:val="auto"/>
        </w:rPr>
        <w:t xml:space="preserve"> </w:t>
      </w:r>
      <w:r>
        <w:rPr>
          <w:rFonts w:ascii="Arial" w:cs="Arial" w:eastAsia="Arial" w:hAnsi="Arial"/>
          <w:sz w:val="17"/>
          <w:szCs w:val="17"/>
          <w:color w:val="auto"/>
        </w:rPr>
        <w:t>the Administrative Agent, Security Trustee and the Creditors in connection withthe administration of this Agreement and the other Transaction Documents. It is understood and agreed that any Person required to maintain the confidentiality of Information as provided in this Section 17.14 shall be considered to have complied with its obligation to do so if such Person has exercised the same degree of care to maintain the confidentiality of such Information as such Personwould accord to its own confidential information.</w:t>
      </w:r>
    </w:p>
    <w:p>
      <w:pPr>
        <w:spacing w:after="0" w:line="165" w:lineRule="exact"/>
        <w:rPr>
          <w:sz w:val="20"/>
          <w:szCs w:val="20"/>
          <w:color w:val="auto"/>
        </w:rPr>
      </w:pPr>
    </w:p>
    <w:p>
      <w:pPr>
        <w:ind w:right="20" w:firstLine="780"/>
        <w:spacing w:after="0" w:line="236" w:lineRule="auto"/>
        <w:rPr>
          <w:sz w:val="20"/>
          <w:szCs w:val="20"/>
          <w:color w:val="auto"/>
        </w:rPr>
      </w:pPr>
      <w:r>
        <w:rPr>
          <w:rFonts w:ascii="Arial" w:cs="Arial" w:eastAsia="Arial" w:hAnsi="Arial"/>
          <w:sz w:val="22"/>
          <w:szCs w:val="22"/>
          <w:color w:val="auto"/>
        </w:rPr>
        <w:t xml:space="preserve">17.15 </w:t>
      </w:r>
      <w:r>
        <w:rPr>
          <w:rFonts w:ascii="Arial" w:cs="Arial" w:eastAsia="Arial" w:hAnsi="Arial"/>
          <w:sz w:val="22"/>
          <w:szCs w:val="22"/>
          <w:u w:val="single" w:color="auto"/>
          <w:color w:val="auto"/>
        </w:rPr>
        <w:t>Contractual Recognition of Bail-in</w:t>
      </w:r>
      <w:r>
        <w:rPr>
          <w:rFonts w:ascii="Arial" w:cs="Arial" w:eastAsia="Arial" w:hAnsi="Arial"/>
          <w:sz w:val="22"/>
          <w:szCs w:val="22"/>
          <w:color w:val="auto"/>
        </w:rPr>
        <w:t>. Notwithstanding anything to the contrary in any Transaction Document or in any other agreement, arrangement or understanding among any such parties, each party hereto acknowledges that any liability of any Affected Financial Institution arising under any Transaction Document, to the extent such liability is unsecured, may be subject to the write- down and conversion powers of the applicable Resolution Authority and agrees and consents to, and acknowledges and agrees to be bound by:</w:t>
      </w:r>
    </w:p>
    <w:p>
      <w:pPr>
        <w:spacing w:after="0" w:line="187" w:lineRule="exact"/>
        <w:rPr>
          <w:sz w:val="20"/>
          <w:szCs w:val="20"/>
          <w:color w:val="auto"/>
        </w:rPr>
      </w:pPr>
    </w:p>
    <w:p>
      <w:pPr>
        <w:ind w:right="100" w:firstLine="1569"/>
        <w:spacing w:after="0" w:line="328" w:lineRule="auto"/>
        <w:tabs>
          <w:tab w:leader="none" w:pos="2446" w:val="left"/>
        </w:tabs>
        <w:numPr>
          <w:ilvl w:val="0"/>
          <w:numId w:val="194"/>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that may be payable to it by any party hereto that is an Affected Financial Institution; and</w:t>
      </w:r>
    </w:p>
    <w:p>
      <w:pPr>
        <w:spacing w:after="0" w:line="104" w:lineRule="exact"/>
        <w:rPr>
          <w:rFonts w:ascii="Arial" w:cs="Arial" w:eastAsia="Arial" w:hAnsi="Arial"/>
          <w:sz w:val="19"/>
          <w:szCs w:val="19"/>
          <w:color w:val="auto"/>
        </w:rPr>
      </w:pPr>
    </w:p>
    <w:p>
      <w:pPr>
        <w:ind w:left="2460" w:hanging="891"/>
        <w:spacing w:after="0"/>
        <w:tabs>
          <w:tab w:leader="none" w:pos="246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06" w:lineRule="exact"/>
        <w:rPr>
          <w:rFonts w:ascii="Arial" w:cs="Arial" w:eastAsia="Arial" w:hAnsi="Arial"/>
          <w:sz w:val="22"/>
          <w:szCs w:val="22"/>
          <w:color w:val="auto"/>
        </w:rPr>
      </w:pPr>
    </w:p>
    <w:p>
      <w:pPr>
        <w:ind w:left="3120" w:hanging="777"/>
        <w:spacing w:after="0"/>
        <w:tabs>
          <w:tab w:leader="none" w:pos="312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reduction in full or in part or cancellation of any such liability;</w:t>
      </w:r>
    </w:p>
    <w:p>
      <w:pPr>
        <w:spacing w:after="0" w:line="206" w:lineRule="exact"/>
        <w:rPr>
          <w:rFonts w:ascii="Arial" w:cs="Arial" w:eastAsia="Arial" w:hAnsi="Arial"/>
          <w:sz w:val="22"/>
          <w:szCs w:val="22"/>
          <w:color w:val="auto"/>
        </w:rPr>
      </w:pPr>
    </w:p>
    <w:p>
      <w:pPr>
        <w:ind w:right="20" w:firstLine="2350"/>
        <w:spacing w:after="0" w:line="238" w:lineRule="auto"/>
        <w:tabs>
          <w:tab w:leader="none" w:pos="325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Transaction Document; or</w:t>
      </w:r>
    </w:p>
    <w:p>
      <w:pPr>
        <w:spacing w:after="0" w:line="184" w:lineRule="exact"/>
        <w:rPr>
          <w:rFonts w:ascii="Arial" w:cs="Arial" w:eastAsia="Arial" w:hAnsi="Arial"/>
          <w:sz w:val="22"/>
          <w:szCs w:val="22"/>
          <w:color w:val="auto"/>
        </w:rPr>
      </w:pPr>
    </w:p>
    <w:p>
      <w:pPr>
        <w:ind w:right="60" w:firstLine="2350"/>
        <w:spacing w:after="0" w:line="250" w:lineRule="auto"/>
        <w:tabs>
          <w:tab w:leader="none" w:pos="3309" w:val="left"/>
        </w:tabs>
        <w:numPr>
          <w:ilvl w:val="1"/>
          <w:numId w:val="194"/>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205" w:name="page206"/>
    <w:bookmarkEnd w:id="205"/>
    <w:p>
      <w:pPr>
        <w:ind w:right="380" w:firstLine="1561"/>
        <w:spacing w:after="0" w:line="250" w:lineRule="auto"/>
        <w:rPr>
          <w:sz w:val="20"/>
          <w:szCs w:val="20"/>
          <w:color w:val="auto"/>
        </w:rPr>
      </w:pPr>
      <w:r>
        <w:rPr>
          <w:rFonts w:ascii="Arial" w:cs="Arial" w:eastAsia="Arial" w:hAnsi="Arial"/>
          <w:sz w:val="22"/>
          <w:szCs w:val="22"/>
          <w:color w:val="auto"/>
        </w:rPr>
        <w:t>IN WITNESS whereof the parties hereto have caused this Agreement to be duly executed by their duly authorized representatives as of the day and year first above written.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BORROWERS</w:t>
      </w:r>
      <w:r>
        <w:rPr>
          <w:rFonts w:ascii="Arial" w:cs="Arial" w:eastAsia="Arial" w:hAnsi="Arial"/>
          <w:sz w:val="22"/>
          <w:szCs w:val="22"/>
          <w:color w:val="auto"/>
        </w:rPr>
        <w: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SEACOR OFFSHORE OSV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as Borrower</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-635</wp:posOffset>
            </wp:positionV>
            <wp:extent cx="32143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ind w:left="340"/>
        <w:spacing w:after="0" w:line="238" w:lineRule="auto"/>
        <w:rPr>
          <w:sz w:val="20"/>
          <w:szCs w:val="20"/>
          <w:color w:val="auto"/>
        </w:rPr>
      </w:pPr>
      <w:r>
        <w:rPr>
          <w:rFonts w:ascii="Arial" w:cs="Arial" w:eastAsia="Arial" w:hAnsi="Arial"/>
          <w:sz w:val="22"/>
          <w:szCs w:val="22"/>
          <w:color w:val="auto"/>
        </w:rPr>
        <w:t>Name:</w:t>
      </w:r>
    </w:p>
    <w:p>
      <w:pPr>
        <w:ind w:left="340"/>
        <w:spacing w:after="0"/>
        <w:rPr>
          <w:sz w:val="20"/>
          <w:szCs w:val="20"/>
          <w:color w:val="auto"/>
        </w:rPr>
      </w:pPr>
      <w:r>
        <w:rPr>
          <w:rFonts w:ascii="Arial" w:cs="Arial" w:eastAsia="Arial" w:hAnsi="Arial"/>
          <w:sz w:val="22"/>
          <w:szCs w:val="22"/>
          <w:color w:val="auto"/>
        </w:rPr>
        <w:t>Title: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00" w:type="dxa"/>
            <w:vAlign w:val="bottom"/>
            <w:gridSpan w:val="2"/>
          </w:tcPr>
          <w:p>
            <w:pPr>
              <w:spacing w:after="0"/>
              <w:rPr>
                <w:sz w:val="20"/>
                <w:szCs w:val="20"/>
                <w:color w:val="auto"/>
              </w:rPr>
            </w:pPr>
            <w:r>
              <w:rPr>
                <w:rFonts w:ascii="Arial" w:cs="Arial" w:eastAsia="Arial" w:hAnsi="Arial"/>
                <w:sz w:val="22"/>
                <w:szCs w:val="22"/>
                <w:color w:val="auto"/>
              </w:rPr>
              <w:t>SEACOR BRAVE LLC,</w:t>
            </w:r>
          </w:p>
        </w:tc>
        <w:tc>
          <w:tcPr>
            <w:tcW w:w="5840" w:type="dxa"/>
            <w:vAlign w:val="bottom"/>
            <w:gridSpan w:val="2"/>
          </w:tcPr>
          <w:p>
            <w:pPr>
              <w:ind w:left="460"/>
              <w:spacing w:after="0"/>
              <w:rPr>
                <w:sz w:val="20"/>
                <w:szCs w:val="20"/>
                <w:color w:val="auto"/>
              </w:rPr>
            </w:pPr>
            <w:r>
              <w:rPr>
                <w:rFonts w:ascii="Arial" w:cs="Arial" w:eastAsia="Arial" w:hAnsi="Arial"/>
                <w:sz w:val="22"/>
                <w:szCs w:val="22"/>
                <w:color w:val="auto"/>
              </w:rPr>
              <w:t>SEACOR CHIEF LLC,</w:t>
            </w:r>
          </w:p>
        </w:tc>
      </w:tr>
      <w:tr>
        <w:trPr>
          <w:trHeight w:val="274"/>
        </w:trPr>
        <w:tc>
          <w:tcPr>
            <w:tcW w:w="5400" w:type="dxa"/>
            <w:vAlign w:val="bottom"/>
            <w:gridSpan w:val="2"/>
          </w:tcPr>
          <w:p>
            <w:pPr>
              <w:spacing w:after="0"/>
              <w:rPr>
                <w:sz w:val="20"/>
                <w:szCs w:val="20"/>
                <w:color w:val="auto"/>
              </w:rPr>
            </w:pPr>
            <w:r>
              <w:rPr>
                <w:rFonts w:ascii="Arial" w:cs="Arial" w:eastAsia="Arial" w:hAnsi="Arial"/>
                <w:sz w:val="22"/>
                <w:szCs w:val="22"/>
                <w:color w:val="auto"/>
              </w:rPr>
              <w:t>as Borrower</w:t>
            </w:r>
          </w:p>
        </w:tc>
        <w:tc>
          <w:tcPr>
            <w:tcW w:w="5840" w:type="dxa"/>
            <w:vAlign w:val="bottom"/>
            <w:gridSpan w:val="2"/>
          </w:tcPr>
          <w:p>
            <w:pPr>
              <w:ind w:left="460"/>
              <w:spacing w:after="0"/>
              <w:rPr>
                <w:sz w:val="20"/>
                <w:szCs w:val="20"/>
                <w:color w:val="auto"/>
              </w:rPr>
            </w:pPr>
            <w:r>
              <w:rPr>
                <w:rFonts w:ascii="Arial" w:cs="Arial" w:eastAsia="Arial" w:hAnsi="Arial"/>
                <w:sz w:val="22"/>
                <w:szCs w:val="22"/>
                <w:color w:val="auto"/>
              </w:rPr>
              <w:t>as Borrower</w:t>
            </w:r>
          </w:p>
        </w:tc>
      </w:tr>
      <w:tr>
        <w:trPr>
          <w:trHeight w:val="489"/>
        </w:trPr>
        <w:tc>
          <w:tcPr>
            <w:tcW w:w="5400" w:type="dxa"/>
            <w:vAlign w:val="bottom"/>
            <w:gridSpan w:val="2"/>
          </w:tcPr>
          <w:p>
            <w:pPr>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460"/>
              <w:spacing w:after="0"/>
              <w:rPr>
                <w:sz w:val="20"/>
                <w:szCs w:val="20"/>
                <w:color w:val="auto"/>
              </w:rPr>
            </w:pPr>
            <w:r>
              <w:rPr>
                <w:rFonts w:ascii="Arial" w:cs="Arial" w:eastAsia="Arial" w:hAnsi="Arial"/>
                <w:sz w:val="22"/>
                <w:szCs w:val="22"/>
                <w:color w:val="auto"/>
              </w:rPr>
              <w:t>By:</w:t>
            </w:r>
          </w:p>
        </w:tc>
      </w:tr>
      <w:tr>
        <w:trPr>
          <w:trHeight w:val="215"/>
        </w:trPr>
        <w:tc>
          <w:tcPr>
            <w:tcW w:w="340" w:type="dxa"/>
            <w:vAlign w:val="bottom"/>
          </w:tcPr>
          <w:p>
            <w:pPr>
              <w:spacing w:after="0"/>
              <w:rPr>
                <w:sz w:val="18"/>
                <w:szCs w:val="18"/>
                <w:color w:val="auto"/>
              </w:rPr>
            </w:pPr>
          </w:p>
        </w:tc>
        <w:tc>
          <w:tcPr>
            <w:tcW w:w="50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800" w:type="dxa"/>
            <w:vAlign w:val="bottom"/>
          </w:tcPr>
          <w:p>
            <w:pPr>
              <w:spacing w:after="0"/>
              <w:rPr>
                <w:sz w:val="18"/>
                <w:szCs w:val="18"/>
                <w:color w:val="auto"/>
              </w:rPr>
            </w:pPr>
          </w:p>
        </w:tc>
        <w:tc>
          <w:tcPr>
            <w:tcW w:w="504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r>
      <w:tr>
        <w:trPr>
          <w:trHeight w:val="274"/>
        </w:trPr>
        <w:tc>
          <w:tcPr>
            <w:tcW w:w="5400" w:type="dxa"/>
            <w:vAlign w:val="bottom"/>
            <w:gridSpan w:val="2"/>
          </w:tcPr>
          <w:p>
            <w:pPr>
              <w:ind w:left="340"/>
              <w:spacing w:after="0"/>
              <w:rPr>
                <w:sz w:val="20"/>
                <w:szCs w:val="20"/>
                <w:color w:val="auto"/>
              </w:rPr>
            </w:pPr>
            <w:r>
              <w:rPr>
                <w:rFonts w:ascii="Arial" w:cs="Arial" w:eastAsia="Arial" w:hAnsi="Arial"/>
                <w:sz w:val="22"/>
                <w:szCs w:val="22"/>
                <w:color w:val="auto"/>
              </w:rPr>
              <w:t>Title:</w:t>
            </w:r>
          </w:p>
        </w:tc>
        <w:tc>
          <w:tcPr>
            <w:tcW w:w="800" w:type="dxa"/>
            <w:vAlign w:val="bottom"/>
          </w:tcPr>
          <w:p>
            <w:pPr>
              <w:spacing w:after="0"/>
              <w:rPr>
                <w:sz w:val="23"/>
                <w:szCs w:val="23"/>
                <w:color w:val="auto"/>
              </w:rPr>
            </w:pPr>
          </w:p>
        </w:tc>
        <w:tc>
          <w:tcPr>
            <w:tcW w:w="5040" w:type="dxa"/>
            <w:vAlign w:val="bottom"/>
          </w:tcPr>
          <w:p>
            <w:pPr>
              <w:spacing w:after="0"/>
              <w:rPr>
                <w:sz w:val="20"/>
                <w:szCs w:val="20"/>
                <w:color w:val="auto"/>
              </w:rPr>
            </w:pPr>
            <w:r>
              <w:rPr>
                <w:rFonts w:ascii="Arial" w:cs="Arial" w:eastAsia="Arial" w:hAnsi="Arial"/>
                <w:sz w:val="22"/>
                <w:szCs w:val="22"/>
                <w:color w:val="auto"/>
              </w:rPr>
              <w:t>Title:</w:t>
            </w:r>
          </w:p>
        </w:tc>
      </w:tr>
      <w:tr>
        <w:trPr>
          <w:trHeight w:val="455"/>
        </w:trPr>
        <w:tc>
          <w:tcPr>
            <w:tcW w:w="5400" w:type="dxa"/>
            <w:vAlign w:val="bottom"/>
            <w:gridSpan w:val="2"/>
          </w:tcPr>
          <w:p>
            <w:pPr>
              <w:spacing w:after="0"/>
              <w:rPr>
                <w:sz w:val="20"/>
                <w:szCs w:val="20"/>
                <w:color w:val="auto"/>
              </w:rPr>
            </w:pPr>
            <w:r>
              <w:rPr>
                <w:rFonts w:ascii="Arial" w:cs="Arial" w:eastAsia="Arial" w:hAnsi="Arial"/>
                <w:sz w:val="22"/>
                <w:szCs w:val="22"/>
                <w:color w:val="auto"/>
              </w:rPr>
              <w:t>SEACOR COURAGEOUS LLC,</w:t>
            </w:r>
          </w:p>
        </w:tc>
        <w:tc>
          <w:tcPr>
            <w:tcW w:w="5840" w:type="dxa"/>
            <w:vAlign w:val="bottom"/>
            <w:gridSpan w:val="2"/>
          </w:tcPr>
          <w:p>
            <w:pPr>
              <w:ind w:left="460"/>
              <w:spacing w:after="0"/>
              <w:rPr>
                <w:sz w:val="20"/>
                <w:szCs w:val="20"/>
                <w:color w:val="auto"/>
              </w:rPr>
            </w:pPr>
            <w:r>
              <w:rPr>
                <w:rFonts w:ascii="Arial" w:cs="Arial" w:eastAsia="Arial" w:hAnsi="Arial"/>
                <w:sz w:val="22"/>
                <w:szCs w:val="22"/>
                <w:color w:val="auto"/>
              </w:rPr>
              <w:t>SEACOR FEARLESS LLC,</w:t>
            </w:r>
          </w:p>
        </w:tc>
      </w:tr>
      <w:tr>
        <w:trPr>
          <w:trHeight w:val="274"/>
        </w:trPr>
        <w:tc>
          <w:tcPr>
            <w:tcW w:w="5400" w:type="dxa"/>
            <w:vAlign w:val="bottom"/>
            <w:gridSpan w:val="2"/>
          </w:tcPr>
          <w:p>
            <w:pPr>
              <w:spacing w:after="0"/>
              <w:rPr>
                <w:sz w:val="20"/>
                <w:szCs w:val="20"/>
                <w:color w:val="auto"/>
              </w:rPr>
            </w:pPr>
            <w:r>
              <w:rPr>
                <w:rFonts w:ascii="Arial" w:cs="Arial" w:eastAsia="Arial" w:hAnsi="Arial"/>
                <w:sz w:val="22"/>
                <w:szCs w:val="22"/>
                <w:color w:val="auto"/>
              </w:rPr>
              <w:t>as Borrower</w:t>
            </w:r>
          </w:p>
        </w:tc>
        <w:tc>
          <w:tcPr>
            <w:tcW w:w="5840" w:type="dxa"/>
            <w:vAlign w:val="bottom"/>
            <w:gridSpan w:val="2"/>
          </w:tcPr>
          <w:p>
            <w:pPr>
              <w:ind w:left="460"/>
              <w:spacing w:after="0"/>
              <w:rPr>
                <w:sz w:val="20"/>
                <w:szCs w:val="20"/>
                <w:color w:val="auto"/>
              </w:rPr>
            </w:pPr>
            <w:r>
              <w:rPr>
                <w:rFonts w:ascii="Arial" w:cs="Arial" w:eastAsia="Arial" w:hAnsi="Arial"/>
                <w:sz w:val="22"/>
                <w:szCs w:val="22"/>
                <w:color w:val="auto"/>
              </w:rPr>
              <w:t>as Borrower</w:t>
            </w:r>
          </w:p>
        </w:tc>
      </w:tr>
      <w:tr>
        <w:trPr>
          <w:trHeight w:val="489"/>
        </w:trPr>
        <w:tc>
          <w:tcPr>
            <w:tcW w:w="5400" w:type="dxa"/>
            <w:vAlign w:val="bottom"/>
            <w:gridSpan w:val="2"/>
          </w:tcPr>
          <w:p>
            <w:pPr>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460"/>
              <w:spacing w:after="0"/>
              <w:rPr>
                <w:sz w:val="20"/>
                <w:szCs w:val="20"/>
                <w:color w:val="auto"/>
              </w:rPr>
            </w:pPr>
            <w:r>
              <w:rPr>
                <w:rFonts w:ascii="Arial" w:cs="Arial" w:eastAsia="Arial" w:hAnsi="Arial"/>
                <w:sz w:val="22"/>
                <w:szCs w:val="22"/>
                <w:color w:val="auto"/>
              </w:rPr>
              <w:t>By:</w:t>
            </w:r>
          </w:p>
        </w:tc>
      </w:tr>
      <w:tr>
        <w:trPr>
          <w:trHeight w:val="215"/>
        </w:trPr>
        <w:tc>
          <w:tcPr>
            <w:tcW w:w="340" w:type="dxa"/>
            <w:vAlign w:val="bottom"/>
          </w:tcPr>
          <w:p>
            <w:pPr>
              <w:spacing w:after="0"/>
              <w:rPr>
                <w:sz w:val="18"/>
                <w:szCs w:val="18"/>
                <w:color w:val="auto"/>
              </w:rPr>
            </w:pPr>
          </w:p>
        </w:tc>
        <w:tc>
          <w:tcPr>
            <w:tcW w:w="50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800" w:type="dxa"/>
            <w:vAlign w:val="bottom"/>
          </w:tcPr>
          <w:p>
            <w:pPr>
              <w:spacing w:after="0"/>
              <w:rPr>
                <w:sz w:val="18"/>
                <w:szCs w:val="18"/>
                <w:color w:val="auto"/>
              </w:rPr>
            </w:pPr>
          </w:p>
        </w:tc>
        <w:tc>
          <w:tcPr>
            <w:tcW w:w="504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r>
      <w:tr>
        <w:trPr>
          <w:trHeight w:val="274"/>
        </w:trPr>
        <w:tc>
          <w:tcPr>
            <w:tcW w:w="5400" w:type="dxa"/>
            <w:vAlign w:val="bottom"/>
            <w:gridSpan w:val="2"/>
          </w:tcPr>
          <w:p>
            <w:pPr>
              <w:ind w:left="340"/>
              <w:spacing w:after="0"/>
              <w:rPr>
                <w:sz w:val="20"/>
                <w:szCs w:val="20"/>
                <w:color w:val="auto"/>
              </w:rPr>
            </w:pPr>
            <w:r>
              <w:rPr>
                <w:rFonts w:ascii="Arial" w:cs="Arial" w:eastAsia="Arial" w:hAnsi="Arial"/>
                <w:sz w:val="22"/>
                <w:szCs w:val="22"/>
                <w:color w:val="auto"/>
              </w:rPr>
              <w:t>Title:</w:t>
            </w:r>
          </w:p>
        </w:tc>
        <w:tc>
          <w:tcPr>
            <w:tcW w:w="800" w:type="dxa"/>
            <w:vAlign w:val="bottom"/>
          </w:tcPr>
          <w:p>
            <w:pPr>
              <w:spacing w:after="0"/>
              <w:rPr>
                <w:sz w:val="23"/>
                <w:szCs w:val="23"/>
                <w:color w:val="auto"/>
              </w:rPr>
            </w:pPr>
          </w:p>
        </w:tc>
        <w:tc>
          <w:tcPr>
            <w:tcW w:w="5040" w:type="dxa"/>
            <w:vAlign w:val="bottom"/>
          </w:tcPr>
          <w:p>
            <w:pPr>
              <w:spacing w:after="0"/>
              <w:rPr>
                <w:sz w:val="20"/>
                <w:szCs w:val="20"/>
                <w:color w:val="auto"/>
              </w:rPr>
            </w:pPr>
            <w:r>
              <w:rPr>
                <w:rFonts w:ascii="Arial" w:cs="Arial" w:eastAsia="Arial" w:hAnsi="Arial"/>
                <w:sz w:val="22"/>
                <w:szCs w:val="22"/>
                <w:color w:val="auto"/>
              </w:rPr>
              <w:t>Title:</w:t>
            </w:r>
          </w:p>
        </w:tc>
      </w:tr>
      <w:tr>
        <w:trPr>
          <w:trHeight w:val="455"/>
        </w:trPr>
        <w:tc>
          <w:tcPr>
            <w:tcW w:w="5400" w:type="dxa"/>
            <w:vAlign w:val="bottom"/>
            <w:gridSpan w:val="2"/>
          </w:tcPr>
          <w:p>
            <w:pPr>
              <w:spacing w:after="0"/>
              <w:rPr>
                <w:sz w:val="20"/>
                <w:szCs w:val="20"/>
                <w:color w:val="auto"/>
              </w:rPr>
            </w:pPr>
            <w:r>
              <w:rPr>
                <w:rFonts w:ascii="Arial" w:cs="Arial" w:eastAsia="Arial" w:hAnsi="Arial"/>
                <w:sz w:val="22"/>
                <w:szCs w:val="22"/>
                <w:color w:val="auto"/>
              </w:rPr>
              <w:t>SEACOR RESOLUTE LLC,</w:t>
            </w:r>
          </w:p>
        </w:tc>
        <w:tc>
          <w:tcPr>
            <w:tcW w:w="8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74"/>
        </w:trPr>
        <w:tc>
          <w:tcPr>
            <w:tcW w:w="5400" w:type="dxa"/>
            <w:vAlign w:val="bottom"/>
            <w:gridSpan w:val="2"/>
          </w:tcPr>
          <w:p>
            <w:pPr>
              <w:spacing w:after="0"/>
              <w:rPr>
                <w:sz w:val="20"/>
                <w:szCs w:val="20"/>
                <w:color w:val="auto"/>
              </w:rPr>
            </w:pPr>
            <w:r>
              <w:rPr>
                <w:rFonts w:ascii="Arial" w:cs="Arial" w:eastAsia="Arial" w:hAnsi="Arial"/>
                <w:sz w:val="22"/>
                <w:szCs w:val="22"/>
                <w:color w:val="auto"/>
              </w:rPr>
              <w:t>as Borrower</w:t>
            </w:r>
          </w:p>
        </w:tc>
        <w:tc>
          <w:tcPr>
            <w:tcW w:w="800" w:type="dxa"/>
            <w:vAlign w:val="bottom"/>
          </w:tcPr>
          <w:p>
            <w:pPr>
              <w:spacing w:after="0"/>
              <w:rPr>
                <w:sz w:val="23"/>
                <w:szCs w:val="23"/>
                <w:color w:val="auto"/>
              </w:rPr>
            </w:pPr>
          </w:p>
        </w:tc>
        <w:tc>
          <w:tcPr>
            <w:tcW w:w="5040" w:type="dxa"/>
            <w:vAlign w:val="bottom"/>
          </w:tcPr>
          <w:p>
            <w:pPr>
              <w:spacing w:after="0"/>
              <w:rPr>
                <w:sz w:val="23"/>
                <w:szCs w:val="23"/>
                <w:color w:val="auto"/>
              </w:rPr>
            </w:pPr>
          </w:p>
        </w:tc>
      </w:tr>
      <w:tr>
        <w:trPr>
          <w:trHeight w:val="489"/>
        </w:trPr>
        <w:tc>
          <w:tcPr>
            <w:tcW w:w="5400" w:type="dxa"/>
            <w:vAlign w:val="bottom"/>
            <w:gridSpan w:val="2"/>
          </w:tcPr>
          <w:p>
            <w:pPr>
              <w:spacing w:after="0"/>
              <w:rPr>
                <w:sz w:val="20"/>
                <w:szCs w:val="20"/>
                <w:color w:val="auto"/>
              </w:rPr>
            </w:pPr>
            <w:r>
              <w:rPr>
                <w:rFonts w:ascii="Arial" w:cs="Arial" w:eastAsia="Arial" w:hAnsi="Arial"/>
                <w:sz w:val="22"/>
                <w:szCs w:val="22"/>
                <w:color w:val="auto"/>
              </w:rPr>
              <w:t>By:</w:t>
            </w:r>
          </w:p>
        </w:tc>
        <w:tc>
          <w:tcPr>
            <w:tcW w:w="8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15"/>
        </w:trPr>
        <w:tc>
          <w:tcPr>
            <w:tcW w:w="340" w:type="dxa"/>
            <w:vAlign w:val="bottom"/>
          </w:tcPr>
          <w:p>
            <w:pPr>
              <w:spacing w:after="0"/>
              <w:rPr>
                <w:sz w:val="18"/>
                <w:szCs w:val="18"/>
                <w:color w:val="auto"/>
              </w:rPr>
            </w:pPr>
          </w:p>
        </w:tc>
        <w:tc>
          <w:tcPr>
            <w:tcW w:w="50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80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74"/>
        </w:trPr>
        <w:tc>
          <w:tcPr>
            <w:tcW w:w="5400" w:type="dxa"/>
            <w:vAlign w:val="bottom"/>
            <w:gridSpan w:val="2"/>
          </w:tcPr>
          <w:p>
            <w:pPr>
              <w:ind w:left="340"/>
              <w:spacing w:after="0"/>
              <w:rPr>
                <w:sz w:val="20"/>
                <w:szCs w:val="20"/>
                <w:color w:val="auto"/>
              </w:rPr>
            </w:pPr>
            <w:r>
              <w:rPr>
                <w:rFonts w:ascii="Arial" w:cs="Arial" w:eastAsia="Arial" w:hAnsi="Arial"/>
                <w:sz w:val="22"/>
                <w:szCs w:val="22"/>
                <w:color w:val="auto"/>
              </w:rPr>
              <w:t>Title:</w:t>
            </w:r>
          </w:p>
        </w:tc>
        <w:tc>
          <w:tcPr>
            <w:tcW w:w="800" w:type="dxa"/>
            <w:vAlign w:val="bottom"/>
          </w:tcPr>
          <w:p>
            <w:pPr>
              <w:spacing w:after="0"/>
              <w:rPr>
                <w:sz w:val="23"/>
                <w:szCs w:val="23"/>
                <w:color w:val="auto"/>
              </w:rPr>
            </w:pPr>
          </w:p>
        </w:tc>
        <w:tc>
          <w:tcPr>
            <w:tcW w:w="5040" w:type="dxa"/>
            <w:vAlign w:val="bottom"/>
          </w:tcPr>
          <w:p>
            <w:pPr>
              <w:spacing w:after="0"/>
              <w:rPr>
                <w:sz w:val="23"/>
                <w:szCs w:val="23"/>
                <w:color w:val="auto"/>
              </w:rPr>
            </w:pPr>
          </w:p>
        </w:tc>
      </w:tr>
    </w:tbl>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 Page: Credit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748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80"/>
        </w:trPr>
        <w:tc>
          <w:tcPr>
            <w:tcW w:w="5400" w:type="dxa"/>
            <w:vAlign w:val="bottom"/>
            <w:gridSpan w:val="2"/>
          </w:tcPr>
          <w:p>
            <w:pPr>
              <w:spacing w:after="0"/>
              <w:rPr>
                <w:sz w:val="20"/>
                <w:szCs w:val="20"/>
                <w:color w:val="auto"/>
              </w:rPr>
            </w:pPr>
            <w:r>
              <w:rPr>
                <w:rFonts w:ascii="Arial" w:cs="Arial" w:eastAsia="Arial" w:hAnsi="Arial"/>
                <w:sz w:val="22"/>
                <w:szCs w:val="22"/>
                <w:b w:val="1"/>
                <w:bCs w:val="1"/>
                <w:color w:val="auto"/>
              </w:rPr>
              <w:t>AGENTS AND LENDERS</w:t>
            </w:r>
            <w:r>
              <w:rPr>
                <w:rFonts w:ascii="Arial" w:cs="Arial" w:eastAsia="Arial" w:hAnsi="Arial"/>
                <w:sz w:val="22"/>
                <w:szCs w:val="22"/>
                <w:color w:val="auto"/>
              </w:rPr>
              <w:t>:</w:t>
            </w:r>
          </w:p>
        </w:tc>
        <w:tc>
          <w:tcPr>
            <w:tcW w:w="8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428"/>
        </w:trPr>
        <w:tc>
          <w:tcPr>
            <w:tcW w:w="5400" w:type="dxa"/>
            <w:vAlign w:val="bottom"/>
            <w:gridSpan w:val="2"/>
          </w:tcPr>
          <w:p>
            <w:pPr>
              <w:spacing w:after="0"/>
              <w:rPr>
                <w:sz w:val="20"/>
                <w:szCs w:val="20"/>
                <w:color w:val="auto"/>
              </w:rPr>
            </w:pPr>
            <w:r>
              <w:rPr>
                <w:rFonts w:ascii="Arial" w:cs="Arial" w:eastAsia="Arial" w:hAnsi="Arial"/>
                <w:sz w:val="22"/>
                <w:szCs w:val="22"/>
                <w:color w:val="auto"/>
              </w:rPr>
              <w:t>DNB MARKETS, INC.,</w:t>
            </w:r>
          </w:p>
        </w:tc>
        <w:tc>
          <w:tcPr>
            <w:tcW w:w="5840" w:type="dxa"/>
            <w:vAlign w:val="bottom"/>
            <w:gridSpan w:val="2"/>
          </w:tcPr>
          <w:p>
            <w:pPr>
              <w:ind w:left="420"/>
              <w:spacing w:after="0"/>
              <w:rPr>
                <w:sz w:val="20"/>
                <w:szCs w:val="20"/>
                <w:color w:val="auto"/>
              </w:rPr>
            </w:pPr>
            <w:r>
              <w:rPr>
                <w:rFonts w:ascii="Arial" w:cs="Arial" w:eastAsia="Arial" w:hAnsi="Arial"/>
                <w:sz w:val="22"/>
                <w:szCs w:val="22"/>
                <w:color w:val="auto"/>
              </w:rPr>
              <w:t>DNB BANK ASA, New York Branch,</w:t>
            </w:r>
          </w:p>
        </w:tc>
      </w:tr>
      <w:tr>
        <w:trPr>
          <w:trHeight w:val="274"/>
        </w:trPr>
        <w:tc>
          <w:tcPr>
            <w:tcW w:w="5400" w:type="dxa"/>
            <w:vAlign w:val="bottom"/>
            <w:gridSpan w:val="2"/>
          </w:tcPr>
          <w:p>
            <w:pPr>
              <w:spacing w:after="0"/>
              <w:rPr>
                <w:sz w:val="20"/>
                <w:szCs w:val="20"/>
                <w:color w:val="auto"/>
              </w:rPr>
            </w:pPr>
            <w:r>
              <w:rPr>
                <w:rFonts w:ascii="Arial" w:cs="Arial" w:eastAsia="Arial" w:hAnsi="Arial"/>
                <w:sz w:val="22"/>
                <w:szCs w:val="22"/>
                <w:color w:val="auto"/>
              </w:rPr>
              <w:t>as Bookrunner and Mandated Lead Arranger</w:t>
            </w:r>
          </w:p>
        </w:tc>
        <w:tc>
          <w:tcPr>
            <w:tcW w:w="5840" w:type="dxa"/>
            <w:vAlign w:val="bottom"/>
            <w:gridSpan w:val="2"/>
          </w:tcPr>
          <w:p>
            <w:pPr>
              <w:ind w:left="420"/>
              <w:spacing w:after="0"/>
              <w:rPr>
                <w:sz w:val="20"/>
                <w:szCs w:val="20"/>
                <w:color w:val="auto"/>
              </w:rPr>
            </w:pPr>
            <w:r>
              <w:rPr>
                <w:rFonts w:ascii="Arial" w:cs="Arial" w:eastAsia="Arial" w:hAnsi="Arial"/>
                <w:sz w:val="22"/>
                <w:szCs w:val="22"/>
                <w:color w:val="auto"/>
              </w:rPr>
              <w:t>as Administrative Agent and Security Trustee</w:t>
            </w:r>
          </w:p>
        </w:tc>
      </w:tr>
      <w:tr>
        <w:trPr>
          <w:trHeight w:val="486"/>
        </w:trPr>
        <w:tc>
          <w:tcPr>
            <w:tcW w:w="5400" w:type="dxa"/>
            <w:vAlign w:val="bottom"/>
            <w:gridSpan w:val="2"/>
          </w:tcPr>
          <w:p>
            <w:pPr>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420"/>
              <w:spacing w:after="0"/>
              <w:rPr>
                <w:sz w:val="20"/>
                <w:szCs w:val="20"/>
                <w:color w:val="auto"/>
              </w:rPr>
            </w:pPr>
            <w:r>
              <w:rPr>
                <w:rFonts w:ascii="Arial" w:cs="Arial" w:eastAsia="Arial" w:hAnsi="Arial"/>
                <w:sz w:val="22"/>
                <w:szCs w:val="22"/>
                <w:color w:val="auto"/>
              </w:rPr>
              <w:t>By:</w:t>
            </w:r>
          </w:p>
        </w:tc>
      </w:tr>
      <w:tr>
        <w:trPr>
          <w:trHeight w:val="219"/>
        </w:trPr>
        <w:tc>
          <w:tcPr>
            <w:tcW w:w="380" w:type="dxa"/>
            <w:vAlign w:val="bottom"/>
          </w:tcPr>
          <w:p>
            <w:pPr>
              <w:spacing w:after="0"/>
              <w:rPr>
                <w:sz w:val="19"/>
                <w:szCs w:val="19"/>
                <w:color w:val="auto"/>
              </w:rPr>
            </w:pPr>
          </w:p>
        </w:tc>
        <w:tc>
          <w:tcPr>
            <w:tcW w:w="5020" w:type="dxa"/>
            <w:vAlign w:val="bottom"/>
            <w:tcBorders>
              <w:top w:val="single" w:sz="8" w:color="auto"/>
            </w:tcBorders>
          </w:tcPr>
          <w:p>
            <w:pPr>
              <w:spacing w:after="0" w:line="219" w:lineRule="exact"/>
              <w:rPr>
                <w:sz w:val="20"/>
                <w:szCs w:val="20"/>
                <w:color w:val="auto"/>
              </w:rPr>
            </w:pPr>
            <w:r>
              <w:rPr>
                <w:rFonts w:ascii="Arial" w:cs="Arial" w:eastAsia="Arial" w:hAnsi="Arial"/>
                <w:sz w:val="22"/>
                <w:szCs w:val="22"/>
                <w:color w:val="auto"/>
              </w:rPr>
              <w:t>Name:</w:t>
            </w:r>
          </w:p>
        </w:tc>
        <w:tc>
          <w:tcPr>
            <w:tcW w:w="800" w:type="dxa"/>
            <w:vAlign w:val="bottom"/>
          </w:tcPr>
          <w:p>
            <w:pPr>
              <w:spacing w:after="0"/>
              <w:rPr>
                <w:sz w:val="19"/>
                <w:szCs w:val="19"/>
                <w:color w:val="auto"/>
              </w:rPr>
            </w:pPr>
          </w:p>
        </w:tc>
        <w:tc>
          <w:tcPr>
            <w:tcW w:w="5040" w:type="dxa"/>
            <w:vAlign w:val="bottom"/>
            <w:tcBorders>
              <w:top w:val="single" w:sz="8" w:color="auto"/>
            </w:tcBorders>
          </w:tcPr>
          <w:p>
            <w:pPr>
              <w:spacing w:after="0" w:line="219" w:lineRule="exact"/>
              <w:rPr>
                <w:sz w:val="20"/>
                <w:szCs w:val="20"/>
                <w:color w:val="auto"/>
              </w:rPr>
            </w:pPr>
            <w:r>
              <w:rPr>
                <w:rFonts w:ascii="Arial" w:cs="Arial" w:eastAsia="Arial" w:hAnsi="Arial"/>
                <w:sz w:val="22"/>
                <w:szCs w:val="22"/>
                <w:color w:val="auto"/>
              </w:rPr>
              <w:t>Name:</w:t>
            </w:r>
          </w:p>
        </w:tc>
      </w:tr>
      <w:tr>
        <w:trPr>
          <w:trHeight w:val="274"/>
        </w:trPr>
        <w:tc>
          <w:tcPr>
            <w:tcW w:w="5400" w:type="dxa"/>
            <w:vAlign w:val="bottom"/>
            <w:gridSpan w:val="2"/>
          </w:tcPr>
          <w:p>
            <w:pPr>
              <w:ind w:left="380"/>
              <w:spacing w:after="0"/>
              <w:rPr>
                <w:sz w:val="20"/>
                <w:szCs w:val="20"/>
                <w:color w:val="auto"/>
              </w:rPr>
            </w:pPr>
            <w:r>
              <w:rPr>
                <w:rFonts w:ascii="Arial" w:cs="Arial" w:eastAsia="Arial" w:hAnsi="Arial"/>
                <w:sz w:val="22"/>
                <w:szCs w:val="22"/>
                <w:color w:val="auto"/>
              </w:rPr>
              <w:t>Title:</w:t>
            </w:r>
          </w:p>
        </w:tc>
        <w:tc>
          <w:tcPr>
            <w:tcW w:w="800" w:type="dxa"/>
            <w:vAlign w:val="bottom"/>
          </w:tcPr>
          <w:p>
            <w:pPr>
              <w:spacing w:after="0"/>
              <w:rPr>
                <w:sz w:val="23"/>
                <w:szCs w:val="23"/>
                <w:color w:val="auto"/>
              </w:rPr>
            </w:pPr>
          </w:p>
        </w:tc>
        <w:tc>
          <w:tcPr>
            <w:tcW w:w="5040" w:type="dxa"/>
            <w:vAlign w:val="bottom"/>
          </w:tcPr>
          <w:p>
            <w:pPr>
              <w:spacing w:after="0"/>
              <w:rPr>
                <w:sz w:val="20"/>
                <w:szCs w:val="20"/>
                <w:color w:val="auto"/>
              </w:rPr>
            </w:pPr>
            <w:r>
              <w:rPr>
                <w:rFonts w:ascii="Arial" w:cs="Arial" w:eastAsia="Arial" w:hAnsi="Arial"/>
                <w:sz w:val="22"/>
                <w:szCs w:val="22"/>
                <w:color w:val="auto"/>
              </w:rPr>
              <w:t>Title:</w:t>
            </w:r>
          </w:p>
        </w:tc>
      </w:tr>
      <w:tr>
        <w:trPr>
          <w:trHeight w:val="486"/>
        </w:trPr>
        <w:tc>
          <w:tcPr>
            <w:tcW w:w="5400" w:type="dxa"/>
            <w:vAlign w:val="bottom"/>
            <w:gridSpan w:val="2"/>
          </w:tcPr>
          <w:p>
            <w:pPr>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420"/>
              <w:spacing w:after="0"/>
              <w:rPr>
                <w:sz w:val="20"/>
                <w:szCs w:val="20"/>
                <w:color w:val="auto"/>
              </w:rPr>
            </w:pPr>
            <w:r>
              <w:rPr>
                <w:rFonts w:ascii="Arial" w:cs="Arial" w:eastAsia="Arial" w:hAnsi="Arial"/>
                <w:sz w:val="22"/>
                <w:szCs w:val="22"/>
                <w:color w:val="auto"/>
              </w:rPr>
              <w:t>By:</w:t>
            </w:r>
          </w:p>
        </w:tc>
      </w:tr>
      <w:tr>
        <w:trPr>
          <w:trHeight w:val="219"/>
        </w:trPr>
        <w:tc>
          <w:tcPr>
            <w:tcW w:w="380" w:type="dxa"/>
            <w:vAlign w:val="bottom"/>
          </w:tcPr>
          <w:p>
            <w:pPr>
              <w:spacing w:after="0"/>
              <w:rPr>
                <w:sz w:val="19"/>
                <w:szCs w:val="19"/>
                <w:color w:val="auto"/>
              </w:rPr>
            </w:pPr>
          </w:p>
        </w:tc>
        <w:tc>
          <w:tcPr>
            <w:tcW w:w="5020" w:type="dxa"/>
            <w:vAlign w:val="bottom"/>
            <w:tcBorders>
              <w:top w:val="single" w:sz="8" w:color="auto"/>
            </w:tcBorders>
          </w:tcPr>
          <w:p>
            <w:pPr>
              <w:spacing w:after="0" w:line="219" w:lineRule="exact"/>
              <w:rPr>
                <w:sz w:val="20"/>
                <w:szCs w:val="20"/>
                <w:color w:val="auto"/>
              </w:rPr>
            </w:pPr>
            <w:r>
              <w:rPr>
                <w:rFonts w:ascii="Arial" w:cs="Arial" w:eastAsia="Arial" w:hAnsi="Arial"/>
                <w:sz w:val="22"/>
                <w:szCs w:val="22"/>
                <w:color w:val="auto"/>
              </w:rPr>
              <w:t>Name:</w:t>
            </w:r>
          </w:p>
        </w:tc>
        <w:tc>
          <w:tcPr>
            <w:tcW w:w="800" w:type="dxa"/>
            <w:vAlign w:val="bottom"/>
          </w:tcPr>
          <w:p>
            <w:pPr>
              <w:spacing w:after="0"/>
              <w:rPr>
                <w:sz w:val="19"/>
                <w:szCs w:val="19"/>
                <w:color w:val="auto"/>
              </w:rPr>
            </w:pPr>
          </w:p>
        </w:tc>
        <w:tc>
          <w:tcPr>
            <w:tcW w:w="5040" w:type="dxa"/>
            <w:vAlign w:val="bottom"/>
            <w:tcBorders>
              <w:top w:val="single" w:sz="8" w:color="auto"/>
            </w:tcBorders>
          </w:tcPr>
          <w:p>
            <w:pPr>
              <w:spacing w:after="0" w:line="219" w:lineRule="exact"/>
              <w:rPr>
                <w:sz w:val="20"/>
                <w:szCs w:val="20"/>
                <w:color w:val="auto"/>
              </w:rPr>
            </w:pPr>
            <w:r>
              <w:rPr>
                <w:rFonts w:ascii="Arial" w:cs="Arial" w:eastAsia="Arial" w:hAnsi="Arial"/>
                <w:sz w:val="22"/>
                <w:szCs w:val="22"/>
                <w:color w:val="auto"/>
              </w:rPr>
              <w:t>Name:</w:t>
            </w:r>
          </w:p>
        </w:tc>
      </w:tr>
      <w:tr>
        <w:trPr>
          <w:trHeight w:val="274"/>
        </w:trPr>
        <w:tc>
          <w:tcPr>
            <w:tcW w:w="5400" w:type="dxa"/>
            <w:vAlign w:val="bottom"/>
            <w:gridSpan w:val="2"/>
          </w:tcPr>
          <w:p>
            <w:pPr>
              <w:ind w:left="380"/>
              <w:spacing w:after="0"/>
              <w:rPr>
                <w:sz w:val="20"/>
                <w:szCs w:val="20"/>
                <w:color w:val="auto"/>
              </w:rPr>
            </w:pPr>
            <w:r>
              <w:rPr>
                <w:rFonts w:ascii="Arial" w:cs="Arial" w:eastAsia="Arial" w:hAnsi="Arial"/>
                <w:sz w:val="22"/>
                <w:szCs w:val="22"/>
                <w:color w:val="auto"/>
              </w:rPr>
              <w:t>Title:</w:t>
            </w:r>
          </w:p>
        </w:tc>
        <w:tc>
          <w:tcPr>
            <w:tcW w:w="800" w:type="dxa"/>
            <w:vAlign w:val="bottom"/>
          </w:tcPr>
          <w:p>
            <w:pPr>
              <w:spacing w:after="0"/>
              <w:rPr>
                <w:sz w:val="23"/>
                <w:szCs w:val="23"/>
                <w:color w:val="auto"/>
              </w:rPr>
            </w:pPr>
          </w:p>
        </w:tc>
        <w:tc>
          <w:tcPr>
            <w:tcW w:w="5040" w:type="dxa"/>
            <w:vAlign w:val="bottom"/>
          </w:tcPr>
          <w:p>
            <w:pPr>
              <w:spacing w:after="0"/>
              <w:rPr>
                <w:sz w:val="20"/>
                <w:szCs w:val="20"/>
                <w:color w:val="auto"/>
              </w:rPr>
            </w:pPr>
            <w:r>
              <w:rPr>
                <w:rFonts w:ascii="Arial" w:cs="Arial" w:eastAsia="Arial" w:hAnsi="Arial"/>
                <w:sz w:val="22"/>
                <w:szCs w:val="22"/>
                <w:color w:val="auto"/>
              </w:rPr>
              <w:t>Title:</w:t>
            </w:r>
          </w:p>
        </w:tc>
      </w:tr>
      <w:tr>
        <w:trPr>
          <w:trHeight w:val="486"/>
        </w:trPr>
        <w:tc>
          <w:tcPr>
            <w:tcW w:w="5400" w:type="dxa"/>
            <w:vAlign w:val="bottom"/>
            <w:gridSpan w:val="2"/>
          </w:tcPr>
          <w:p>
            <w:pPr>
              <w:spacing w:after="0"/>
              <w:rPr>
                <w:sz w:val="20"/>
                <w:szCs w:val="20"/>
                <w:color w:val="auto"/>
              </w:rPr>
            </w:pPr>
            <w:r>
              <w:rPr>
                <w:rFonts w:ascii="Arial" w:cs="Arial" w:eastAsia="Arial" w:hAnsi="Arial"/>
                <w:sz w:val="22"/>
                <w:szCs w:val="22"/>
                <w:color w:val="auto"/>
              </w:rPr>
              <w:t>DNB CAPITAL LLC,</w:t>
            </w:r>
          </w:p>
        </w:tc>
        <w:tc>
          <w:tcPr>
            <w:tcW w:w="5840" w:type="dxa"/>
            <w:vAlign w:val="bottom"/>
            <w:gridSpan w:val="2"/>
          </w:tcPr>
          <w:p>
            <w:pPr>
              <w:ind w:left="420"/>
              <w:spacing w:after="0"/>
              <w:rPr>
                <w:sz w:val="20"/>
                <w:szCs w:val="20"/>
                <w:color w:val="auto"/>
              </w:rPr>
            </w:pPr>
            <w:r>
              <w:rPr>
                <w:rFonts w:ascii="Arial" w:cs="Arial" w:eastAsia="Arial" w:hAnsi="Arial"/>
                <w:sz w:val="22"/>
                <w:szCs w:val="22"/>
                <w:color w:val="auto"/>
              </w:rPr>
              <w:t>COMERICA BANK,</w:t>
            </w:r>
          </w:p>
        </w:tc>
      </w:tr>
      <w:tr>
        <w:trPr>
          <w:trHeight w:val="365"/>
        </w:trPr>
        <w:tc>
          <w:tcPr>
            <w:tcW w:w="5400" w:type="dxa"/>
            <w:vAlign w:val="bottom"/>
            <w:gridSpan w:val="2"/>
          </w:tcPr>
          <w:p>
            <w:pPr>
              <w:spacing w:after="0"/>
              <w:rPr>
                <w:sz w:val="20"/>
                <w:szCs w:val="20"/>
                <w:color w:val="auto"/>
              </w:rPr>
            </w:pPr>
            <w:r>
              <w:rPr>
                <w:rFonts w:ascii="Arial" w:cs="Arial" w:eastAsia="Arial" w:hAnsi="Arial"/>
                <w:sz w:val="22"/>
                <w:szCs w:val="22"/>
                <w:color w:val="auto"/>
              </w:rPr>
              <w:t>as Lender</w:t>
            </w:r>
          </w:p>
        </w:tc>
        <w:tc>
          <w:tcPr>
            <w:tcW w:w="5840" w:type="dxa"/>
            <w:vAlign w:val="bottom"/>
            <w:gridSpan w:val="2"/>
          </w:tcPr>
          <w:p>
            <w:pPr>
              <w:ind w:left="420"/>
              <w:spacing w:after="0"/>
              <w:rPr>
                <w:sz w:val="20"/>
                <w:szCs w:val="20"/>
                <w:color w:val="auto"/>
              </w:rPr>
            </w:pPr>
            <w:r>
              <w:rPr>
                <w:rFonts w:ascii="Arial" w:cs="Arial" w:eastAsia="Arial" w:hAnsi="Arial"/>
                <w:sz w:val="22"/>
                <w:szCs w:val="22"/>
                <w:color w:val="auto"/>
              </w:rPr>
              <w:t>as Facility Agent and Lender</w:t>
            </w:r>
          </w:p>
        </w:tc>
      </w:tr>
      <w:tr>
        <w:trPr>
          <w:trHeight w:val="486"/>
        </w:trPr>
        <w:tc>
          <w:tcPr>
            <w:tcW w:w="5400" w:type="dxa"/>
            <w:vAlign w:val="bottom"/>
            <w:gridSpan w:val="2"/>
          </w:tcPr>
          <w:p>
            <w:pPr>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420"/>
              <w:spacing w:after="0"/>
              <w:rPr>
                <w:sz w:val="20"/>
                <w:szCs w:val="20"/>
                <w:color w:val="auto"/>
              </w:rPr>
            </w:pPr>
            <w:r>
              <w:rPr>
                <w:rFonts w:ascii="Arial" w:cs="Arial" w:eastAsia="Arial" w:hAnsi="Arial"/>
                <w:sz w:val="22"/>
                <w:szCs w:val="22"/>
                <w:color w:val="auto"/>
              </w:rPr>
              <w:t>By:</w:t>
            </w:r>
          </w:p>
        </w:tc>
      </w:tr>
      <w:tr>
        <w:trPr>
          <w:trHeight w:val="219"/>
        </w:trPr>
        <w:tc>
          <w:tcPr>
            <w:tcW w:w="380" w:type="dxa"/>
            <w:vAlign w:val="bottom"/>
          </w:tcPr>
          <w:p>
            <w:pPr>
              <w:spacing w:after="0"/>
              <w:rPr>
                <w:sz w:val="19"/>
                <w:szCs w:val="19"/>
                <w:color w:val="auto"/>
              </w:rPr>
            </w:pPr>
          </w:p>
        </w:tc>
        <w:tc>
          <w:tcPr>
            <w:tcW w:w="5020" w:type="dxa"/>
            <w:vAlign w:val="bottom"/>
            <w:tcBorders>
              <w:top w:val="single" w:sz="8" w:color="auto"/>
            </w:tcBorders>
          </w:tcPr>
          <w:p>
            <w:pPr>
              <w:spacing w:after="0" w:line="219" w:lineRule="exact"/>
              <w:rPr>
                <w:sz w:val="20"/>
                <w:szCs w:val="20"/>
                <w:color w:val="auto"/>
              </w:rPr>
            </w:pPr>
            <w:r>
              <w:rPr>
                <w:rFonts w:ascii="Arial" w:cs="Arial" w:eastAsia="Arial" w:hAnsi="Arial"/>
                <w:sz w:val="22"/>
                <w:szCs w:val="22"/>
                <w:color w:val="auto"/>
              </w:rPr>
              <w:t>Name:</w:t>
            </w:r>
          </w:p>
        </w:tc>
        <w:tc>
          <w:tcPr>
            <w:tcW w:w="800" w:type="dxa"/>
            <w:vAlign w:val="bottom"/>
          </w:tcPr>
          <w:p>
            <w:pPr>
              <w:spacing w:after="0"/>
              <w:rPr>
                <w:sz w:val="19"/>
                <w:szCs w:val="19"/>
                <w:color w:val="auto"/>
              </w:rPr>
            </w:pPr>
          </w:p>
        </w:tc>
        <w:tc>
          <w:tcPr>
            <w:tcW w:w="5040" w:type="dxa"/>
            <w:vAlign w:val="bottom"/>
            <w:tcBorders>
              <w:top w:val="single" w:sz="8" w:color="auto"/>
            </w:tcBorders>
          </w:tcPr>
          <w:p>
            <w:pPr>
              <w:spacing w:after="0" w:line="219" w:lineRule="exact"/>
              <w:rPr>
                <w:sz w:val="20"/>
                <w:szCs w:val="20"/>
                <w:color w:val="auto"/>
              </w:rPr>
            </w:pPr>
            <w:r>
              <w:rPr>
                <w:rFonts w:ascii="Arial" w:cs="Arial" w:eastAsia="Arial" w:hAnsi="Arial"/>
                <w:sz w:val="22"/>
                <w:szCs w:val="22"/>
                <w:color w:val="auto"/>
              </w:rPr>
              <w:t>Name:</w:t>
            </w:r>
          </w:p>
        </w:tc>
      </w:tr>
      <w:tr>
        <w:trPr>
          <w:trHeight w:val="274"/>
        </w:trPr>
        <w:tc>
          <w:tcPr>
            <w:tcW w:w="5400" w:type="dxa"/>
            <w:vAlign w:val="bottom"/>
            <w:gridSpan w:val="2"/>
          </w:tcPr>
          <w:p>
            <w:pPr>
              <w:ind w:left="380"/>
              <w:spacing w:after="0"/>
              <w:rPr>
                <w:sz w:val="20"/>
                <w:szCs w:val="20"/>
                <w:color w:val="auto"/>
              </w:rPr>
            </w:pPr>
            <w:r>
              <w:rPr>
                <w:rFonts w:ascii="Arial" w:cs="Arial" w:eastAsia="Arial" w:hAnsi="Arial"/>
                <w:sz w:val="22"/>
                <w:szCs w:val="22"/>
                <w:color w:val="auto"/>
              </w:rPr>
              <w:t>Title:</w:t>
            </w:r>
          </w:p>
        </w:tc>
        <w:tc>
          <w:tcPr>
            <w:tcW w:w="800" w:type="dxa"/>
            <w:vAlign w:val="bottom"/>
          </w:tcPr>
          <w:p>
            <w:pPr>
              <w:spacing w:after="0"/>
              <w:rPr>
                <w:sz w:val="23"/>
                <w:szCs w:val="23"/>
                <w:color w:val="auto"/>
              </w:rPr>
            </w:pPr>
          </w:p>
        </w:tc>
        <w:tc>
          <w:tcPr>
            <w:tcW w:w="5040" w:type="dxa"/>
            <w:vAlign w:val="bottom"/>
          </w:tcPr>
          <w:p>
            <w:pPr>
              <w:spacing w:after="0"/>
              <w:rPr>
                <w:sz w:val="20"/>
                <w:szCs w:val="20"/>
                <w:color w:val="auto"/>
              </w:rPr>
            </w:pPr>
            <w:r>
              <w:rPr>
                <w:rFonts w:ascii="Arial" w:cs="Arial" w:eastAsia="Arial" w:hAnsi="Arial"/>
                <w:sz w:val="22"/>
                <w:szCs w:val="22"/>
                <w:color w:val="auto"/>
              </w:rPr>
              <w:t>Title:</w:t>
            </w:r>
          </w:p>
        </w:tc>
      </w:tr>
      <w:tr>
        <w:trPr>
          <w:trHeight w:val="486"/>
        </w:trPr>
        <w:tc>
          <w:tcPr>
            <w:tcW w:w="5400" w:type="dxa"/>
            <w:vAlign w:val="bottom"/>
            <w:gridSpan w:val="2"/>
          </w:tcPr>
          <w:p>
            <w:pPr>
              <w:spacing w:after="0"/>
              <w:rPr>
                <w:sz w:val="20"/>
                <w:szCs w:val="20"/>
                <w:color w:val="auto"/>
              </w:rPr>
            </w:pPr>
            <w:r>
              <w:rPr>
                <w:rFonts w:ascii="Arial" w:cs="Arial" w:eastAsia="Arial" w:hAnsi="Arial"/>
                <w:sz w:val="22"/>
                <w:szCs w:val="22"/>
                <w:color w:val="auto"/>
              </w:rPr>
              <w:t>By:</w:t>
            </w:r>
          </w:p>
        </w:tc>
        <w:tc>
          <w:tcPr>
            <w:tcW w:w="8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19"/>
        </w:trPr>
        <w:tc>
          <w:tcPr>
            <w:tcW w:w="380" w:type="dxa"/>
            <w:vAlign w:val="bottom"/>
          </w:tcPr>
          <w:p>
            <w:pPr>
              <w:spacing w:after="0"/>
              <w:rPr>
                <w:sz w:val="19"/>
                <w:szCs w:val="19"/>
                <w:color w:val="auto"/>
              </w:rPr>
            </w:pPr>
          </w:p>
        </w:tc>
        <w:tc>
          <w:tcPr>
            <w:tcW w:w="5020" w:type="dxa"/>
            <w:vAlign w:val="bottom"/>
            <w:tcBorders>
              <w:top w:val="single" w:sz="8" w:color="auto"/>
            </w:tcBorders>
          </w:tcPr>
          <w:p>
            <w:pPr>
              <w:spacing w:after="0" w:line="219" w:lineRule="exact"/>
              <w:rPr>
                <w:sz w:val="20"/>
                <w:szCs w:val="20"/>
                <w:color w:val="auto"/>
              </w:rPr>
            </w:pPr>
            <w:r>
              <w:rPr>
                <w:rFonts w:ascii="Arial" w:cs="Arial" w:eastAsia="Arial" w:hAnsi="Arial"/>
                <w:sz w:val="22"/>
                <w:szCs w:val="22"/>
                <w:color w:val="auto"/>
              </w:rPr>
              <w:t>Name:</w:t>
            </w:r>
          </w:p>
        </w:tc>
        <w:tc>
          <w:tcPr>
            <w:tcW w:w="800" w:type="dxa"/>
            <w:vAlign w:val="bottom"/>
          </w:tcPr>
          <w:p>
            <w:pPr>
              <w:spacing w:after="0"/>
              <w:rPr>
                <w:sz w:val="19"/>
                <w:szCs w:val="19"/>
                <w:color w:val="auto"/>
              </w:rPr>
            </w:pPr>
          </w:p>
        </w:tc>
        <w:tc>
          <w:tcPr>
            <w:tcW w:w="5040" w:type="dxa"/>
            <w:vAlign w:val="bottom"/>
          </w:tcPr>
          <w:p>
            <w:pPr>
              <w:spacing w:after="0"/>
              <w:rPr>
                <w:sz w:val="19"/>
                <w:szCs w:val="19"/>
                <w:color w:val="auto"/>
              </w:rPr>
            </w:pPr>
          </w:p>
        </w:tc>
      </w:tr>
      <w:tr>
        <w:trPr>
          <w:trHeight w:val="274"/>
        </w:trPr>
        <w:tc>
          <w:tcPr>
            <w:tcW w:w="5400" w:type="dxa"/>
            <w:vAlign w:val="bottom"/>
            <w:gridSpan w:val="2"/>
          </w:tcPr>
          <w:p>
            <w:pPr>
              <w:ind w:left="380"/>
              <w:spacing w:after="0"/>
              <w:rPr>
                <w:sz w:val="20"/>
                <w:szCs w:val="20"/>
                <w:color w:val="auto"/>
              </w:rPr>
            </w:pPr>
            <w:r>
              <w:rPr>
                <w:rFonts w:ascii="Arial" w:cs="Arial" w:eastAsia="Arial" w:hAnsi="Arial"/>
                <w:sz w:val="22"/>
                <w:szCs w:val="22"/>
                <w:color w:val="auto"/>
              </w:rPr>
              <w:t>Title:</w:t>
            </w:r>
          </w:p>
        </w:tc>
        <w:tc>
          <w:tcPr>
            <w:tcW w:w="800" w:type="dxa"/>
            <w:vAlign w:val="bottom"/>
          </w:tcPr>
          <w:p>
            <w:pPr>
              <w:spacing w:after="0"/>
              <w:rPr>
                <w:sz w:val="23"/>
                <w:szCs w:val="23"/>
                <w:color w:val="auto"/>
              </w:rPr>
            </w:pPr>
          </w:p>
        </w:tc>
        <w:tc>
          <w:tcPr>
            <w:tcW w:w="5040" w:type="dxa"/>
            <w:vAlign w:val="bottom"/>
          </w:tcPr>
          <w:p>
            <w:pPr>
              <w:spacing w:after="0"/>
              <w:rPr>
                <w:sz w:val="23"/>
                <w:szCs w:val="23"/>
                <w:color w:val="auto"/>
              </w:rPr>
            </w:pPr>
          </w:p>
        </w:tc>
      </w:tr>
    </w:tbl>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 Page: Credit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748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20"/>
          <w:szCs w:val="20"/>
          <w:b w:val="1"/>
          <w:bCs w:val="1"/>
          <w:color w:val="auto"/>
        </w:rPr>
        <w:t>Annex B</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Schedule I</w:t>
      </w:r>
    </w:p>
    <w:p>
      <w:pPr>
        <w:spacing w:after="0" w:line="229" w:lineRule="exact"/>
        <w:rPr>
          <w:sz w:val="20"/>
          <w:szCs w:val="20"/>
          <w:color w:val="auto"/>
        </w:rPr>
      </w:pPr>
    </w:p>
    <w:p>
      <w:pPr>
        <w:ind w:left="3360"/>
        <w:spacing w:after="0"/>
        <w:rPr>
          <w:sz w:val="20"/>
          <w:szCs w:val="20"/>
          <w:color w:val="auto"/>
        </w:rPr>
      </w:pPr>
      <w:r>
        <w:rPr>
          <w:rFonts w:ascii="Arial" w:cs="Arial" w:eastAsia="Arial" w:hAnsi="Arial"/>
          <w:sz w:val="20"/>
          <w:szCs w:val="20"/>
          <w:b w:val="1"/>
          <w:bCs w:val="1"/>
          <w:color w:val="auto"/>
        </w:rPr>
        <w:t>Lenders and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490220</wp:posOffset>
            </wp:positionV>
            <wp:extent cx="71748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76" w:right="33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74"/>
        </w:trPr>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3160" w:type="dxa"/>
            <w:vAlign w:val="bottom"/>
          </w:tcPr>
          <w:p>
            <w:pPr>
              <w:jc w:val="right"/>
              <w:spacing w:after="0"/>
              <w:rPr>
                <w:sz w:val="20"/>
                <w:szCs w:val="20"/>
                <w:color w:val="auto"/>
              </w:rPr>
            </w:pPr>
            <w:r>
              <w:rPr>
                <w:rFonts w:ascii="Arial" w:cs="Arial" w:eastAsia="Arial" w:hAnsi="Arial"/>
                <w:sz w:val="22"/>
                <w:szCs w:val="22"/>
                <w:color w:val="auto"/>
              </w:rPr>
              <w:t>Annex B</w:t>
            </w:r>
          </w:p>
        </w:tc>
        <w:tc>
          <w:tcPr>
            <w:tcW w:w="0" w:type="dxa"/>
            <w:vAlign w:val="bottom"/>
          </w:tcPr>
          <w:p>
            <w:pPr>
              <w:spacing w:after="0"/>
              <w:rPr>
                <w:sz w:val="1"/>
                <w:szCs w:val="1"/>
                <w:color w:val="auto"/>
              </w:rPr>
            </w:pPr>
          </w:p>
        </w:tc>
      </w:tr>
      <w:tr>
        <w:trPr>
          <w:trHeight w:val="689"/>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60" w:type="dxa"/>
            <w:vAlign w:val="bottom"/>
          </w:tcPr>
          <w:p>
            <w:pPr>
              <w:ind w:left="1260"/>
              <w:spacing w:after="0"/>
              <w:rPr>
                <w:sz w:val="20"/>
                <w:szCs w:val="20"/>
                <w:color w:val="auto"/>
              </w:rPr>
            </w:pPr>
            <w:r>
              <w:rPr>
                <w:rFonts w:ascii="Arial" w:cs="Arial" w:eastAsia="Arial" w:hAnsi="Arial"/>
                <w:sz w:val="22"/>
                <w:szCs w:val="22"/>
                <w:color w:val="auto"/>
              </w:rPr>
              <w:t>SCHEDULE I</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8100" w:type="dxa"/>
            <w:vAlign w:val="bottom"/>
            <w:gridSpan w:val="5"/>
          </w:tcPr>
          <w:p>
            <w:pPr>
              <w:ind w:left="100"/>
              <w:spacing w:after="0"/>
              <w:rPr>
                <w:sz w:val="20"/>
                <w:szCs w:val="20"/>
                <w:color w:val="auto"/>
              </w:rPr>
            </w:pPr>
            <w:r>
              <w:rPr>
                <w:rFonts w:ascii="Arial" w:cs="Arial" w:eastAsia="Arial" w:hAnsi="Arial"/>
                <w:sz w:val="22"/>
                <w:szCs w:val="22"/>
                <w:color w:val="auto"/>
              </w:rPr>
              <w:t>LENDERSCOMMITMENT</w:t>
            </w:r>
          </w:p>
        </w:tc>
        <w:tc>
          <w:tcPr>
            <w:tcW w:w="3160" w:type="dxa"/>
            <w:vAlign w:val="bottom"/>
          </w:tcPr>
          <w:p>
            <w:pPr>
              <w:jc w:val="right"/>
              <w:spacing w:after="0"/>
              <w:rPr>
                <w:sz w:val="20"/>
                <w:szCs w:val="20"/>
                <w:color w:val="auto"/>
              </w:rPr>
            </w:pPr>
            <w:r>
              <w:rPr>
                <w:rFonts w:ascii="Arial" w:cs="Arial" w:eastAsia="Arial" w:hAnsi="Arial"/>
                <w:sz w:val="22"/>
                <w:szCs w:val="22"/>
                <w:color w:val="auto"/>
              </w:rPr>
              <w:t>(Amount and Percentage)</w:t>
            </w:r>
          </w:p>
        </w:tc>
        <w:tc>
          <w:tcPr>
            <w:tcW w:w="0" w:type="dxa"/>
            <w:vAlign w:val="bottom"/>
          </w:tcPr>
          <w:p>
            <w:pPr>
              <w:spacing w:after="0"/>
              <w:rPr>
                <w:sz w:val="1"/>
                <w:szCs w:val="1"/>
                <w:color w:val="auto"/>
              </w:rPr>
            </w:pPr>
          </w:p>
        </w:tc>
      </w:tr>
      <w:tr>
        <w:trPr>
          <w:trHeight w:val="320"/>
        </w:trPr>
        <w:tc>
          <w:tcPr>
            <w:tcW w:w="8100" w:type="dxa"/>
            <w:vAlign w:val="bottom"/>
            <w:gridSpan w:val="5"/>
          </w:tcPr>
          <w:p>
            <w:pPr>
              <w:ind w:left="100"/>
              <w:spacing w:after="0"/>
              <w:rPr>
                <w:sz w:val="20"/>
                <w:szCs w:val="20"/>
                <w:color w:val="auto"/>
              </w:rPr>
            </w:pPr>
            <w:r>
              <w:rPr>
                <w:rFonts w:ascii="Arial" w:cs="Arial" w:eastAsia="Arial" w:hAnsi="Arial"/>
                <w:sz w:val="22"/>
                <w:szCs w:val="22"/>
                <w:color w:val="auto"/>
              </w:rPr>
              <w:t>DNB CAPITAL LLC</w:t>
            </w:r>
          </w:p>
        </w:tc>
        <w:tc>
          <w:tcPr>
            <w:tcW w:w="3160" w:type="dxa"/>
            <w:vAlign w:val="bottom"/>
          </w:tcPr>
          <w:p>
            <w:pPr>
              <w:jc w:val="right"/>
              <w:spacing w:after="0"/>
              <w:rPr>
                <w:sz w:val="20"/>
                <w:szCs w:val="20"/>
                <w:color w:val="auto"/>
              </w:rPr>
            </w:pPr>
            <w:r>
              <w:rPr>
                <w:rFonts w:ascii="Arial" w:cs="Arial" w:eastAsia="Arial" w:hAnsi="Arial"/>
                <w:sz w:val="22"/>
                <w:szCs w:val="22"/>
                <w:color w:val="auto"/>
              </w:rPr>
              <w:t>$11,931,071.77 (66.09%)</w:t>
            </w:r>
          </w:p>
        </w:tc>
        <w:tc>
          <w:tcPr>
            <w:tcW w:w="0" w:type="dxa"/>
            <w:vAlign w:val="bottom"/>
          </w:tcPr>
          <w:p>
            <w:pPr>
              <w:spacing w:after="0"/>
              <w:rPr>
                <w:sz w:val="1"/>
                <w:szCs w:val="1"/>
                <w:color w:val="auto"/>
              </w:rPr>
            </w:pPr>
          </w:p>
        </w:tc>
      </w:tr>
      <w:tr>
        <w:trPr>
          <w:trHeight w:val="243"/>
        </w:trPr>
        <w:tc>
          <w:tcPr>
            <w:tcW w:w="8100" w:type="dxa"/>
            <w:vAlign w:val="bottom"/>
            <w:gridSpan w:val="5"/>
          </w:tcPr>
          <w:p>
            <w:pPr>
              <w:ind w:left="100"/>
              <w:spacing w:after="0" w:line="243" w:lineRule="exact"/>
              <w:rPr>
                <w:sz w:val="20"/>
                <w:szCs w:val="20"/>
                <w:color w:val="auto"/>
              </w:rPr>
            </w:pPr>
            <w:r>
              <w:rPr>
                <w:rFonts w:ascii="Arial" w:cs="Arial" w:eastAsia="Arial" w:hAnsi="Arial"/>
                <w:sz w:val="22"/>
                <w:szCs w:val="22"/>
                <w:color w:val="auto"/>
              </w:rPr>
              <w:t>30 Hudson Yards, 81</w:t>
            </w:r>
            <w:r>
              <w:rPr>
                <w:rFonts w:ascii="Arial" w:cs="Arial" w:eastAsia="Arial" w:hAnsi="Arial"/>
                <w:sz w:val="18"/>
                <w:szCs w:val="18"/>
                <w:color w:val="auto"/>
              </w:rPr>
              <w:t>st</w:t>
            </w:r>
            <w:r>
              <w:rPr>
                <w:rFonts w:ascii="Arial" w:cs="Arial" w:eastAsia="Arial" w:hAnsi="Arial"/>
                <w:sz w:val="22"/>
                <w:szCs w:val="22"/>
                <w:color w:val="auto"/>
              </w:rPr>
              <w:t xml:space="preserve"> Floor New York, New York 10001 Facsimile No.:212-681-</w:t>
            </w:r>
          </w:p>
        </w:tc>
        <w:tc>
          <w:tcPr>
            <w:tcW w:w="3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 w:type="dxa"/>
            <w:vAlign w:val="bottom"/>
          </w:tcPr>
          <w:p>
            <w:pPr>
              <w:ind w:left="100"/>
              <w:spacing w:after="0" w:line="243" w:lineRule="exact"/>
              <w:rPr>
                <w:sz w:val="20"/>
                <w:szCs w:val="20"/>
                <w:color w:val="auto"/>
              </w:rPr>
            </w:pPr>
            <w:r>
              <w:rPr>
                <w:rFonts w:ascii="Arial" w:cs="Arial" w:eastAsia="Arial" w:hAnsi="Arial"/>
                <w:sz w:val="22"/>
                <w:szCs w:val="22"/>
                <w:color w:val="auto"/>
              </w:rPr>
              <w:t>3900</w:t>
            </w:r>
          </w:p>
        </w:tc>
        <w:tc>
          <w:tcPr>
            <w:tcW w:w="4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gridSpan w:val="5"/>
          </w:tcPr>
          <w:p>
            <w:pPr>
              <w:ind w:left="100"/>
              <w:spacing w:after="0" w:line="243" w:lineRule="exact"/>
              <w:rPr>
                <w:sz w:val="20"/>
                <w:szCs w:val="20"/>
                <w:color w:val="auto"/>
              </w:rPr>
            </w:pPr>
            <w:r>
              <w:rPr>
                <w:rFonts w:ascii="Arial" w:cs="Arial" w:eastAsia="Arial" w:hAnsi="Arial"/>
                <w:sz w:val="22"/>
                <w:szCs w:val="22"/>
                <w:color w:val="auto"/>
              </w:rPr>
              <w:t>Telephone No.:212-681-3821</w:t>
            </w:r>
          </w:p>
        </w:tc>
        <w:tc>
          <w:tcPr>
            <w:tcW w:w="3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00" w:type="dxa"/>
            <w:vAlign w:val="bottom"/>
            <w:gridSpan w:val="5"/>
          </w:tcPr>
          <w:p>
            <w:pPr>
              <w:ind w:left="100"/>
              <w:spacing w:after="0" w:line="224" w:lineRule="exact"/>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color w:val="0000FF"/>
              </w:rPr>
              <w:t>Andreas.Kastad.Hundven@dnb.no</w:t>
            </w:r>
            <w:r>
              <w:rPr>
                <w:rFonts w:ascii="Arial" w:cs="Arial" w:eastAsia="Arial" w:hAnsi="Arial"/>
                <w:sz w:val="22"/>
                <w:szCs w:val="22"/>
                <w:color w:val="auto"/>
              </w:rPr>
              <w:t xml:space="preserve"> Attention: Mr. Andreas Hundven</w:t>
            </w:r>
          </w:p>
        </w:tc>
        <w:tc>
          <w:tcPr>
            <w:tcW w:w="3160" w:type="dxa"/>
            <w:vAlign w:val="bottom"/>
            <w:vMerge w:val="restart"/>
          </w:tcPr>
          <w:p>
            <w:pPr>
              <w:jc w:val="right"/>
              <w:spacing w:after="0"/>
              <w:rPr>
                <w:sz w:val="20"/>
                <w:szCs w:val="20"/>
                <w:color w:val="auto"/>
              </w:rPr>
            </w:pPr>
            <w:r>
              <w:rPr>
                <w:rFonts w:ascii="Arial" w:cs="Arial" w:eastAsia="Arial" w:hAnsi="Arial"/>
                <w:sz w:val="22"/>
                <w:szCs w:val="22"/>
                <w:color w:val="auto"/>
              </w:rPr>
              <w:t>$6,121,240.03</w:t>
            </w:r>
          </w:p>
        </w:tc>
        <w:tc>
          <w:tcPr>
            <w:tcW w:w="0" w:type="dxa"/>
            <w:vAlign w:val="bottom"/>
          </w:tcPr>
          <w:p>
            <w:pPr>
              <w:spacing w:after="0"/>
              <w:rPr>
                <w:sz w:val="1"/>
                <w:szCs w:val="1"/>
                <w:color w:val="auto"/>
              </w:rPr>
            </w:pPr>
          </w:p>
        </w:tc>
      </w:tr>
      <w:tr>
        <w:trPr>
          <w:trHeight w:val="242"/>
        </w:trPr>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4360" w:type="dxa"/>
            <w:vAlign w:val="bottom"/>
          </w:tcPr>
          <w:p>
            <w:pPr>
              <w:spacing w:after="0"/>
              <w:rPr>
                <w:sz w:val="21"/>
                <w:szCs w:val="21"/>
                <w:color w:val="auto"/>
              </w:rPr>
            </w:pPr>
          </w:p>
        </w:tc>
        <w:tc>
          <w:tcPr>
            <w:tcW w:w="3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gridSpan w:val="5"/>
          </w:tcPr>
          <w:p>
            <w:pPr>
              <w:ind w:left="100"/>
              <w:spacing w:after="0" w:line="243" w:lineRule="exact"/>
              <w:rPr>
                <w:sz w:val="20"/>
                <w:szCs w:val="20"/>
                <w:color w:val="auto"/>
              </w:rPr>
            </w:pPr>
            <w:r>
              <w:rPr>
                <w:rFonts w:ascii="Arial" w:cs="Arial" w:eastAsia="Arial" w:hAnsi="Arial"/>
                <w:sz w:val="22"/>
                <w:szCs w:val="22"/>
                <w:color w:val="auto"/>
              </w:rPr>
              <w:t>COMERICA BANK</w:t>
            </w:r>
          </w:p>
        </w:tc>
        <w:tc>
          <w:tcPr>
            <w:tcW w:w="3160" w:type="dxa"/>
            <w:vAlign w:val="bottom"/>
          </w:tcPr>
          <w:p>
            <w:pPr>
              <w:jc w:val="right"/>
              <w:spacing w:after="0" w:line="243" w:lineRule="exact"/>
              <w:rPr>
                <w:sz w:val="20"/>
                <w:szCs w:val="20"/>
                <w:color w:val="auto"/>
              </w:rPr>
            </w:pPr>
            <w:r>
              <w:rPr>
                <w:rFonts w:ascii="Arial" w:cs="Arial" w:eastAsia="Arial" w:hAnsi="Arial"/>
                <w:sz w:val="22"/>
                <w:szCs w:val="22"/>
                <w:color w:val="auto"/>
              </w:rPr>
              <w:t>(33.91%)</w:t>
            </w:r>
          </w:p>
        </w:tc>
        <w:tc>
          <w:tcPr>
            <w:tcW w:w="0" w:type="dxa"/>
            <w:vAlign w:val="bottom"/>
          </w:tcPr>
          <w:p>
            <w:pPr>
              <w:spacing w:after="0"/>
              <w:rPr>
                <w:sz w:val="1"/>
                <w:szCs w:val="1"/>
                <w:color w:val="auto"/>
              </w:rPr>
            </w:pPr>
          </w:p>
        </w:tc>
      </w:tr>
      <w:tr>
        <w:trPr>
          <w:trHeight w:val="243"/>
        </w:trPr>
        <w:tc>
          <w:tcPr>
            <w:tcW w:w="8100" w:type="dxa"/>
            <w:vAlign w:val="bottom"/>
            <w:gridSpan w:val="5"/>
          </w:tcPr>
          <w:p>
            <w:pPr>
              <w:ind w:left="100"/>
              <w:spacing w:after="0" w:line="243" w:lineRule="exact"/>
              <w:rPr>
                <w:sz w:val="20"/>
                <w:szCs w:val="20"/>
                <w:color w:val="auto"/>
              </w:rPr>
            </w:pPr>
            <w:r>
              <w:rPr>
                <w:rFonts w:ascii="Arial" w:cs="Arial" w:eastAsia="Arial" w:hAnsi="Arial"/>
                <w:sz w:val="22"/>
                <w:szCs w:val="22"/>
                <w:color w:val="auto"/>
              </w:rPr>
              <w:t>2 Riverway, Suite 1300</w:t>
            </w:r>
          </w:p>
        </w:tc>
        <w:tc>
          <w:tcPr>
            <w:tcW w:w="3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gridSpan w:val="5"/>
          </w:tcPr>
          <w:p>
            <w:pPr>
              <w:ind w:left="100"/>
              <w:spacing w:after="0" w:line="243" w:lineRule="exact"/>
              <w:rPr>
                <w:sz w:val="20"/>
                <w:szCs w:val="20"/>
                <w:color w:val="auto"/>
              </w:rPr>
            </w:pPr>
            <w:r>
              <w:rPr>
                <w:rFonts w:ascii="Arial" w:cs="Arial" w:eastAsia="Arial" w:hAnsi="Arial"/>
                <w:sz w:val="22"/>
                <w:szCs w:val="22"/>
                <w:color w:val="auto"/>
              </w:rPr>
              <w:t>Houston, Texas 77056</w:t>
            </w:r>
          </w:p>
        </w:tc>
        <w:tc>
          <w:tcPr>
            <w:tcW w:w="3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gridSpan w:val="5"/>
          </w:tcPr>
          <w:p>
            <w:pPr>
              <w:ind w:left="100"/>
              <w:spacing w:after="0" w:line="243" w:lineRule="exact"/>
              <w:rPr>
                <w:sz w:val="20"/>
                <w:szCs w:val="20"/>
                <w:color w:val="auto"/>
              </w:rPr>
            </w:pPr>
            <w:r>
              <w:rPr>
                <w:rFonts w:ascii="Arial" w:cs="Arial" w:eastAsia="Arial" w:hAnsi="Arial"/>
                <w:sz w:val="22"/>
                <w:szCs w:val="22"/>
                <w:color w:val="auto"/>
              </w:rPr>
              <w:t>Facsimile No.:713-507-7986</w:t>
            </w:r>
          </w:p>
        </w:tc>
        <w:tc>
          <w:tcPr>
            <w:tcW w:w="3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gridSpan w:val="5"/>
          </w:tcPr>
          <w:p>
            <w:pPr>
              <w:ind w:left="100"/>
              <w:spacing w:after="0" w:line="243" w:lineRule="exact"/>
              <w:rPr>
                <w:sz w:val="20"/>
                <w:szCs w:val="20"/>
                <w:color w:val="auto"/>
              </w:rPr>
            </w:pPr>
            <w:r>
              <w:rPr>
                <w:rFonts w:ascii="Arial" w:cs="Arial" w:eastAsia="Arial" w:hAnsi="Arial"/>
                <w:sz w:val="22"/>
                <w:szCs w:val="22"/>
                <w:color w:val="auto"/>
              </w:rPr>
              <w:t>Telephone No.: 713-507-7995</w:t>
            </w:r>
          </w:p>
        </w:tc>
        <w:tc>
          <w:tcPr>
            <w:tcW w:w="3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00" w:type="dxa"/>
            <w:vAlign w:val="bottom"/>
            <w:gridSpan w:val="5"/>
          </w:tcPr>
          <w:p>
            <w:pPr>
              <w:ind w:left="100"/>
              <w:spacing w:after="0" w:line="224" w:lineRule="exact"/>
              <w:rPr>
                <w:sz w:val="20"/>
                <w:szCs w:val="20"/>
                <w:color w:val="auto"/>
              </w:rPr>
            </w:pPr>
            <w:r>
              <w:rPr>
                <w:rFonts w:ascii="Arial" w:cs="Arial" w:eastAsia="Arial" w:hAnsi="Arial"/>
                <w:sz w:val="22"/>
                <w:szCs w:val="22"/>
                <w:color w:val="auto"/>
              </w:rPr>
              <w:t>Email:</w:t>
            </w:r>
            <w:r>
              <w:rPr>
                <w:rFonts w:ascii="Arial" w:cs="Arial" w:eastAsia="Arial" w:hAnsi="Arial"/>
                <w:sz w:val="22"/>
                <w:szCs w:val="22"/>
                <w:color w:val="0000FF"/>
              </w:rPr>
              <w:t>LBHigginbotham@comerica.com</w:t>
            </w:r>
            <w:r>
              <w:rPr>
                <w:rFonts w:ascii="Arial" w:cs="Arial" w:eastAsia="Arial" w:hAnsi="Arial"/>
                <w:sz w:val="22"/>
                <w:szCs w:val="22"/>
                <w:color w:val="auto"/>
              </w:rPr>
              <w:t xml:space="preserve"> Attention: Ms. Lesley B. Higginbotha</w:t>
            </w: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7"/>
        </w:trPr>
        <w:tc>
          <w:tcPr>
            <w:tcW w:w="68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8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7" w:right="319" w:bottom="1440" w:gutter="0" w:footer="0" w:header="0"/>
        </w:sectPr>
      </w:pPr>
    </w:p>
    <w:bookmarkStart w:id="209" w:name="page210"/>
    <w:bookmarkEnd w:id="209"/>
    <w:p>
      <w:pPr>
        <w:jc w:val="right"/>
        <w:spacing w:after="0"/>
        <w:rPr>
          <w:sz w:val="20"/>
          <w:szCs w:val="20"/>
          <w:color w:val="auto"/>
        </w:rPr>
      </w:pPr>
      <w:r>
        <w:rPr>
          <w:rFonts w:ascii="Arial" w:cs="Arial" w:eastAsia="Arial" w:hAnsi="Arial"/>
          <w:sz w:val="20"/>
          <w:szCs w:val="20"/>
          <w:b w:val="1"/>
          <w:bCs w:val="1"/>
          <w:color w:val="auto"/>
        </w:rPr>
        <w:t>Annex C</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Exhibit A</w:t>
      </w:r>
    </w:p>
    <w:p>
      <w:pPr>
        <w:spacing w:after="0" w:line="229" w:lineRule="exact"/>
        <w:rPr>
          <w:sz w:val="20"/>
          <w:szCs w:val="20"/>
          <w:color w:val="auto"/>
        </w:rPr>
      </w:pPr>
    </w:p>
    <w:p>
      <w:pPr>
        <w:ind w:left="3940"/>
        <w:spacing w:after="0"/>
        <w:rPr>
          <w:sz w:val="20"/>
          <w:szCs w:val="20"/>
          <w:color w:val="auto"/>
        </w:rPr>
      </w:pPr>
      <w:r>
        <w:rPr>
          <w:rFonts w:ascii="Arial" w:cs="Arial" w:eastAsia="Arial" w:hAnsi="Arial"/>
          <w:sz w:val="20"/>
          <w:szCs w:val="20"/>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490220</wp:posOffset>
            </wp:positionV>
            <wp:extent cx="71748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76"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22"/>
          <w:szCs w:val="22"/>
          <w:color w:val="auto"/>
        </w:rPr>
        <w:t>Annex C</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1378585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360"/>
        <w:spacing w:after="0"/>
        <w:rPr>
          <w:sz w:val="20"/>
          <w:szCs w:val="20"/>
          <w:color w:val="auto"/>
        </w:rPr>
      </w:pPr>
      <w:r>
        <w:rPr>
          <w:rFonts w:ascii="Arial" w:cs="Arial" w:eastAsia="Arial" w:hAnsi="Arial"/>
          <w:sz w:val="19"/>
          <w:szCs w:val="19"/>
          <w:color w:val="auto"/>
        </w:rPr>
        <w:t>AMENDED &amp; RESTATED PROMISSORY</w:t>
      </w:r>
    </w:p>
    <w:p>
      <w:pPr>
        <w:spacing w:after="0" w:line="43" w:lineRule="exact"/>
        <w:rPr>
          <w:sz w:val="20"/>
          <w:szCs w:val="20"/>
          <w:color w:val="auto"/>
        </w:rPr>
      </w:pPr>
    </w:p>
    <w:p>
      <w:pPr>
        <w:jc w:val="center"/>
        <w:ind w:right="1360"/>
        <w:spacing w:after="0"/>
        <w:rPr>
          <w:sz w:val="20"/>
          <w:szCs w:val="20"/>
          <w:color w:val="auto"/>
        </w:rPr>
      </w:pPr>
      <w:r>
        <w:rPr>
          <w:rFonts w:ascii="Arial" w:cs="Arial" w:eastAsia="Arial" w:hAnsi="Arial"/>
          <w:sz w:val="22"/>
          <w:szCs w:val="22"/>
          <w:color w:val="auto"/>
        </w:rPr>
        <w:t>NOTE</w:t>
      </w:r>
    </w:p>
    <w:p>
      <w:pPr>
        <w:spacing w:after="0" w:line="80" w:lineRule="exact"/>
        <w:rPr>
          <w:sz w:val="20"/>
          <w:szCs w:val="20"/>
          <w:color w:val="auto"/>
        </w:rPr>
      </w:pPr>
    </w:p>
    <w:p>
      <w:pPr>
        <w:jc w:val="center"/>
        <w:ind w:right="1360"/>
        <w:spacing w:after="0"/>
        <w:rPr>
          <w:sz w:val="20"/>
          <w:szCs w:val="20"/>
          <w:color w:val="auto"/>
        </w:rPr>
      </w:pPr>
      <w:r>
        <w:rPr>
          <w:rFonts w:ascii="Arial" w:cs="Arial" w:eastAsia="Arial" w:hAnsi="Arial"/>
          <w:sz w:val="22"/>
          <w:szCs w:val="22"/>
          <w:color w:val="auto"/>
        </w:rPr>
        <w:t>given by</w:t>
      </w:r>
    </w:p>
    <w:p>
      <w:pPr>
        <w:spacing w:after="0" w:line="98" w:lineRule="exact"/>
        <w:rPr>
          <w:sz w:val="20"/>
          <w:szCs w:val="20"/>
          <w:color w:val="auto"/>
        </w:rPr>
      </w:pPr>
    </w:p>
    <w:p>
      <w:pPr>
        <w:jc w:val="center"/>
        <w:ind w:right="1380"/>
        <w:spacing w:after="0"/>
        <w:rPr>
          <w:sz w:val="20"/>
          <w:szCs w:val="20"/>
          <w:color w:val="auto"/>
        </w:rPr>
      </w:pPr>
      <w:r>
        <w:rPr>
          <w:rFonts w:ascii="Arial" w:cs="Arial" w:eastAsia="Arial" w:hAnsi="Arial"/>
          <w:sz w:val="22"/>
          <w:szCs w:val="22"/>
          <w:color w:val="auto"/>
        </w:rPr>
        <w:t>SEACOR OFFSHORE OSV LLC,</w:t>
      </w:r>
    </w:p>
    <w:p>
      <w:pPr>
        <w:jc w:val="center"/>
        <w:ind w:right="1380"/>
        <w:spacing w:after="0" w:line="238" w:lineRule="auto"/>
        <w:rPr>
          <w:sz w:val="20"/>
          <w:szCs w:val="20"/>
          <w:color w:val="auto"/>
        </w:rPr>
      </w:pPr>
      <w:r>
        <w:rPr>
          <w:rFonts w:ascii="Arial" w:cs="Arial" w:eastAsia="Arial" w:hAnsi="Arial"/>
          <w:sz w:val="22"/>
          <w:szCs w:val="22"/>
          <w:color w:val="auto"/>
        </w:rPr>
        <w:t>SEACOR BRAVE LLC, SEACOR</w:t>
      </w:r>
    </w:p>
    <w:p>
      <w:pPr>
        <w:jc w:val="center"/>
        <w:ind w:right="1380"/>
        <w:spacing w:after="0" w:line="230" w:lineRule="auto"/>
        <w:rPr>
          <w:sz w:val="20"/>
          <w:szCs w:val="20"/>
          <w:color w:val="auto"/>
        </w:rPr>
      </w:pPr>
      <w:r>
        <w:rPr>
          <w:rFonts w:ascii="Arial" w:cs="Arial" w:eastAsia="Arial" w:hAnsi="Arial"/>
          <w:sz w:val="22"/>
          <w:szCs w:val="22"/>
          <w:color w:val="auto"/>
        </w:rPr>
        <w:t>CHIEF LLC,</w:t>
      </w:r>
    </w:p>
    <w:p>
      <w:pPr>
        <w:ind w:left="2500"/>
        <w:spacing w:after="0" w:line="231" w:lineRule="auto"/>
        <w:rPr>
          <w:sz w:val="20"/>
          <w:szCs w:val="20"/>
          <w:color w:val="auto"/>
        </w:rPr>
      </w:pPr>
      <w:r>
        <w:rPr>
          <w:rFonts w:ascii="Arial" w:cs="Arial" w:eastAsia="Arial" w:hAnsi="Arial"/>
          <w:sz w:val="22"/>
          <w:szCs w:val="22"/>
          <w:color w:val="auto"/>
        </w:rPr>
        <w:t>SEACOR COURAGEOUS LLC, SEACOR</w:t>
      </w:r>
    </w:p>
    <w:p>
      <w:pPr>
        <w:ind w:left="3620"/>
        <w:spacing w:after="0" w:line="230" w:lineRule="auto"/>
        <w:rPr>
          <w:sz w:val="20"/>
          <w:szCs w:val="20"/>
          <w:color w:val="auto"/>
        </w:rPr>
      </w:pPr>
      <w:r>
        <w:rPr>
          <w:rFonts w:ascii="Arial" w:cs="Arial" w:eastAsia="Arial" w:hAnsi="Arial"/>
          <w:sz w:val="22"/>
          <w:szCs w:val="22"/>
          <w:color w:val="auto"/>
        </w:rPr>
        <w:t>FEARLESS LLC</w:t>
      </w:r>
    </w:p>
    <w:p>
      <w:pPr>
        <w:ind w:left="4220"/>
        <w:spacing w:after="0" w:line="218" w:lineRule="auto"/>
        <w:rPr>
          <w:sz w:val="20"/>
          <w:szCs w:val="20"/>
          <w:color w:val="auto"/>
        </w:rPr>
      </w:pPr>
      <w:r>
        <w:rPr>
          <w:rFonts w:ascii="Arial" w:cs="Arial" w:eastAsia="Arial" w:hAnsi="Arial"/>
          <w:sz w:val="22"/>
          <w:szCs w:val="22"/>
          <w:color w:val="auto"/>
        </w:rPr>
        <w:t>and</w:t>
      </w:r>
    </w:p>
    <w:p>
      <w:pPr>
        <w:jc w:val="center"/>
        <w:ind w:right="1360"/>
        <w:spacing w:after="0" w:line="218" w:lineRule="auto"/>
        <w:rPr>
          <w:sz w:val="20"/>
          <w:szCs w:val="20"/>
          <w:color w:val="auto"/>
        </w:rPr>
      </w:pPr>
      <w:r>
        <w:rPr>
          <w:rFonts w:ascii="Arial" w:cs="Arial" w:eastAsia="Arial" w:hAnsi="Arial"/>
          <w:sz w:val="22"/>
          <w:szCs w:val="22"/>
          <w:color w:val="auto"/>
        </w:rPr>
        <w:t>SEACOR RESOLUTE LLC,</w:t>
      </w:r>
    </w:p>
    <w:p>
      <w:pPr>
        <w:jc w:val="center"/>
        <w:ind w:right="1360"/>
        <w:spacing w:after="0" w:line="230" w:lineRule="auto"/>
        <w:rPr>
          <w:sz w:val="20"/>
          <w:szCs w:val="20"/>
          <w:color w:val="auto"/>
        </w:rPr>
      </w:pPr>
      <w:r>
        <w:rPr>
          <w:rFonts w:ascii="Arial" w:cs="Arial" w:eastAsia="Arial" w:hAnsi="Arial"/>
          <w:sz w:val="22"/>
          <w:szCs w:val="22"/>
          <w:color w:val="auto"/>
        </w:rPr>
        <w:t>as Joint and Several Borrowers, in</w:t>
      </w:r>
    </w:p>
    <w:p>
      <w:pPr>
        <w:spacing w:after="0" w:line="1"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favor of</w:t>
      </w:r>
    </w:p>
    <w:p>
      <w:pPr>
        <w:spacing w:after="0" w:line="80"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DNB CAPITAL LLC</w:t>
      </w:r>
    </w:p>
    <w:p>
      <w:pPr>
        <w:spacing w:after="0" w:line="8"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629920</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00"/>
        <w:spacing w:after="0"/>
        <w:tabs>
          <w:tab w:leader="none" w:pos="260" w:val="left"/>
        </w:tabs>
        <w:rPr>
          <w:sz w:val="20"/>
          <w:szCs w:val="20"/>
          <w:color w:val="auto"/>
        </w:rPr>
      </w:pPr>
      <w:r>
        <w:rPr>
          <w:rFonts w:ascii="Arial" w:cs="Arial" w:eastAsia="Arial" w:hAnsi="Arial"/>
          <w:sz w:val="22"/>
          <w:szCs w:val="22"/>
          <w:color w:val="auto"/>
        </w:rPr>
        <w:t>December</w:t>
        <w:tab/>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2805430</wp:posOffset>
            </wp:positionH>
            <wp:positionV relativeFrom="paragraph">
              <wp:posOffset>-17780</wp:posOffset>
            </wp:positionV>
            <wp:extent cx="1739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0">
                      <a:extLst>
                        <a:ext uri="{28A0092B-C50C-407E-A947-70E740481C1C}"/>
                      </a:extLst>
                    </a:blip>
                    <a:srcRect/>
                    <a:stretch>
                      <a:fillRect/>
                    </a:stretch>
                  </pic:blipFill>
                  <pic:spPr bwMode="auto">
                    <a:xfrm>
                      <a:off x="0" y="0"/>
                      <a:ext cx="173990" cy="8255"/>
                    </a:xfrm>
                    <a:prstGeom prst="rect">
                      <a:avLst/>
                    </a:prstGeom>
                    <a:noFill/>
                  </pic:spPr>
                </pic:pic>
              </a:graphicData>
            </a:graphic>
          </wp:anchor>
        </w:drawing>
      </w:r>
    </w:p>
    <w:p>
      <w:pPr>
        <w:spacing w:after="0" w:line="240"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491490</wp:posOffset>
            </wp:positionV>
            <wp:extent cx="71748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77" w:right="339" w:bottom="1440" w:gutter="0" w:footer="0" w:header="0"/>
        </w:sectPr>
      </w:pPr>
    </w:p>
    <w:bookmarkStart w:id="211" w:name="page212"/>
    <w:bookmarkEnd w:id="211"/>
    <w:p>
      <w:pPr>
        <w:ind w:left="4200"/>
        <w:spacing w:after="0"/>
        <w:rPr>
          <w:sz w:val="20"/>
          <w:szCs w:val="20"/>
          <w:color w:val="auto"/>
        </w:rPr>
      </w:pPr>
      <w:r>
        <w:rPr>
          <w:rFonts w:ascii="Arial" w:cs="Arial" w:eastAsia="Arial" w:hAnsi="Arial"/>
          <w:sz w:val="22"/>
          <w:szCs w:val="22"/>
          <w:b w:val="1"/>
          <w:bCs w:val="1"/>
          <w:color w:val="auto"/>
        </w:rPr>
        <w:t>PROMISSORY NOTE</w:t>
      </w:r>
    </w:p>
    <w:p>
      <w:pPr>
        <w:spacing w:after="0" w:line="226" w:lineRule="exact"/>
        <w:rPr>
          <w:sz w:val="20"/>
          <w:szCs w:val="20"/>
          <w:color w:val="auto"/>
        </w:rPr>
      </w:pPr>
    </w:p>
    <w:p>
      <w:pPr>
        <w:ind w:left="60"/>
        <w:spacing w:after="0"/>
        <w:tabs>
          <w:tab w:leader="none" w:pos="9520" w:val="left"/>
          <w:tab w:leader="none" w:pos="10660" w:val="left"/>
        </w:tabs>
        <w:rPr>
          <w:sz w:val="20"/>
          <w:szCs w:val="20"/>
          <w:color w:val="auto"/>
        </w:rPr>
      </w:pPr>
      <w:r>
        <w:rPr>
          <w:rFonts w:ascii="Arial" w:cs="Arial" w:eastAsia="Arial" w:hAnsi="Arial"/>
          <w:sz w:val="22"/>
          <w:szCs w:val="22"/>
          <w:color w:val="auto"/>
        </w:rPr>
        <w:t>U.S. $11,931,071.77</w:t>
      </w:r>
      <w:r>
        <w:rPr>
          <w:sz w:val="20"/>
          <w:szCs w:val="20"/>
          <w:color w:val="auto"/>
        </w:rPr>
        <w:tab/>
      </w:r>
      <w:r>
        <w:rPr>
          <w:rFonts w:ascii="Arial" w:cs="Arial" w:eastAsia="Arial" w:hAnsi="Arial"/>
          <w:sz w:val="22"/>
          <w:szCs w:val="22"/>
          <w:color w:val="auto"/>
        </w:rPr>
        <w:t>December</w:t>
      </w:r>
      <w:r>
        <w:rPr>
          <w:sz w:val="20"/>
          <w:szCs w:val="20"/>
          <w:color w:val="auto"/>
        </w:rPr>
        <w:tab/>
      </w:r>
      <w:r>
        <w:rPr>
          <w:rFonts w:ascii="Arial" w:cs="Arial" w:eastAsia="Arial" w:hAnsi="Arial"/>
          <w:sz w:val="19"/>
          <w:szCs w:val="19"/>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6610350</wp:posOffset>
            </wp:positionH>
            <wp:positionV relativeFrom="paragraph">
              <wp:posOffset>-17780</wp:posOffset>
            </wp:positionV>
            <wp:extent cx="1739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2">
                      <a:extLst>
                        <a:ext uri="{28A0092B-C50C-407E-A947-70E740481C1C}"/>
                      </a:extLst>
                    </a:blip>
                    <a:srcRect/>
                    <a:stretch>
                      <a:fillRect/>
                    </a:stretch>
                  </pic:blipFill>
                  <pic:spPr bwMode="auto">
                    <a:xfrm>
                      <a:off x="0" y="0"/>
                      <a:ext cx="173990" cy="8255"/>
                    </a:xfrm>
                    <a:prstGeom prst="rect">
                      <a:avLst/>
                    </a:prstGeom>
                    <a:noFill/>
                  </pic:spPr>
                </pic:pic>
              </a:graphicData>
            </a:graphic>
          </wp:anchor>
        </w:drawing>
      </w:r>
    </w:p>
    <w:p>
      <w:pPr>
        <w:spacing w:after="0" w:line="213" w:lineRule="exact"/>
        <w:rPr>
          <w:sz w:val="20"/>
          <w:szCs w:val="20"/>
          <w:color w:val="auto"/>
        </w:rPr>
      </w:pPr>
    </w:p>
    <w:p>
      <w:pPr>
        <w:ind w:left="9280"/>
        <w:spacing w:after="0"/>
        <w:rPr>
          <w:sz w:val="20"/>
          <w:szCs w:val="20"/>
          <w:color w:val="auto"/>
        </w:rPr>
      </w:pPr>
      <w:r>
        <w:rPr>
          <w:rFonts w:ascii="Arial" w:cs="Arial" w:eastAsia="Arial" w:hAnsi="Arial"/>
          <w:sz w:val="21"/>
          <w:szCs w:val="21"/>
          <w:color w:val="auto"/>
        </w:rPr>
        <w:t>New York, New York</w:t>
      </w:r>
    </w:p>
    <w:p>
      <w:pPr>
        <w:spacing w:after="0" w:line="245" w:lineRule="exact"/>
        <w:rPr>
          <w:sz w:val="20"/>
          <w:szCs w:val="20"/>
          <w:color w:val="auto"/>
        </w:rPr>
      </w:pPr>
    </w:p>
    <w:p>
      <w:pPr>
        <w:ind w:left="1560"/>
        <w:spacing w:after="0"/>
        <w:rPr>
          <w:sz w:val="20"/>
          <w:szCs w:val="20"/>
          <w:color w:val="auto"/>
        </w:rPr>
      </w:pPr>
      <w:r>
        <w:rPr>
          <w:rFonts w:ascii="Arial" w:cs="Arial" w:eastAsia="Arial" w:hAnsi="Arial"/>
          <w:sz w:val="21"/>
          <w:szCs w:val="21"/>
          <w:color w:val="auto"/>
        </w:rPr>
        <w:t>FOR VALUE RECEIVED, each of the undersigned, SEACOR OFFSHORE OSV LLC, a limited liability</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company organized and existing under the laws of Delaware, SEACOR BRAVE LLC, a limited liability company organized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existing under the laws of the State of Delaware, SEACOR CHIEF LLC, a limited liability company organized and existing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under the laws of the State of Delaware, SEACOR COURAGEOUS LLC, a limited liability company organized and existing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under the laws of the State of Delaware, SEACOR FEARLESS LLC, a limited liability company organized and existing under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laws of the State of Delaware, and SEACOR RESOLUTE LLC, a limited liability company organized and existing under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laws of the State of Delaware, as joint and several borrowers (the “</w:t>
      </w:r>
      <w:r>
        <w:rPr>
          <w:rFonts w:ascii="Arial" w:cs="Arial" w:eastAsia="Arial" w:hAnsi="Arial"/>
          <w:sz w:val="19"/>
          <w:szCs w:val="19"/>
          <w:b w:val="1"/>
          <w:bCs w:val="1"/>
          <w:color w:val="auto"/>
        </w:rPr>
        <w:t>Borrowers</w:t>
      </w:r>
      <w:r>
        <w:rPr>
          <w:rFonts w:ascii="Arial" w:cs="Arial" w:eastAsia="Arial" w:hAnsi="Arial"/>
          <w:sz w:val="19"/>
          <w:szCs w:val="19"/>
          <w:color w:val="auto"/>
        </w:rPr>
        <w:t>” and each, a “</w:t>
      </w:r>
      <w:r>
        <w:rPr>
          <w:rFonts w:ascii="Arial" w:cs="Arial" w:eastAsia="Arial" w:hAnsi="Arial"/>
          <w:sz w:val="19"/>
          <w:szCs w:val="19"/>
          <w:b w:val="1"/>
          <w:bCs w:val="1"/>
          <w:color w:val="auto"/>
        </w:rPr>
        <w:t>Borrower</w:t>
      </w:r>
      <w:r>
        <w:rPr>
          <w:rFonts w:ascii="Arial" w:cs="Arial" w:eastAsia="Arial" w:hAnsi="Arial"/>
          <w:sz w:val="19"/>
          <w:szCs w:val="19"/>
          <w:color w:val="auto"/>
        </w:rPr>
        <w:t>”), hereby promises to pay to</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the order of DNB CAPITAL LLC, a limited liability company organized and existing under the laws of Delaware (the</w:t>
      </w: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Noteholding Lender</w:t>
      </w:r>
      <w:r>
        <w:rPr>
          <w:rFonts w:ascii="Arial" w:cs="Arial" w:eastAsia="Arial" w:hAnsi="Arial"/>
          <w:sz w:val="19"/>
          <w:szCs w:val="19"/>
          <w:color w:val="auto"/>
        </w:rPr>
        <w:t>”) at its office at 30 Hudson Yards, 81</w:t>
      </w:r>
      <w:r>
        <w:rPr>
          <w:rFonts w:ascii="Arial" w:cs="Arial" w:eastAsia="Arial" w:hAnsi="Arial"/>
          <w:sz w:val="16"/>
          <w:szCs w:val="16"/>
          <w:color w:val="auto"/>
        </w:rPr>
        <w:t>st</w:t>
      </w:r>
      <w:r>
        <w:rPr>
          <w:rFonts w:ascii="Arial" w:cs="Arial" w:eastAsia="Arial" w:hAnsi="Arial"/>
          <w:sz w:val="19"/>
          <w:szCs w:val="19"/>
          <w:color w:val="auto"/>
        </w:rPr>
        <w:t xml:space="preserve"> Floor, New York, New York 10006, or as it may otherwise direct,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principal sum of Eleven Million Nine Hundred Thirty One Thousand Seventy One United States Dollars and Seventy Seven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Cents ($11,931,071.77) or, if less, the aggregate unpaid principal amount of all Advances under each of the Tranches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Facility from time to time outstanding made by the Noteholding Lender to the Borrowers pursuant to that certain amended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restated senior secured term loan credit facility agreement dated as of September 28, 2018, as amended by that certain amendment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no. 1 thereto dated as of February 14, 2019, as further amended by that certain amendment no. 2 thereto dated as of June 17, 2019,</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as further amended by that certain amendment no. 3 thereto dated as of December 23, 2019, as further amended by that certain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amendment no. 4 thereto dated as of March 25, 2021, as further amended by that certain amendment no. 5 thereto dated as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September 28, 2021, as further amended by that certain amendment no. 6 thereto dated as of November 30, 2021 and as amended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restated by that certain amendment no. 7 thereto dated as of December __, 2021(the form of the second amended and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restated credit facility</w:t>
      </w:r>
    </w:p>
    <w:p>
      <w:pPr>
        <w:spacing w:after="0" w:line="215" w:lineRule="exact"/>
        <w:rPr>
          <w:sz w:val="20"/>
          <w:szCs w:val="20"/>
          <w:color w:val="auto"/>
        </w:rPr>
      </w:pPr>
    </w:p>
    <w:p>
      <w:pPr>
        <w:ind w:right="20" w:firstLine="1561"/>
        <w:spacing w:after="0" w:line="269" w:lineRule="auto"/>
        <w:rPr>
          <w:sz w:val="20"/>
          <w:szCs w:val="20"/>
          <w:color w:val="auto"/>
        </w:rPr>
      </w:pPr>
      <w:r>
        <w:rPr>
          <w:rFonts w:ascii="Arial" w:cs="Arial" w:eastAsia="Arial" w:hAnsi="Arial"/>
          <w:sz w:val="19"/>
          <w:szCs w:val="19"/>
          <w:color w:val="auto"/>
        </w:rPr>
        <w:t>agreement being attached as Annex A to amendment no. 7) (as amended and amended and restated, and as may be further amended, amended and restated, supplemented or otherwise modified from time to time, the “</w:t>
      </w:r>
      <w:r>
        <w:rPr>
          <w:rFonts w:ascii="Arial" w:cs="Arial" w:eastAsia="Arial" w:hAnsi="Arial"/>
          <w:sz w:val="19"/>
          <w:szCs w:val="19"/>
          <w:b w:val="1"/>
          <w:bCs w:val="1"/>
          <w:color w:val="auto"/>
        </w:rPr>
        <w:t>Credit Facility Agreement</w:t>
      </w:r>
      <w:r>
        <w:rPr>
          <w:rFonts w:ascii="Arial" w:cs="Arial" w:eastAsia="Arial" w:hAnsi="Arial"/>
          <w:sz w:val="19"/>
          <w:szCs w:val="19"/>
          <w:color w:val="auto"/>
        </w:rPr>
        <w:t>”) entered into by and among, inter alios, (1) the Borrowers, (2) the banks and financial institutions listed on Schedule I of the Credit Facility Agreement, as lenders (together with any bank or financial institution which becomes a Lender pursuant to Section 10 of the Credit Facility Agreement, the “</w:t>
      </w:r>
      <w:r>
        <w:rPr>
          <w:rFonts w:ascii="Arial" w:cs="Arial" w:eastAsia="Arial" w:hAnsi="Arial"/>
          <w:sz w:val="19"/>
          <w:szCs w:val="19"/>
          <w:b w:val="1"/>
          <w:bCs w:val="1"/>
          <w:color w:val="auto"/>
        </w:rPr>
        <w:t>Lenders</w:t>
      </w:r>
      <w:r>
        <w:rPr>
          <w:rFonts w:ascii="Arial" w:cs="Arial" w:eastAsia="Arial" w:hAnsi="Arial"/>
          <w:sz w:val="19"/>
          <w:szCs w:val="19"/>
          <w:color w:val="auto"/>
        </w:rPr>
        <w:t>” and each a “</w:t>
      </w:r>
      <w:r>
        <w:rPr>
          <w:rFonts w:ascii="Arial" w:cs="Arial" w:eastAsia="Arial" w:hAnsi="Arial"/>
          <w:sz w:val="19"/>
          <w:szCs w:val="19"/>
          <w:b w:val="1"/>
          <w:bCs w:val="1"/>
          <w:color w:val="auto"/>
        </w:rPr>
        <w:t>Lender</w:t>
      </w:r>
      <w:r>
        <w:rPr>
          <w:rFonts w:ascii="Arial" w:cs="Arial" w:eastAsia="Arial" w:hAnsi="Arial"/>
          <w:sz w:val="19"/>
          <w:szCs w:val="19"/>
          <w:color w:val="auto"/>
        </w:rPr>
        <w:t>”), (3) DNB MARKETS, INC., as bookrunner and mandated lead arranger, (4) DNB BANK ASA, a banking company organized and existing under the laws of the Kingdom of Norway, acting through its New York Branch, as administrative agent (in such capacity, the “</w:t>
      </w:r>
      <w:r>
        <w:rPr>
          <w:rFonts w:ascii="Arial" w:cs="Arial" w:eastAsia="Arial" w:hAnsi="Arial"/>
          <w:sz w:val="19"/>
          <w:szCs w:val="19"/>
          <w:b w:val="1"/>
          <w:bCs w:val="1"/>
          <w:color w:val="auto"/>
        </w:rPr>
        <w:t>Administrative Agent</w:t>
      </w:r>
      <w:r>
        <w:rPr>
          <w:rFonts w:ascii="Arial" w:cs="Arial" w:eastAsia="Arial" w:hAnsi="Arial"/>
          <w:sz w:val="19"/>
          <w:szCs w:val="19"/>
          <w:color w:val="auto"/>
        </w:rPr>
        <w:t>”) and as security trustee, and</w:t>
      </w:r>
    </w:p>
    <w:p>
      <w:pPr>
        <w:spacing w:after="0" w:line="5" w:lineRule="exact"/>
        <w:rPr>
          <w:sz w:val="20"/>
          <w:szCs w:val="20"/>
          <w:color w:val="auto"/>
        </w:rPr>
      </w:pPr>
    </w:p>
    <w:p>
      <w:pPr>
        <w:ind w:right="500" w:firstLine="8"/>
        <w:spacing w:after="0" w:line="256" w:lineRule="auto"/>
        <w:tabs>
          <w:tab w:leader="none" w:pos="302" w:val="left"/>
        </w:tabs>
        <w:numPr>
          <w:ilvl w:val="0"/>
          <w:numId w:val="195"/>
        </w:numPr>
        <w:rPr>
          <w:rFonts w:ascii="Arial" w:cs="Arial" w:eastAsia="Arial" w:hAnsi="Arial"/>
          <w:sz w:val="21"/>
          <w:szCs w:val="21"/>
          <w:color w:val="auto"/>
        </w:rPr>
      </w:pPr>
      <w:r>
        <w:rPr>
          <w:rFonts w:ascii="Arial" w:cs="Arial" w:eastAsia="Arial" w:hAnsi="Arial"/>
          <w:sz w:val="21"/>
          <w:szCs w:val="21"/>
          <w:color w:val="auto"/>
        </w:rPr>
        <w:t>COMERICA BANK, as facility agent. The Borrowers shall repay the indebtedness represented by this Note as provided in Section 5 of the Credit Facility Agreement but in any event no later than the Final Payment Date.</w:t>
      </w:r>
    </w:p>
    <w:p>
      <w:pPr>
        <w:spacing w:after="0" w:line="169" w:lineRule="exact"/>
        <w:rPr>
          <w:sz w:val="20"/>
          <w:szCs w:val="20"/>
          <w:color w:val="auto"/>
        </w:rPr>
      </w:pPr>
    </w:p>
    <w:p>
      <w:pPr>
        <w:ind w:right="700" w:firstLine="1561"/>
        <w:spacing w:after="0" w:line="250" w:lineRule="auto"/>
        <w:rPr>
          <w:sz w:val="20"/>
          <w:szCs w:val="20"/>
          <w:color w:val="auto"/>
        </w:rPr>
      </w:pPr>
      <w:r>
        <w:rPr>
          <w:rFonts w:ascii="Arial" w:cs="Arial" w:eastAsia="Arial" w:hAnsi="Arial"/>
          <w:sz w:val="22"/>
          <w:szCs w:val="22"/>
          <w:color w:val="auto"/>
        </w:rPr>
        <w:t>Words and expressions used herein (including those in the foregoing paragraph) and defined in the Credit Facility Agreement shall have the same meaning herein as therein defined.</w:t>
      </w:r>
    </w:p>
    <w:p>
      <w:pPr>
        <w:spacing w:after="0" w:line="175" w:lineRule="exact"/>
        <w:rPr>
          <w:sz w:val="20"/>
          <w:szCs w:val="20"/>
          <w:color w:val="auto"/>
        </w:rPr>
      </w:pPr>
    </w:p>
    <w:p>
      <w:pPr>
        <w:ind w:right="200" w:firstLine="1561"/>
        <w:spacing w:after="0" w:line="250" w:lineRule="auto"/>
        <w:rPr>
          <w:sz w:val="20"/>
          <w:szCs w:val="20"/>
          <w:color w:val="auto"/>
        </w:rPr>
      </w:pPr>
      <w:r>
        <w:rPr>
          <w:rFonts w:ascii="Arial" w:cs="Arial" w:eastAsia="Arial" w:hAnsi="Arial"/>
          <w:sz w:val="22"/>
          <w:szCs w:val="22"/>
          <w:color w:val="auto"/>
        </w:rPr>
        <w:t>This Note may be prepaid on such terms as provided in the Credit Facility Agreement. Interest shall be paid on the indebtedness represented by this Note at the rate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748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212" w:name="page213"/>
    <w:bookmarkEnd w:id="212"/>
    <w:p>
      <w:pPr>
        <w:ind w:firstLine="1561"/>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Rate</w:t>
      </w:r>
      <w:r>
        <w:rPr>
          <w:rFonts w:ascii="Arial" w:cs="Arial" w:eastAsia="Arial" w:hAnsi="Arial"/>
          <w:sz w:val="22"/>
          <w:szCs w:val="22"/>
          <w:color w:val="auto"/>
        </w:rPr>
        <w:t>”) determined from time to time in accordance with Section 6 of the Credit Facility Agreement and at the times provided in Section 6 of the Credit Facility Agreement, which provisions are incorporated herein with full force and effect as if they were more fully set forth herein at length. Any principal payment not paid when due, whether on the maturity date thereof or by acceleration, shall bear interest thereafter at a rate per annum equal to the Default Rate (as defined in the Credit Facility Agreement). All interest shall accrue and be calculated on the actual number of days elapsed and on the basis of a 360-day year.</w:t>
      </w:r>
    </w:p>
    <w:p>
      <w:pPr>
        <w:spacing w:after="0" w:line="188" w:lineRule="exact"/>
        <w:rPr>
          <w:sz w:val="20"/>
          <w:szCs w:val="20"/>
          <w:color w:val="auto"/>
        </w:rPr>
      </w:pPr>
    </w:p>
    <w:p>
      <w:pPr>
        <w:ind w:right="100" w:firstLine="1561"/>
        <w:spacing w:after="0" w:line="249" w:lineRule="auto"/>
        <w:rPr>
          <w:sz w:val="20"/>
          <w:szCs w:val="20"/>
          <w:color w:val="auto"/>
        </w:rPr>
      </w:pPr>
      <w:r>
        <w:rPr>
          <w:rFonts w:ascii="Arial" w:cs="Arial" w:eastAsia="Arial" w:hAnsi="Arial"/>
          <w:sz w:val="21"/>
          <w:szCs w:val="21"/>
          <w:color w:val="auto"/>
        </w:rPr>
        <w:t xml:space="preserve">The Noteholding Lender may endorse the amount and the date of the making of each Advance evidenced hereby and each payment of principal hereunder on the grid attached hereto as Schedule 1 and made a part hereof, which endorsement shall constitute </w:t>
      </w:r>
      <w:r>
        <w:rPr>
          <w:rFonts w:ascii="Arial" w:cs="Arial" w:eastAsia="Arial" w:hAnsi="Arial"/>
          <w:sz w:val="21"/>
          <w:szCs w:val="21"/>
          <w:i w:val="1"/>
          <w:iCs w:val="1"/>
          <w:color w:val="auto"/>
        </w:rPr>
        <w:t>prima facie</w:t>
      </w:r>
      <w:r>
        <w:rPr>
          <w:rFonts w:ascii="Arial" w:cs="Arial" w:eastAsia="Arial" w:hAnsi="Arial"/>
          <w:sz w:val="21"/>
          <w:szCs w:val="21"/>
          <w:color w:val="auto"/>
        </w:rPr>
        <w:t xml:space="preserve"> evidence of the accuracy of the information so endorsed;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failure to endorse such information on such grid shall not in any manner affect the obligation of the Borrowers to make payment of principal and interest in accordance with the terms of this Note.</w:t>
      </w:r>
    </w:p>
    <w:p>
      <w:pPr>
        <w:spacing w:after="0" w:line="178" w:lineRule="exact"/>
        <w:rPr>
          <w:sz w:val="20"/>
          <w:szCs w:val="20"/>
          <w:color w:val="auto"/>
        </w:rPr>
      </w:pPr>
    </w:p>
    <w:p>
      <w:pPr>
        <w:ind w:right="960" w:firstLine="1561"/>
        <w:spacing w:after="0" w:line="274" w:lineRule="auto"/>
        <w:rPr>
          <w:sz w:val="20"/>
          <w:szCs w:val="20"/>
          <w:color w:val="auto"/>
        </w:rPr>
      </w:pPr>
      <w:r>
        <w:rPr>
          <w:rFonts w:ascii="Arial" w:cs="Arial" w:eastAsia="Arial" w:hAnsi="Arial"/>
          <w:sz w:val="21"/>
          <w:szCs w:val="21"/>
          <w:color w:val="auto"/>
        </w:rPr>
        <w:t>Both principal and interest are payable in Dollars to the Administrative Agent, for the account of the Noteholding Lender, as the Administrative Agent may direct, in immediately available same day funds.</w:t>
      </w:r>
    </w:p>
    <w:p>
      <w:pPr>
        <w:spacing w:after="0" w:line="151" w:lineRule="exact"/>
        <w:rPr>
          <w:sz w:val="20"/>
          <w:szCs w:val="20"/>
          <w:color w:val="auto"/>
        </w:rPr>
      </w:pPr>
    </w:p>
    <w:p>
      <w:pPr>
        <w:ind w:right="100" w:firstLine="1561"/>
        <w:spacing w:after="0" w:line="287" w:lineRule="auto"/>
        <w:rPr>
          <w:sz w:val="20"/>
          <w:szCs w:val="20"/>
          <w:color w:val="auto"/>
        </w:rPr>
      </w:pPr>
      <w:r>
        <w:rPr>
          <w:rFonts w:ascii="Arial" w:cs="Arial" w:eastAsia="Arial" w:hAnsi="Arial"/>
          <w:sz w:val="19"/>
          <w:szCs w:val="19"/>
          <w:color w:val="auto"/>
        </w:rPr>
        <w:t>If this Note or any payment required to be made hereunder becomes due and payable on a day which is not a Banking Day, the due date thereof shall be extended until the next following Banking Day and interest shall be payable during such extension at the rate applicable immediately prior thereto, unless such next following Banking Day falls in the following calendar month, in which case the due date thereof shall be adjusted to the immediately preceding Banking Day.</w:t>
      </w:r>
    </w:p>
    <w:p>
      <w:pPr>
        <w:spacing w:after="0" w:line="143" w:lineRule="exact"/>
        <w:rPr>
          <w:sz w:val="20"/>
          <w:szCs w:val="20"/>
          <w:color w:val="auto"/>
        </w:rPr>
      </w:pPr>
    </w:p>
    <w:p>
      <w:pPr>
        <w:ind w:right="180" w:firstLine="1561"/>
        <w:spacing w:after="0" w:line="236" w:lineRule="auto"/>
        <w:rPr>
          <w:sz w:val="20"/>
          <w:szCs w:val="20"/>
          <w:color w:val="auto"/>
        </w:rPr>
      </w:pPr>
      <w:r>
        <w:rPr>
          <w:rFonts w:ascii="Arial" w:cs="Arial" w:eastAsia="Arial" w:hAnsi="Arial"/>
          <w:sz w:val="22"/>
          <w:szCs w:val="22"/>
          <w:color w:val="auto"/>
        </w:rPr>
        <w:t>This Note is one of the Notes referred to in the Credit Facility Agreement and is entitled to the security and benefits therein provided, including, but not limited to, such security as provided in the Security Documents. Upon the occurrence of and continuation of an Event of Default under Section 8 of the Credit Facility Agreement, the principal hereof and accrued interest hereon may be declared to be (or, with respect to certain Events of Default, automatically shall become) immediately due and payable.</w:t>
      </w:r>
    </w:p>
    <w:p>
      <w:pPr>
        <w:spacing w:after="0" w:line="187" w:lineRule="exact"/>
        <w:rPr>
          <w:sz w:val="20"/>
          <w:szCs w:val="20"/>
          <w:color w:val="auto"/>
        </w:rPr>
      </w:pPr>
    </w:p>
    <w:p>
      <w:pPr>
        <w:ind w:right="480" w:firstLine="1561"/>
        <w:spacing w:after="0" w:line="297" w:lineRule="auto"/>
        <w:rPr>
          <w:sz w:val="20"/>
          <w:szCs w:val="20"/>
          <w:color w:val="auto"/>
        </w:rPr>
      </w:pPr>
      <w:r>
        <w:rPr>
          <w:rFonts w:ascii="Arial" w:cs="Arial" w:eastAsia="Arial" w:hAnsi="Arial"/>
          <w:sz w:val="19"/>
          <w:szCs w:val="19"/>
          <w:color w:val="auto"/>
        </w:rPr>
        <w:t>In the event that any holder of this Note shall institute any action for the enforcement or the collection of this Note, there shall be immediately due and payable, in addition to the unpaid balance hereof, all costs and expenses, including reasonable attorneys’ fees in accordance with the terms of the Credit Facility Agreement.</w:t>
      </w:r>
    </w:p>
    <w:p>
      <w:pPr>
        <w:spacing w:after="0" w:line="134" w:lineRule="exact"/>
        <w:rPr>
          <w:sz w:val="20"/>
          <w:szCs w:val="20"/>
          <w:color w:val="auto"/>
        </w:rPr>
      </w:pPr>
    </w:p>
    <w:p>
      <w:pPr>
        <w:ind w:right="20" w:firstLine="1561"/>
        <w:spacing w:after="0" w:line="274" w:lineRule="auto"/>
        <w:rPr>
          <w:sz w:val="20"/>
          <w:szCs w:val="20"/>
          <w:color w:val="auto"/>
        </w:rPr>
      </w:pPr>
      <w:r>
        <w:rPr>
          <w:rFonts w:ascii="Arial" w:cs="Arial" w:eastAsia="Arial" w:hAnsi="Arial"/>
          <w:sz w:val="19"/>
          <w:szCs w:val="19"/>
          <w:color w:val="auto"/>
        </w:rPr>
        <w:t>Each of the Borrowers, for itself and its successors and assigns and any endorsers of the Note from time to time, hereby waives presentment, protest, demand for payment, diligence, notice of dishonor and of nonpayment, and any and all other notices or demands in connection with the delivery, acceptance, performance, default or enforcement of this Note, hereby waives and renounces all rights to the benefits of any statute of limitations and any moratorium, appraisement, exemption and homestead now provided or which may hereafter be provided by any federal or state statute, including, without limitation, exemptions provided by any federal or state statute, including, without limitation, exemptions provided by or allowed under any federal or state bankruptcy or insolvency laws, both as to itself and as to all of its property, whether real or personal, against the enforcement and collection of the obligations evidenced by this Note and any and all extensions, renewals and modifications hereof and hereby consents to any extensions of</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213" w:name="page214"/>
    <w:bookmarkEnd w:id="213"/>
    <w:p>
      <w:pPr>
        <w:ind w:right="120" w:firstLine="1561"/>
        <w:spacing w:after="0" w:line="250" w:lineRule="auto"/>
        <w:rPr>
          <w:sz w:val="20"/>
          <w:szCs w:val="20"/>
          <w:color w:val="auto"/>
        </w:rPr>
      </w:pPr>
      <w:r>
        <w:rPr>
          <w:rFonts w:ascii="Arial" w:cs="Arial" w:eastAsia="Arial" w:hAnsi="Arial"/>
          <w:sz w:val="22"/>
          <w:szCs w:val="22"/>
          <w:color w:val="auto"/>
        </w:rPr>
        <w:t>time, renewals, releases of any party this Note, waiver or modification that may be granted or consented to by the holder of this Note.</w:t>
      </w:r>
    </w:p>
    <w:p>
      <w:pPr>
        <w:spacing w:after="0" w:line="175" w:lineRule="exact"/>
        <w:rPr>
          <w:sz w:val="20"/>
          <w:szCs w:val="20"/>
          <w:color w:val="auto"/>
        </w:rPr>
      </w:pPr>
    </w:p>
    <w:p>
      <w:pPr>
        <w:ind w:right="80" w:firstLine="1561"/>
        <w:spacing w:after="0" w:line="238" w:lineRule="auto"/>
        <w:rPr>
          <w:sz w:val="20"/>
          <w:szCs w:val="20"/>
          <w:color w:val="auto"/>
        </w:rPr>
      </w:pPr>
      <w:r>
        <w:rPr>
          <w:rFonts w:ascii="Arial" w:cs="Arial" w:eastAsia="Arial" w:hAnsi="Arial"/>
          <w:sz w:val="22"/>
          <w:szCs w:val="22"/>
          <w:color w:val="auto"/>
        </w:rPr>
        <w:t>Each of the Borrowers agrees that its liabilities hereunder are absolute and unconditional without regard to the liability of any other party and that no delay on the part of the holder hereof in exercising any power or right hereunder shall operate as a waiver thereof; nor shall any single or partial exercise of any power or right hereunder preclude other or further exercise thereof or the exercise of any other power or right.</w:t>
      </w:r>
    </w:p>
    <w:p>
      <w:pPr>
        <w:spacing w:after="0" w:line="185" w:lineRule="exact"/>
        <w:rPr>
          <w:sz w:val="20"/>
          <w:szCs w:val="20"/>
          <w:color w:val="auto"/>
        </w:rPr>
      </w:pPr>
    </w:p>
    <w:p>
      <w:pPr>
        <w:ind w:right="20" w:firstLine="1561"/>
        <w:spacing w:after="0" w:line="297" w:lineRule="auto"/>
        <w:rPr>
          <w:sz w:val="20"/>
          <w:szCs w:val="20"/>
          <w:color w:val="auto"/>
        </w:rPr>
      </w:pPr>
      <w:r>
        <w:rPr>
          <w:rFonts w:ascii="Arial" w:cs="Arial" w:eastAsia="Arial" w:hAnsi="Arial"/>
          <w:sz w:val="19"/>
          <w:szCs w:val="19"/>
          <w:color w:val="auto"/>
        </w:rPr>
        <w:t>This Note amends, renews, extends, modifies, replaces and is substituted for and supersedes in its entirety but does not extinguish the existing obligations arising under those certain promissory notes dated November 18, 2013, and September 28, 2018 executed by, inter alios, the Borrowers (other than SEACOR OFFSHORE OSV LLC) in favor of DNB CAPITAL LLC.</w:t>
      </w:r>
    </w:p>
    <w:p>
      <w:pPr>
        <w:spacing w:after="0" w:line="134" w:lineRule="exact"/>
        <w:rPr>
          <w:sz w:val="20"/>
          <w:szCs w:val="20"/>
          <w:color w:val="auto"/>
        </w:rPr>
      </w:pPr>
    </w:p>
    <w:p>
      <w:pPr>
        <w:ind w:right="100" w:firstLine="1561"/>
        <w:spacing w:after="0" w:line="245" w:lineRule="auto"/>
        <w:rPr>
          <w:sz w:val="20"/>
          <w:szCs w:val="20"/>
          <w:color w:val="auto"/>
        </w:rPr>
      </w:pPr>
      <w:r>
        <w:rPr>
          <w:rFonts w:ascii="Arial" w:cs="Arial" w:eastAsia="Arial" w:hAnsi="Arial"/>
          <w:sz w:val="21"/>
          <w:szCs w:val="21"/>
          <w:color w:val="auto"/>
        </w:rPr>
        <w:t>If at any time this transaction would be usurious under applicable law, then regardless of any provision contained in this Note or any other agreement made in connection with this transaction, it is agreed that (a) the total of all consideration which constitutes interest under applicable law that is contracted for, charged or received upon this Note or any other agreement shall under no circumstances exceed the maximum rate of interest authorized by applicable law, if any, and any excess shall be credited to each of the Borrowers and (b) if the Lenders elect to accelerate the maturity of, or if each of the Borrowers prepays the indebtedness described in this Note, any amounts which because of such action would constitute interest may never include more than the maximum rate of interest authorized by applicable law and any excess interest, if any, provided for in the Credit Facility Agreement, in this Note or otherwise, shall be credited to each of the Borrowers automatically as of the date of acceleration or prepayment.</w:t>
      </w:r>
    </w:p>
    <w:p>
      <w:pPr>
        <w:spacing w:after="0" w:line="184" w:lineRule="exact"/>
        <w:rPr>
          <w:sz w:val="20"/>
          <w:szCs w:val="20"/>
          <w:color w:val="auto"/>
        </w:rPr>
      </w:pPr>
    </w:p>
    <w:p>
      <w:pPr>
        <w:ind w:left="1560" w:right="2420"/>
        <w:spacing w:after="0" w:line="250" w:lineRule="auto"/>
        <w:rPr>
          <w:sz w:val="20"/>
          <w:szCs w:val="20"/>
          <w:color w:val="auto"/>
        </w:rPr>
      </w:pPr>
      <w:r>
        <w:rPr>
          <w:rFonts w:ascii="Arial" w:cs="Arial" w:eastAsia="Arial" w:hAnsi="Arial"/>
          <w:sz w:val="22"/>
          <w:szCs w:val="22"/>
          <w:color w:val="auto"/>
        </w:rPr>
        <w:t>This Note shall not be varied in its terms by an oral agreement or representation or otherwise.</w:t>
      </w:r>
    </w:p>
    <w:p>
      <w:pPr>
        <w:spacing w:after="0" w:line="175" w:lineRule="exact"/>
        <w:rPr>
          <w:sz w:val="20"/>
          <w:szCs w:val="20"/>
          <w:color w:val="auto"/>
        </w:rPr>
      </w:pPr>
    </w:p>
    <w:p>
      <w:pPr>
        <w:ind w:left="1560"/>
        <w:spacing w:after="0"/>
        <w:rPr>
          <w:sz w:val="20"/>
          <w:szCs w:val="20"/>
          <w:color w:val="auto"/>
        </w:rPr>
      </w:pPr>
      <w:r>
        <w:rPr>
          <w:rFonts w:ascii="Arial" w:cs="Arial" w:eastAsia="Arial" w:hAnsi="Arial"/>
          <w:sz w:val="22"/>
          <w:szCs w:val="22"/>
          <w:color w:val="auto"/>
        </w:rPr>
        <w:t>Each of the undersigned hereby irrevocably submits to the jurisdiction of the courts</w:t>
      </w:r>
    </w:p>
    <w:p>
      <w:pPr>
        <w:spacing w:after="0" w:line="8" w:lineRule="exact"/>
        <w:rPr>
          <w:sz w:val="20"/>
          <w:szCs w:val="20"/>
          <w:color w:val="auto"/>
        </w:rPr>
      </w:pPr>
    </w:p>
    <w:p>
      <w:pPr>
        <w:ind w:firstLine="1561"/>
        <w:spacing w:after="0" w:line="270" w:lineRule="auto"/>
        <w:rPr>
          <w:sz w:val="20"/>
          <w:szCs w:val="20"/>
          <w:color w:val="auto"/>
        </w:rPr>
      </w:pPr>
      <w:r>
        <w:rPr>
          <w:rFonts w:ascii="Arial" w:cs="Arial" w:eastAsia="Arial" w:hAnsi="Arial"/>
          <w:sz w:val="19"/>
          <w:szCs w:val="19"/>
          <w:color w:val="auto"/>
        </w:rPr>
        <w:t>of the State of New York located in New York County and of the United States District Court for the Southern District of New York in any action or proceeding brought against it by any of the lawful holders of this Note and hereby irrevocably agrees that valid service of summons or other legal process on it may be effected by serving a copy of the summons and other legal process in any such action or proceeding on the undersigned by mailing or delivering the same by hand to the undersigned at the address indicated for notices in the Credit Facility Agreement. The service, as herein provided, of such summons or other legal process in any such action or proceeding shall be deemed personal service and accepted by the undersigned as such, and shall be legal and binding upon the undersigned for all the purposes of any such action or proceeding. Final judgment (a certified or exemplified copy of which shall be conclusive evidence of the fact and of the amount of any indebtedness of the undersigned to the lawful holders of this Note) against the undersigned in any such legal action or proceeding shall be conclusive and may be enforced in other jurisdictions by suit on the judgment. The undersigned shall advise the Administrative Agent promptly of any change of address for the purpose of service of process. Notwithstanding anything herein to the contrary, the lawful holders of this Note may bring any legal action or proceeding in any other appropriate jurisdiction.</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77" w:right="399" w:bottom="1440" w:gutter="0" w:footer="0" w:header="0"/>
        </w:sectPr>
      </w:pPr>
    </w:p>
    <w:bookmarkStart w:id="214" w:name="page215"/>
    <w:bookmarkEnd w:id="214"/>
    <w:p>
      <w:pPr>
        <w:ind w:firstLine="1561"/>
        <w:spacing w:after="0" w:line="236" w:lineRule="auto"/>
        <w:rPr>
          <w:sz w:val="20"/>
          <w:szCs w:val="20"/>
          <w:color w:val="auto"/>
        </w:rPr>
      </w:pPr>
      <w:r>
        <w:rPr>
          <w:rFonts w:ascii="Arial" w:cs="Arial" w:eastAsia="Arial" w:hAnsi="Arial"/>
          <w:sz w:val="22"/>
          <w:szCs w:val="22"/>
          <w:b w:val="1"/>
          <w:bCs w:val="1"/>
          <w:color w:val="auto"/>
        </w:rPr>
        <w:t>TO THE EXTENT THAT ANY OF THE UNDERSIGNED HAS OR HEREAFTER MAY ACQUIRE ANY IMMUNITY FROM SUIT, JURISDICTION OF ANY COURT OR ANY LEGAL PROCESS (WHETHER THROUGH ATTACHMENT PRIOR TO JUDGMENT, ATTACHMENT IN AID OF EXECUTION, EXECUTION OF A JUDGMENT, OR FROM ANY OTHER LEGAL PROCESS OR REMEDY) WITH RESPECT TO ITSELF OR ITS PROPERTY, EACH OF THE UNDERSIGNED HEREBY IRREVOCABLY WAIVES SUCH IMMUNITY IN RESPECT OF ITS OBLIGATIONS UNDER THIS NOTE.</w:t>
      </w:r>
    </w:p>
    <w:p>
      <w:pPr>
        <w:spacing w:after="0" w:line="182" w:lineRule="exact"/>
        <w:rPr>
          <w:sz w:val="20"/>
          <w:szCs w:val="20"/>
          <w:color w:val="auto"/>
        </w:rPr>
      </w:pPr>
    </w:p>
    <w:p>
      <w:pPr>
        <w:ind w:right="60" w:firstLine="1561"/>
        <w:spacing w:after="0" w:line="254" w:lineRule="auto"/>
        <w:rPr>
          <w:sz w:val="20"/>
          <w:szCs w:val="20"/>
          <w:color w:val="auto"/>
        </w:rPr>
      </w:pPr>
      <w:r>
        <w:rPr>
          <w:rFonts w:ascii="Arial" w:cs="Arial" w:eastAsia="Arial" w:hAnsi="Arial"/>
          <w:sz w:val="21"/>
          <w:szCs w:val="21"/>
          <w:b w:val="1"/>
          <w:bCs w:val="1"/>
          <w:color w:val="auto"/>
        </w:rPr>
        <w:t>EACH OF THE UNDERSIGNED AND, BY ITS ACCEPTANCE HEREOF, THE ADMINISTRATIVE AGENT HEREBY WAIVES TRIAL BY JURY IN ANY ACTION, PROCEEDING OR COUNTERCLAIM BROUGHT BY ANY PARTY HERETO OR ANY BENEFICIARY HEREOF ARISING IN RESPECT OF ANY MATTER WHATSOEVER ARISING OUT OF OR IN ANY WAY CONNECTED WITH THIS NOTE.</w:t>
      </w:r>
    </w:p>
    <w:p>
      <w:pPr>
        <w:spacing w:after="0" w:line="91" w:lineRule="exact"/>
        <w:rPr>
          <w:sz w:val="20"/>
          <w:szCs w:val="20"/>
          <w:color w:val="auto"/>
        </w:rPr>
      </w:pPr>
    </w:p>
    <w:p>
      <w:pPr>
        <w:ind w:left="1560"/>
        <w:spacing w:after="0"/>
        <w:rPr>
          <w:sz w:val="20"/>
          <w:szCs w:val="20"/>
          <w:color w:val="auto"/>
        </w:rPr>
      </w:pPr>
      <w:r>
        <w:rPr>
          <w:rFonts w:ascii="Arial" w:cs="Arial" w:eastAsia="Arial" w:hAnsi="Arial"/>
          <w:sz w:val="21"/>
          <w:szCs w:val="21"/>
          <w:color w:val="auto"/>
        </w:rPr>
        <w:t>This Note shall be governed by and construed in accordance with the laws of the State of New York.</w:t>
      </w:r>
    </w:p>
    <w:p>
      <w:pPr>
        <w:spacing w:after="0" w:line="339" w:lineRule="exact"/>
        <w:rPr>
          <w:sz w:val="20"/>
          <w:szCs w:val="20"/>
          <w:color w:val="auto"/>
        </w:rPr>
      </w:pPr>
    </w:p>
    <w:p>
      <w:pPr>
        <w:jc w:val="center"/>
        <w:ind w:right="240"/>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571" w:right="439" w:bottom="1440" w:gutter="0" w:footer="0" w:header="0"/>
        </w:sectPr>
      </w:pPr>
    </w:p>
    <w:bookmarkStart w:id="215" w:name="page216"/>
    <w:bookmarkEnd w:id="215"/>
    <w:p>
      <w:pPr>
        <w:ind w:right="400" w:firstLine="1561"/>
        <w:spacing w:after="0" w:line="250" w:lineRule="auto"/>
        <w:rPr>
          <w:sz w:val="20"/>
          <w:szCs w:val="20"/>
          <w:color w:val="auto"/>
        </w:rPr>
      </w:pPr>
      <w:r>
        <w:rPr>
          <w:rFonts w:ascii="Arial" w:cs="Arial" w:eastAsia="Arial" w:hAnsi="Arial"/>
          <w:sz w:val="22"/>
          <w:szCs w:val="22"/>
          <w:color w:val="auto"/>
        </w:rPr>
        <w:t>IN WITNESS WHEREOF, each of the Borrowers has executed and delivered this Note on the date and year first above written.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SEACOR OFFSHORE OSV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as Borrower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-157480</wp:posOffset>
            </wp:positionV>
            <wp:extent cx="31972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ind w:left="380"/>
        <w:spacing w:after="0"/>
        <w:rPr>
          <w:sz w:val="20"/>
          <w:szCs w:val="20"/>
          <w:color w:val="auto"/>
        </w:rPr>
      </w:pPr>
      <w:r>
        <w:rPr>
          <w:rFonts w:ascii="Arial" w:cs="Arial" w:eastAsia="Arial" w:hAnsi="Arial"/>
          <w:sz w:val="22"/>
          <w:szCs w:val="22"/>
          <w:color w:val="auto"/>
        </w:rPr>
        <w:t>Title: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20" w:type="dxa"/>
            <w:vAlign w:val="bottom"/>
            <w:gridSpan w:val="2"/>
          </w:tcPr>
          <w:p>
            <w:pPr>
              <w:spacing w:after="0"/>
              <w:rPr>
                <w:sz w:val="20"/>
                <w:szCs w:val="20"/>
                <w:color w:val="auto"/>
              </w:rPr>
            </w:pPr>
            <w:r>
              <w:rPr>
                <w:rFonts w:ascii="Arial" w:cs="Arial" w:eastAsia="Arial" w:hAnsi="Arial"/>
                <w:sz w:val="22"/>
                <w:szCs w:val="22"/>
                <w:color w:val="auto"/>
              </w:rPr>
              <w:t>SEACOR BRAVE LLC,</w:t>
            </w:r>
          </w:p>
        </w:tc>
        <w:tc>
          <w:tcPr>
            <w:tcW w:w="5820" w:type="dxa"/>
            <w:vAlign w:val="bottom"/>
            <w:gridSpan w:val="2"/>
          </w:tcPr>
          <w:p>
            <w:pPr>
              <w:ind w:left="440"/>
              <w:spacing w:after="0"/>
              <w:rPr>
                <w:sz w:val="20"/>
                <w:szCs w:val="20"/>
                <w:color w:val="auto"/>
              </w:rPr>
            </w:pPr>
            <w:r>
              <w:rPr>
                <w:rFonts w:ascii="Arial" w:cs="Arial" w:eastAsia="Arial" w:hAnsi="Arial"/>
                <w:sz w:val="22"/>
                <w:szCs w:val="22"/>
                <w:color w:val="auto"/>
              </w:rPr>
              <w:t>SEACOR CHIEF LLC,</w:t>
            </w:r>
          </w:p>
        </w:tc>
        <w:tc>
          <w:tcPr>
            <w:tcW w:w="20" w:type="dxa"/>
            <w:vAlign w:val="bottom"/>
          </w:tcPr>
          <w:p>
            <w:pPr>
              <w:spacing w:after="0"/>
              <w:rPr>
                <w:sz w:val="21"/>
                <w:szCs w:val="21"/>
                <w:color w:val="auto"/>
              </w:rPr>
            </w:pPr>
          </w:p>
        </w:tc>
      </w:tr>
      <w:tr>
        <w:trPr>
          <w:trHeight w:val="274"/>
        </w:trPr>
        <w:tc>
          <w:tcPr>
            <w:tcW w:w="5420" w:type="dxa"/>
            <w:vAlign w:val="bottom"/>
            <w:gridSpan w:val="2"/>
          </w:tcPr>
          <w:p>
            <w:pPr>
              <w:spacing w:after="0"/>
              <w:rPr>
                <w:sz w:val="20"/>
                <w:szCs w:val="20"/>
                <w:color w:val="auto"/>
              </w:rPr>
            </w:pPr>
            <w:r>
              <w:rPr>
                <w:rFonts w:ascii="Arial" w:cs="Arial" w:eastAsia="Arial" w:hAnsi="Arial"/>
                <w:sz w:val="22"/>
                <w:szCs w:val="22"/>
                <w:color w:val="auto"/>
              </w:rPr>
              <w:t>as Borrower</w:t>
            </w:r>
          </w:p>
        </w:tc>
        <w:tc>
          <w:tcPr>
            <w:tcW w:w="5820" w:type="dxa"/>
            <w:vAlign w:val="bottom"/>
            <w:gridSpan w:val="2"/>
          </w:tcPr>
          <w:p>
            <w:pPr>
              <w:ind w:left="440"/>
              <w:spacing w:after="0"/>
              <w:rPr>
                <w:sz w:val="20"/>
                <w:szCs w:val="20"/>
                <w:color w:val="auto"/>
              </w:rPr>
            </w:pPr>
            <w:r>
              <w:rPr>
                <w:rFonts w:ascii="Arial" w:cs="Arial" w:eastAsia="Arial" w:hAnsi="Arial"/>
                <w:sz w:val="22"/>
                <w:szCs w:val="22"/>
                <w:color w:val="auto"/>
              </w:rPr>
              <w:t>as Borrower</w:t>
            </w:r>
          </w:p>
        </w:tc>
        <w:tc>
          <w:tcPr>
            <w:tcW w:w="20" w:type="dxa"/>
            <w:vAlign w:val="bottom"/>
          </w:tcPr>
          <w:p>
            <w:pPr>
              <w:spacing w:after="0"/>
              <w:rPr>
                <w:sz w:val="23"/>
                <w:szCs w:val="23"/>
                <w:color w:val="auto"/>
              </w:rPr>
            </w:pPr>
          </w:p>
        </w:tc>
      </w:tr>
      <w:tr>
        <w:trPr>
          <w:trHeight w:val="486"/>
        </w:trPr>
        <w:tc>
          <w:tcPr>
            <w:tcW w:w="5420" w:type="dxa"/>
            <w:vAlign w:val="bottom"/>
            <w:gridSpan w:val="2"/>
          </w:tcPr>
          <w:p>
            <w:pPr>
              <w:spacing w:after="0"/>
              <w:rPr>
                <w:sz w:val="20"/>
                <w:szCs w:val="20"/>
                <w:color w:val="auto"/>
              </w:rPr>
            </w:pPr>
            <w:r>
              <w:rPr>
                <w:rFonts w:ascii="Arial" w:cs="Arial" w:eastAsia="Arial" w:hAnsi="Arial"/>
                <w:sz w:val="22"/>
                <w:szCs w:val="22"/>
                <w:color w:val="auto"/>
              </w:rPr>
              <w:t>By:</w:t>
            </w:r>
          </w:p>
        </w:tc>
        <w:tc>
          <w:tcPr>
            <w:tcW w:w="5820" w:type="dxa"/>
            <w:vAlign w:val="bottom"/>
            <w:gridSpan w:val="2"/>
          </w:tcPr>
          <w:p>
            <w:pPr>
              <w:ind w:left="440"/>
              <w:spacing w:after="0"/>
              <w:rPr>
                <w:sz w:val="20"/>
                <w:szCs w:val="20"/>
                <w:color w:val="auto"/>
              </w:rPr>
            </w:pPr>
            <w:r>
              <w:rPr>
                <w:rFonts w:ascii="Arial" w:cs="Arial" w:eastAsia="Arial" w:hAnsi="Arial"/>
                <w:sz w:val="22"/>
                <w:szCs w:val="22"/>
                <w:color w:val="auto"/>
              </w:rPr>
              <w:t>By:</w:t>
            </w:r>
          </w:p>
        </w:tc>
        <w:tc>
          <w:tcPr>
            <w:tcW w:w="20" w:type="dxa"/>
            <w:vAlign w:val="bottom"/>
          </w:tcPr>
          <w:p>
            <w:pPr>
              <w:spacing w:after="0"/>
              <w:rPr>
                <w:sz w:val="24"/>
                <w:szCs w:val="24"/>
                <w:color w:val="auto"/>
              </w:rPr>
            </w:pPr>
          </w:p>
        </w:tc>
      </w:tr>
      <w:tr>
        <w:trPr>
          <w:trHeight w:val="219"/>
        </w:trPr>
        <w:tc>
          <w:tcPr>
            <w:tcW w:w="380" w:type="dxa"/>
            <w:vAlign w:val="bottom"/>
          </w:tcPr>
          <w:p>
            <w:pPr>
              <w:spacing w:after="0"/>
              <w:rPr>
                <w:sz w:val="19"/>
                <w:szCs w:val="19"/>
                <w:color w:val="auto"/>
              </w:rPr>
            </w:pPr>
          </w:p>
        </w:tc>
        <w:tc>
          <w:tcPr>
            <w:tcW w:w="5040" w:type="dxa"/>
            <w:vAlign w:val="bottom"/>
            <w:tcBorders>
              <w:top w:val="single" w:sz="8" w:color="auto"/>
            </w:tcBorders>
          </w:tcPr>
          <w:p>
            <w:pPr>
              <w:spacing w:after="0" w:line="219" w:lineRule="exact"/>
              <w:rPr>
                <w:sz w:val="20"/>
                <w:szCs w:val="20"/>
                <w:color w:val="auto"/>
              </w:rPr>
            </w:pPr>
            <w:r>
              <w:rPr>
                <w:rFonts w:ascii="Arial" w:cs="Arial" w:eastAsia="Arial" w:hAnsi="Arial"/>
                <w:sz w:val="22"/>
                <w:szCs w:val="22"/>
                <w:color w:val="auto"/>
              </w:rPr>
              <w:t>Name:</w:t>
            </w:r>
          </w:p>
        </w:tc>
        <w:tc>
          <w:tcPr>
            <w:tcW w:w="800" w:type="dxa"/>
            <w:vAlign w:val="bottom"/>
          </w:tcPr>
          <w:p>
            <w:pPr>
              <w:spacing w:after="0"/>
              <w:rPr>
                <w:sz w:val="19"/>
                <w:szCs w:val="19"/>
                <w:color w:val="auto"/>
              </w:rPr>
            </w:pPr>
          </w:p>
        </w:tc>
        <w:tc>
          <w:tcPr>
            <w:tcW w:w="5020" w:type="dxa"/>
            <w:vAlign w:val="bottom"/>
            <w:tcBorders>
              <w:top w:val="single" w:sz="8" w:color="auto"/>
            </w:tcBorders>
          </w:tcPr>
          <w:p>
            <w:pPr>
              <w:spacing w:after="0" w:line="219" w:lineRule="exact"/>
              <w:rPr>
                <w:sz w:val="20"/>
                <w:szCs w:val="20"/>
                <w:color w:val="auto"/>
              </w:rPr>
            </w:pPr>
            <w:r>
              <w:rPr>
                <w:rFonts w:ascii="Arial" w:cs="Arial" w:eastAsia="Arial" w:hAnsi="Arial"/>
                <w:sz w:val="22"/>
                <w:szCs w:val="22"/>
                <w:color w:val="auto"/>
              </w:rPr>
              <w:t>Name:</w:t>
            </w:r>
          </w:p>
        </w:tc>
        <w:tc>
          <w:tcPr>
            <w:tcW w:w="20" w:type="dxa"/>
            <w:vAlign w:val="bottom"/>
          </w:tcPr>
          <w:p>
            <w:pPr>
              <w:spacing w:after="0"/>
              <w:rPr>
                <w:sz w:val="19"/>
                <w:szCs w:val="19"/>
                <w:color w:val="auto"/>
              </w:rPr>
            </w:pPr>
          </w:p>
        </w:tc>
      </w:tr>
      <w:tr>
        <w:trPr>
          <w:trHeight w:val="274"/>
        </w:trPr>
        <w:tc>
          <w:tcPr>
            <w:tcW w:w="380" w:type="dxa"/>
            <w:vAlign w:val="bottom"/>
          </w:tcPr>
          <w:p>
            <w:pPr>
              <w:spacing w:after="0"/>
              <w:rPr>
                <w:sz w:val="23"/>
                <w:szCs w:val="23"/>
                <w:color w:val="auto"/>
              </w:rPr>
            </w:pPr>
          </w:p>
        </w:tc>
        <w:tc>
          <w:tcPr>
            <w:tcW w:w="5040" w:type="dxa"/>
            <w:vAlign w:val="bottom"/>
          </w:tcPr>
          <w:p>
            <w:pPr>
              <w:spacing w:after="0"/>
              <w:rPr>
                <w:sz w:val="20"/>
                <w:szCs w:val="20"/>
                <w:color w:val="auto"/>
              </w:rPr>
            </w:pPr>
            <w:r>
              <w:rPr>
                <w:rFonts w:ascii="Arial" w:cs="Arial" w:eastAsia="Arial" w:hAnsi="Arial"/>
                <w:sz w:val="22"/>
                <w:szCs w:val="22"/>
                <w:color w:val="auto"/>
              </w:rPr>
              <w:t>Title:</w:t>
            </w:r>
          </w:p>
        </w:tc>
        <w:tc>
          <w:tcPr>
            <w:tcW w:w="800" w:type="dxa"/>
            <w:vAlign w:val="bottom"/>
          </w:tcPr>
          <w:p>
            <w:pPr>
              <w:spacing w:after="0"/>
              <w:rPr>
                <w:sz w:val="23"/>
                <w:szCs w:val="23"/>
                <w:color w:val="auto"/>
              </w:rPr>
            </w:pPr>
          </w:p>
        </w:tc>
        <w:tc>
          <w:tcPr>
            <w:tcW w:w="5020" w:type="dxa"/>
            <w:vAlign w:val="bottom"/>
          </w:tcPr>
          <w:p>
            <w:pPr>
              <w:spacing w:after="0"/>
              <w:rPr>
                <w:sz w:val="20"/>
                <w:szCs w:val="20"/>
                <w:color w:val="auto"/>
              </w:rPr>
            </w:pPr>
            <w:r>
              <w:rPr>
                <w:rFonts w:ascii="Arial" w:cs="Arial" w:eastAsia="Arial" w:hAnsi="Arial"/>
                <w:sz w:val="22"/>
                <w:szCs w:val="22"/>
                <w:color w:val="auto"/>
              </w:rPr>
              <w:t>Title:</w:t>
            </w:r>
          </w:p>
        </w:tc>
        <w:tc>
          <w:tcPr>
            <w:tcW w:w="20" w:type="dxa"/>
            <w:vAlign w:val="bottom"/>
          </w:tcPr>
          <w:p>
            <w:pPr>
              <w:spacing w:after="0"/>
              <w:rPr>
                <w:sz w:val="23"/>
                <w:szCs w:val="23"/>
                <w:color w:val="auto"/>
              </w:rPr>
            </w:pPr>
          </w:p>
        </w:tc>
      </w:tr>
      <w:tr>
        <w:trPr>
          <w:trHeight w:val="455"/>
        </w:trPr>
        <w:tc>
          <w:tcPr>
            <w:tcW w:w="5420" w:type="dxa"/>
            <w:vAlign w:val="bottom"/>
            <w:gridSpan w:val="2"/>
          </w:tcPr>
          <w:p>
            <w:pPr>
              <w:spacing w:after="0"/>
              <w:rPr>
                <w:sz w:val="20"/>
                <w:szCs w:val="20"/>
                <w:color w:val="auto"/>
              </w:rPr>
            </w:pPr>
            <w:r>
              <w:rPr>
                <w:rFonts w:ascii="Arial" w:cs="Arial" w:eastAsia="Arial" w:hAnsi="Arial"/>
                <w:sz w:val="22"/>
                <w:szCs w:val="22"/>
                <w:color w:val="auto"/>
              </w:rPr>
              <w:t>SEACOR COURAGEOUS LLC,</w:t>
            </w:r>
          </w:p>
        </w:tc>
        <w:tc>
          <w:tcPr>
            <w:tcW w:w="5820" w:type="dxa"/>
            <w:vAlign w:val="bottom"/>
            <w:gridSpan w:val="2"/>
          </w:tcPr>
          <w:p>
            <w:pPr>
              <w:ind w:left="440"/>
              <w:spacing w:after="0"/>
              <w:rPr>
                <w:sz w:val="20"/>
                <w:szCs w:val="20"/>
                <w:color w:val="auto"/>
              </w:rPr>
            </w:pPr>
            <w:r>
              <w:rPr>
                <w:rFonts w:ascii="Arial" w:cs="Arial" w:eastAsia="Arial" w:hAnsi="Arial"/>
                <w:sz w:val="22"/>
                <w:szCs w:val="22"/>
                <w:color w:val="auto"/>
              </w:rPr>
              <w:t>SEACOR FEARLESS LLC,</w:t>
            </w:r>
          </w:p>
        </w:tc>
        <w:tc>
          <w:tcPr>
            <w:tcW w:w="20" w:type="dxa"/>
            <w:vAlign w:val="bottom"/>
          </w:tcPr>
          <w:p>
            <w:pPr>
              <w:spacing w:after="0"/>
              <w:rPr>
                <w:sz w:val="24"/>
                <w:szCs w:val="24"/>
                <w:color w:val="auto"/>
              </w:rPr>
            </w:pPr>
          </w:p>
        </w:tc>
      </w:tr>
      <w:tr>
        <w:trPr>
          <w:trHeight w:val="274"/>
        </w:trPr>
        <w:tc>
          <w:tcPr>
            <w:tcW w:w="5420" w:type="dxa"/>
            <w:vAlign w:val="bottom"/>
            <w:gridSpan w:val="2"/>
          </w:tcPr>
          <w:p>
            <w:pPr>
              <w:spacing w:after="0"/>
              <w:rPr>
                <w:sz w:val="20"/>
                <w:szCs w:val="20"/>
                <w:color w:val="auto"/>
              </w:rPr>
            </w:pPr>
            <w:r>
              <w:rPr>
                <w:rFonts w:ascii="Arial" w:cs="Arial" w:eastAsia="Arial" w:hAnsi="Arial"/>
                <w:sz w:val="22"/>
                <w:szCs w:val="22"/>
                <w:color w:val="auto"/>
              </w:rPr>
              <w:t>as Borrower</w:t>
            </w:r>
          </w:p>
        </w:tc>
        <w:tc>
          <w:tcPr>
            <w:tcW w:w="5820" w:type="dxa"/>
            <w:vAlign w:val="bottom"/>
            <w:gridSpan w:val="2"/>
          </w:tcPr>
          <w:p>
            <w:pPr>
              <w:ind w:left="440"/>
              <w:spacing w:after="0"/>
              <w:rPr>
                <w:sz w:val="20"/>
                <w:szCs w:val="20"/>
                <w:color w:val="auto"/>
              </w:rPr>
            </w:pPr>
            <w:r>
              <w:rPr>
                <w:rFonts w:ascii="Arial" w:cs="Arial" w:eastAsia="Arial" w:hAnsi="Arial"/>
                <w:sz w:val="22"/>
                <w:szCs w:val="22"/>
                <w:color w:val="auto"/>
              </w:rPr>
              <w:t>as Borrower</w:t>
            </w:r>
          </w:p>
        </w:tc>
        <w:tc>
          <w:tcPr>
            <w:tcW w:w="20" w:type="dxa"/>
            <w:vAlign w:val="bottom"/>
          </w:tcPr>
          <w:p>
            <w:pPr>
              <w:spacing w:after="0"/>
              <w:rPr>
                <w:sz w:val="23"/>
                <w:szCs w:val="23"/>
                <w:color w:val="auto"/>
              </w:rPr>
            </w:pPr>
          </w:p>
        </w:tc>
      </w:tr>
      <w:tr>
        <w:trPr>
          <w:trHeight w:val="488"/>
        </w:trPr>
        <w:tc>
          <w:tcPr>
            <w:tcW w:w="5420" w:type="dxa"/>
            <w:vAlign w:val="bottom"/>
            <w:gridSpan w:val="2"/>
          </w:tcPr>
          <w:p>
            <w:pPr>
              <w:spacing w:after="0"/>
              <w:rPr>
                <w:sz w:val="20"/>
                <w:szCs w:val="20"/>
                <w:color w:val="auto"/>
              </w:rPr>
            </w:pPr>
            <w:r>
              <w:rPr>
                <w:rFonts w:ascii="Arial" w:cs="Arial" w:eastAsia="Arial" w:hAnsi="Arial"/>
                <w:sz w:val="22"/>
                <w:szCs w:val="22"/>
                <w:color w:val="auto"/>
              </w:rPr>
              <w:t>By:</w:t>
            </w:r>
          </w:p>
        </w:tc>
        <w:tc>
          <w:tcPr>
            <w:tcW w:w="5820" w:type="dxa"/>
            <w:vAlign w:val="bottom"/>
            <w:gridSpan w:val="2"/>
          </w:tcPr>
          <w:p>
            <w:pPr>
              <w:ind w:left="440"/>
              <w:spacing w:after="0"/>
              <w:rPr>
                <w:sz w:val="20"/>
                <w:szCs w:val="20"/>
                <w:color w:val="auto"/>
              </w:rPr>
            </w:pPr>
            <w:r>
              <w:rPr>
                <w:rFonts w:ascii="Arial" w:cs="Arial" w:eastAsia="Arial" w:hAnsi="Arial"/>
                <w:sz w:val="22"/>
                <w:szCs w:val="22"/>
                <w:color w:val="auto"/>
              </w:rPr>
              <w:t>By:</w:t>
            </w:r>
          </w:p>
        </w:tc>
        <w:tc>
          <w:tcPr>
            <w:tcW w:w="20" w:type="dxa"/>
            <w:vAlign w:val="bottom"/>
          </w:tcPr>
          <w:p>
            <w:pPr>
              <w:spacing w:after="0"/>
              <w:rPr>
                <w:sz w:val="24"/>
                <w:szCs w:val="24"/>
                <w:color w:val="auto"/>
              </w:rPr>
            </w:pPr>
          </w:p>
        </w:tc>
      </w:tr>
      <w:tr>
        <w:trPr>
          <w:trHeight w:val="217"/>
        </w:trPr>
        <w:tc>
          <w:tcPr>
            <w:tcW w:w="380" w:type="dxa"/>
            <w:vAlign w:val="bottom"/>
          </w:tcPr>
          <w:p>
            <w:pPr>
              <w:spacing w:after="0"/>
              <w:rPr>
                <w:sz w:val="18"/>
                <w:szCs w:val="18"/>
                <w:color w:val="auto"/>
              </w:rPr>
            </w:pPr>
          </w:p>
        </w:tc>
        <w:tc>
          <w:tcPr>
            <w:tcW w:w="5040" w:type="dxa"/>
            <w:vAlign w:val="bottom"/>
            <w:tcBorders>
              <w:top w:val="single" w:sz="8" w:color="auto"/>
            </w:tcBorders>
          </w:tcPr>
          <w:p>
            <w:pPr>
              <w:spacing w:after="0" w:line="217" w:lineRule="exact"/>
              <w:rPr>
                <w:sz w:val="20"/>
                <w:szCs w:val="20"/>
                <w:color w:val="auto"/>
              </w:rPr>
            </w:pPr>
            <w:r>
              <w:rPr>
                <w:rFonts w:ascii="Arial" w:cs="Arial" w:eastAsia="Arial" w:hAnsi="Arial"/>
                <w:sz w:val="22"/>
                <w:szCs w:val="22"/>
                <w:color w:val="auto"/>
              </w:rPr>
              <w:t>Name:</w:t>
            </w:r>
          </w:p>
        </w:tc>
        <w:tc>
          <w:tcPr>
            <w:tcW w:w="800" w:type="dxa"/>
            <w:vAlign w:val="bottom"/>
          </w:tcPr>
          <w:p>
            <w:pPr>
              <w:spacing w:after="0"/>
              <w:rPr>
                <w:sz w:val="18"/>
                <w:szCs w:val="18"/>
                <w:color w:val="auto"/>
              </w:rPr>
            </w:pPr>
          </w:p>
        </w:tc>
        <w:tc>
          <w:tcPr>
            <w:tcW w:w="5020" w:type="dxa"/>
            <w:vAlign w:val="bottom"/>
            <w:tcBorders>
              <w:top w:val="single" w:sz="8" w:color="auto"/>
            </w:tcBorders>
          </w:tcPr>
          <w:p>
            <w:pPr>
              <w:spacing w:after="0" w:line="217" w:lineRule="exact"/>
              <w:rPr>
                <w:sz w:val="20"/>
                <w:szCs w:val="20"/>
                <w:color w:val="auto"/>
              </w:rPr>
            </w:pPr>
            <w:r>
              <w:rPr>
                <w:rFonts w:ascii="Arial" w:cs="Arial" w:eastAsia="Arial" w:hAnsi="Arial"/>
                <w:sz w:val="22"/>
                <w:szCs w:val="22"/>
                <w:color w:val="auto"/>
              </w:rPr>
              <w:t>Name:</w:t>
            </w:r>
          </w:p>
        </w:tc>
        <w:tc>
          <w:tcPr>
            <w:tcW w:w="20" w:type="dxa"/>
            <w:vAlign w:val="bottom"/>
          </w:tcPr>
          <w:p>
            <w:pPr>
              <w:spacing w:after="0"/>
              <w:rPr>
                <w:sz w:val="18"/>
                <w:szCs w:val="18"/>
                <w:color w:val="auto"/>
              </w:rPr>
            </w:pPr>
          </w:p>
        </w:tc>
      </w:tr>
      <w:tr>
        <w:trPr>
          <w:trHeight w:val="274"/>
        </w:trPr>
        <w:tc>
          <w:tcPr>
            <w:tcW w:w="380" w:type="dxa"/>
            <w:vAlign w:val="bottom"/>
          </w:tcPr>
          <w:p>
            <w:pPr>
              <w:spacing w:after="0"/>
              <w:rPr>
                <w:sz w:val="23"/>
                <w:szCs w:val="23"/>
                <w:color w:val="auto"/>
              </w:rPr>
            </w:pPr>
          </w:p>
        </w:tc>
        <w:tc>
          <w:tcPr>
            <w:tcW w:w="5040" w:type="dxa"/>
            <w:vAlign w:val="bottom"/>
          </w:tcPr>
          <w:p>
            <w:pPr>
              <w:spacing w:after="0"/>
              <w:rPr>
                <w:sz w:val="20"/>
                <w:szCs w:val="20"/>
                <w:color w:val="auto"/>
              </w:rPr>
            </w:pPr>
            <w:r>
              <w:rPr>
                <w:rFonts w:ascii="Arial" w:cs="Arial" w:eastAsia="Arial" w:hAnsi="Arial"/>
                <w:sz w:val="22"/>
                <w:szCs w:val="22"/>
                <w:color w:val="auto"/>
              </w:rPr>
              <w:t>Title:</w:t>
            </w:r>
          </w:p>
        </w:tc>
        <w:tc>
          <w:tcPr>
            <w:tcW w:w="800" w:type="dxa"/>
            <w:vAlign w:val="bottom"/>
          </w:tcPr>
          <w:p>
            <w:pPr>
              <w:spacing w:after="0"/>
              <w:rPr>
                <w:sz w:val="23"/>
                <w:szCs w:val="23"/>
                <w:color w:val="auto"/>
              </w:rPr>
            </w:pPr>
          </w:p>
        </w:tc>
        <w:tc>
          <w:tcPr>
            <w:tcW w:w="5020" w:type="dxa"/>
            <w:vAlign w:val="bottom"/>
          </w:tcPr>
          <w:p>
            <w:pPr>
              <w:spacing w:after="0"/>
              <w:rPr>
                <w:sz w:val="20"/>
                <w:szCs w:val="20"/>
                <w:color w:val="auto"/>
              </w:rPr>
            </w:pPr>
            <w:r>
              <w:rPr>
                <w:rFonts w:ascii="Arial" w:cs="Arial" w:eastAsia="Arial" w:hAnsi="Arial"/>
                <w:sz w:val="22"/>
                <w:szCs w:val="22"/>
                <w:color w:val="auto"/>
              </w:rPr>
              <w:t>Title:</w:t>
            </w:r>
          </w:p>
        </w:tc>
        <w:tc>
          <w:tcPr>
            <w:tcW w:w="20" w:type="dxa"/>
            <w:vAlign w:val="bottom"/>
          </w:tcPr>
          <w:p>
            <w:pPr>
              <w:spacing w:after="0"/>
              <w:rPr>
                <w:sz w:val="23"/>
                <w:szCs w:val="23"/>
                <w:color w:val="auto"/>
              </w:rPr>
            </w:pPr>
          </w:p>
        </w:tc>
      </w:tr>
      <w:tr>
        <w:trPr>
          <w:trHeight w:val="455"/>
        </w:trPr>
        <w:tc>
          <w:tcPr>
            <w:tcW w:w="5420" w:type="dxa"/>
            <w:vAlign w:val="bottom"/>
            <w:gridSpan w:val="2"/>
          </w:tcPr>
          <w:p>
            <w:pPr>
              <w:spacing w:after="0"/>
              <w:rPr>
                <w:sz w:val="20"/>
                <w:szCs w:val="20"/>
                <w:color w:val="auto"/>
              </w:rPr>
            </w:pPr>
            <w:r>
              <w:rPr>
                <w:rFonts w:ascii="Arial" w:cs="Arial" w:eastAsia="Arial" w:hAnsi="Arial"/>
                <w:sz w:val="22"/>
                <w:szCs w:val="22"/>
                <w:color w:val="auto"/>
              </w:rPr>
              <w:t>SEACOR RESOLUTE LLC,</w:t>
            </w:r>
          </w:p>
        </w:tc>
        <w:tc>
          <w:tcPr>
            <w:tcW w:w="8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4"/>
        </w:trPr>
        <w:tc>
          <w:tcPr>
            <w:tcW w:w="5420" w:type="dxa"/>
            <w:vAlign w:val="bottom"/>
            <w:gridSpan w:val="2"/>
          </w:tcPr>
          <w:p>
            <w:pPr>
              <w:spacing w:after="0"/>
              <w:rPr>
                <w:sz w:val="20"/>
                <w:szCs w:val="20"/>
                <w:color w:val="auto"/>
              </w:rPr>
            </w:pPr>
            <w:r>
              <w:rPr>
                <w:rFonts w:ascii="Arial" w:cs="Arial" w:eastAsia="Arial" w:hAnsi="Arial"/>
                <w:sz w:val="22"/>
                <w:szCs w:val="22"/>
                <w:color w:val="auto"/>
              </w:rPr>
              <w:t>as Borrower</w:t>
            </w:r>
          </w:p>
        </w:tc>
        <w:tc>
          <w:tcPr>
            <w:tcW w:w="80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88"/>
        </w:trPr>
        <w:tc>
          <w:tcPr>
            <w:tcW w:w="5420" w:type="dxa"/>
            <w:vAlign w:val="bottom"/>
            <w:gridSpan w:val="2"/>
          </w:tcPr>
          <w:p>
            <w:pPr>
              <w:spacing w:after="0"/>
              <w:rPr>
                <w:sz w:val="20"/>
                <w:szCs w:val="20"/>
                <w:color w:val="auto"/>
              </w:rPr>
            </w:pPr>
            <w:r>
              <w:rPr>
                <w:rFonts w:ascii="Arial" w:cs="Arial" w:eastAsia="Arial" w:hAnsi="Arial"/>
                <w:sz w:val="22"/>
                <w:szCs w:val="22"/>
                <w:color w:val="auto"/>
              </w:rPr>
              <w:t>By:</w:t>
            </w:r>
          </w:p>
        </w:tc>
        <w:tc>
          <w:tcPr>
            <w:tcW w:w="8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380" w:type="dxa"/>
            <w:vAlign w:val="bottom"/>
          </w:tcPr>
          <w:p>
            <w:pPr>
              <w:spacing w:after="0"/>
              <w:rPr>
                <w:sz w:val="18"/>
                <w:szCs w:val="18"/>
                <w:color w:val="auto"/>
              </w:rPr>
            </w:pPr>
          </w:p>
        </w:tc>
        <w:tc>
          <w:tcPr>
            <w:tcW w:w="5040" w:type="dxa"/>
            <w:vAlign w:val="bottom"/>
            <w:tcBorders>
              <w:top w:val="single" w:sz="8" w:color="auto"/>
            </w:tcBorders>
          </w:tcPr>
          <w:p>
            <w:pPr>
              <w:spacing w:after="0" w:line="217" w:lineRule="exact"/>
              <w:rPr>
                <w:sz w:val="20"/>
                <w:szCs w:val="20"/>
                <w:color w:val="auto"/>
              </w:rPr>
            </w:pPr>
            <w:r>
              <w:rPr>
                <w:rFonts w:ascii="Arial" w:cs="Arial" w:eastAsia="Arial" w:hAnsi="Arial"/>
                <w:sz w:val="22"/>
                <w:szCs w:val="22"/>
                <w:color w:val="auto"/>
              </w:rPr>
              <w:t>Name:</w:t>
            </w:r>
          </w:p>
        </w:tc>
        <w:tc>
          <w:tcPr>
            <w:tcW w:w="8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74"/>
        </w:trPr>
        <w:tc>
          <w:tcPr>
            <w:tcW w:w="380" w:type="dxa"/>
            <w:vAlign w:val="bottom"/>
          </w:tcPr>
          <w:p>
            <w:pPr>
              <w:spacing w:after="0"/>
              <w:rPr>
                <w:sz w:val="23"/>
                <w:szCs w:val="23"/>
                <w:color w:val="auto"/>
              </w:rPr>
            </w:pPr>
          </w:p>
        </w:tc>
        <w:tc>
          <w:tcPr>
            <w:tcW w:w="5040" w:type="dxa"/>
            <w:vAlign w:val="bottom"/>
          </w:tcPr>
          <w:p>
            <w:pPr>
              <w:spacing w:after="0"/>
              <w:rPr>
                <w:sz w:val="20"/>
                <w:szCs w:val="20"/>
                <w:color w:val="auto"/>
              </w:rPr>
            </w:pPr>
            <w:r>
              <w:rPr>
                <w:rFonts w:ascii="Arial" w:cs="Arial" w:eastAsia="Arial" w:hAnsi="Arial"/>
                <w:sz w:val="22"/>
                <w:szCs w:val="22"/>
                <w:color w:val="auto"/>
              </w:rPr>
              <w:t>Title:</w:t>
            </w:r>
          </w:p>
        </w:tc>
        <w:tc>
          <w:tcPr>
            <w:tcW w:w="80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983"/>
        </w:trPr>
        <w:tc>
          <w:tcPr>
            <w:tcW w:w="38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7" w:right="319" w:bottom="1440" w:gutter="0" w:footer="0" w:header="0"/>
        </w:sectPr>
      </w:pPr>
    </w:p>
    <w:bookmarkStart w:id="216" w:name="page217"/>
    <w:bookmarkEnd w:id="216"/>
    <w:p>
      <w:pPr>
        <w:jc w:val="center"/>
        <w:ind w:right="120"/>
        <w:spacing w:after="0"/>
        <w:rPr>
          <w:sz w:val="20"/>
          <w:szCs w:val="20"/>
          <w:color w:val="auto"/>
        </w:rPr>
      </w:pPr>
      <w:r>
        <w:rPr>
          <w:rFonts w:ascii="Arial" w:cs="Arial" w:eastAsia="Arial" w:hAnsi="Arial"/>
          <w:sz w:val="21"/>
          <w:szCs w:val="21"/>
          <w:b w:val="1"/>
          <w:bCs w:val="1"/>
          <w:u w:val="single" w:color="auto"/>
          <w:color w:val="auto"/>
        </w:rPr>
        <w:t>ADVANCES PAYMENTS OF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-144145</wp:posOffset>
            </wp:positionV>
            <wp:extent cx="5958205" cy="62153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0">
                      <a:extLst>
                        <a:ext uri="{28A0092B-C50C-407E-A947-70E740481C1C}"/>
                      </a:extLst>
                    </a:blip>
                    <a:srcRect/>
                    <a:stretch>
                      <a:fillRect/>
                    </a:stretch>
                  </pic:blipFill>
                  <pic:spPr bwMode="auto">
                    <a:xfrm>
                      <a:off x="0" y="0"/>
                      <a:ext cx="5958205" cy="6215380"/>
                    </a:xfrm>
                    <a:prstGeom prst="rect">
                      <a:avLst/>
                    </a:prstGeom>
                    <a:noFill/>
                  </pic:spPr>
                </pic:pic>
              </a:graphicData>
            </a:graphic>
          </wp:anchor>
        </w:drawing>
      </w:r>
    </w:p>
    <w:p>
      <w:pPr>
        <w:sectPr>
          <w:pgSz w:w="11900" w:h="16838" w:orient="portrait"/>
          <w:cols w:equalWidth="0" w:num="1">
            <w:col w:w="9140"/>
          </w:cols>
          <w:pgMar w:left="1440" w:top="585" w:right="131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40"/>
        <w:spacing w:after="0"/>
        <w:tabs>
          <w:tab w:leader="none" w:pos="820" w:val="left"/>
          <w:tab w:leader="none" w:pos="1760" w:val="left"/>
          <w:tab w:leader="none" w:pos="3760" w:val="left"/>
          <w:tab w:leader="none" w:pos="6060" w:val="left"/>
        </w:tabs>
        <w:rPr>
          <w:sz w:val="20"/>
          <w:szCs w:val="20"/>
          <w:color w:val="auto"/>
        </w:rPr>
      </w:pP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Tranche</w:t>
        <w:tab/>
        <w:t>Amount of Advance</w:t>
        <w:tab/>
        <w:t>Amount of Principal</w:t>
      </w:r>
      <w:r>
        <w:rPr>
          <w:sz w:val="20"/>
          <w:szCs w:val="20"/>
          <w:color w:val="auto"/>
        </w:rPr>
        <w:tab/>
      </w:r>
      <w:r>
        <w:rPr>
          <w:rFonts w:ascii="Arial" w:cs="Arial" w:eastAsia="Arial" w:hAnsi="Arial"/>
          <w:sz w:val="19"/>
          <w:szCs w:val="19"/>
          <w:b w:val="1"/>
          <w:bCs w:val="1"/>
          <w:color w:val="auto"/>
        </w:rPr>
        <w:t>Unpaid Principal Notation Made</w:t>
      </w:r>
    </w:p>
    <w:p>
      <w:pPr>
        <w:spacing w:after="0" w:line="14" w:lineRule="exact"/>
        <w:rPr>
          <w:sz w:val="20"/>
          <w:szCs w:val="20"/>
          <w:color w:val="auto"/>
        </w:rPr>
      </w:pPr>
    </w:p>
    <w:p>
      <w:pPr>
        <w:ind w:left="4060"/>
        <w:spacing w:after="0"/>
        <w:tabs>
          <w:tab w:leader="none" w:pos="6560" w:val="left"/>
          <w:tab w:leader="none" w:pos="8320" w:val="left"/>
        </w:tabs>
        <w:rPr>
          <w:sz w:val="20"/>
          <w:szCs w:val="20"/>
          <w:color w:val="auto"/>
        </w:rPr>
      </w:pPr>
      <w:r>
        <w:rPr>
          <w:rFonts w:ascii="Arial" w:cs="Arial" w:eastAsia="Arial" w:hAnsi="Arial"/>
          <w:sz w:val="22"/>
          <w:szCs w:val="22"/>
          <w:b w:val="1"/>
          <w:bCs w:val="1"/>
          <w:color w:val="auto"/>
        </w:rPr>
        <w:t>aid or Prepaid</w:t>
      </w:r>
      <w:r>
        <w:rPr>
          <w:sz w:val="20"/>
          <w:szCs w:val="20"/>
          <w:color w:val="auto"/>
        </w:rPr>
        <w:tab/>
      </w:r>
      <w:r>
        <w:rPr>
          <w:rFonts w:ascii="Arial" w:cs="Arial" w:eastAsia="Arial" w:hAnsi="Arial"/>
          <w:sz w:val="22"/>
          <w:szCs w:val="22"/>
          <w:b w:val="1"/>
          <w:bCs w:val="1"/>
          <w:color w:val="auto"/>
        </w:rPr>
        <w:t>alance</w:t>
      </w:r>
      <w:r>
        <w:rPr>
          <w:sz w:val="20"/>
          <w:szCs w:val="20"/>
          <w:color w:val="auto"/>
        </w:rPr>
        <w:tab/>
      </w:r>
      <w:r>
        <w:rPr>
          <w:rFonts w:ascii="Arial" w:cs="Arial" w:eastAsia="Arial" w:hAnsi="Arial"/>
          <w:sz w:val="19"/>
          <w:szCs w:val="19"/>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6043930</wp:posOffset>
            </wp:positionV>
            <wp:extent cx="71748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140"/>
          </w:cols>
          <w:pgMar w:left="1440" w:top="585" w:right="1319" w:bottom="1440" w:gutter="0" w:footer="0" w:header="0"/>
          <w:type w:val="continuous"/>
        </w:sectPr>
      </w:pPr>
    </w:p>
    <w:bookmarkStart w:id="217" w:name="page218"/>
    <w:bookmarkEnd w:id="217"/>
    <w:p>
      <w:pPr>
        <w:jc w:val="right"/>
        <w:spacing w:after="0"/>
        <w:rPr>
          <w:sz w:val="20"/>
          <w:szCs w:val="20"/>
          <w:color w:val="auto"/>
        </w:rPr>
      </w:pPr>
      <w:r>
        <w:rPr>
          <w:rFonts w:ascii="Arial" w:cs="Arial" w:eastAsia="Arial" w:hAnsi="Arial"/>
          <w:sz w:val="20"/>
          <w:szCs w:val="20"/>
          <w:b w:val="1"/>
          <w:bCs w:val="1"/>
          <w:color w:val="auto"/>
        </w:rPr>
        <w:t>Annex D</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Exhibit C</w:t>
      </w:r>
    </w:p>
    <w:p>
      <w:pPr>
        <w:spacing w:after="0" w:line="243" w:lineRule="exact"/>
        <w:rPr>
          <w:sz w:val="20"/>
          <w:szCs w:val="20"/>
          <w:color w:val="auto"/>
        </w:rPr>
      </w:pPr>
    </w:p>
    <w:p>
      <w:pPr>
        <w:ind w:left="3160"/>
        <w:spacing w:after="0"/>
        <w:rPr>
          <w:sz w:val="20"/>
          <w:szCs w:val="20"/>
          <w:color w:val="auto"/>
        </w:rPr>
      </w:pPr>
      <w:r>
        <w:rPr>
          <w:rFonts w:ascii="Arial" w:cs="Arial" w:eastAsia="Arial" w:hAnsi="Arial"/>
          <w:sz w:val="20"/>
          <w:szCs w:val="20"/>
          <w:b w:val="1"/>
          <w:bCs w:val="1"/>
          <w:color w:val="auto"/>
        </w:rPr>
        <w:t>Form of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490220</wp:posOffset>
            </wp:positionV>
            <wp:extent cx="71748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76"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22"/>
          <w:szCs w:val="22"/>
          <w:color w:val="auto"/>
        </w:rPr>
        <w:t>Annex D</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COMPLIANCE CERTIFICATE CERTIFICATE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SEACOR MARINE HOLDINGS INC. SEACOR OFFSHORE OSV LLC</w:t>
      </w:r>
    </w:p>
    <w:p>
      <w:pPr>
        <w:spacing w:after="0" w:line="215"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FOR THE PERIOD ENDED</w:t>
      </w:r>
    </w:p>
    <w:p>
      <w:pPr>
        <w:spacing w:after="0" w:line="139" w:lineRule="exact"/>
        <w:rPr>
          <w:sz w:val="20"/>
          <w:szCs w:val="20"/>
          <w:color w:val="auto"/>
        </w:rPr>
      </w:pPr>
    </w:p>
    <w:p>
      <w:pPr>
        <w:jc w:val="both"/>
        <w:ind w:firstLine="1561"/>
        <w:spacing w:after="0" w:line="272" w:lineRule="auto"/>
        <w:rPr>
          <w:sz w:val="20"/>
          <w:szCs w:val="20"/>
          <w:color w:val="auto"/>
        </w:rPr>
      </w:pPr>
      <w:r>
        <w:rPr>
          <w:rFonts w:ascii="Arial" w:cs="Arial" w:eastAsia="Arial" w:hAnsi="Arial"/>
          <w:sz w:val="19"/>
          <w:szCs w:val="19"/>
          <w:color w:val="auto"/>
        </w:rPr>
        <w:t>The undersigned, being the Chief Financial Officer of SEACOR MARINE HOLDINGS INC., a corporation organized and existing under the laws of the State of Delaware (the “</w:t>
      </w:r>
      <w:r>
        <w:rPr>
          <w:rFonts w:ascii="Arial" w:cs="Arial" w:eastAsia="Arial" w:hAnsi="Arial"/>
          <w:sz w:val="19"/>
          <w:szCs w:val="19"/>
          <w:b w:val="1"/>
          <w:bCs w:val="1"/>
          <w:color w:val="auto"/>
        </w:rPr>
        <w:t>Guarantor</w:t>
      </w:r>
      <w:r>
        <w:rPr>
          <w:rFonts w:ascii="Arial" w:cs="Arial" w:eastAsia="Arial" w:hAnsi="Arial"/>
          <w:sz w:val="19"/>
          <w:szCs w:val="19"/>
          <w:color w:val="auto"/>
        </w:rPr>
        <w:t>”), and SEACOR OFFFSHORE OSV LLC, a limited liability company formed under the laws of the State of Delaware (the “</w:t>
      </w:r>
      <w:r>
        <w:rPr>
          <w:rFonts w:ascii="Arial" w:cs="Arial" w:eastAsia="Arial" w:hAnsi="Arial"/>
          <w:sz w:val="19"/>
          <w:szCs w:val="19"/>
          <w:b w:val="1"/>
          <w:bCs w:val="1"/>
          <w:color w:val="auto"/>
        </w:rPr>
        <w:t>Holding Company</w:t>
      </w:r>
      <w:r>
        <w:rPr>
          <w:rFonts w:ascii="Arial" w:cs="Arial" w:eastAsia="Arial" w:hAnsi="Arial"/>
          <w:sz w:val="19"/>
          <w:szCs w:val="19"/>
          <w:color w:val="auto"/>
        </w:rPr>
        <w:t>”), hereby certifies, on behalf of the Guarantor and each of the Borrowers (as defined below), to DNB BANK ASA, NEW YORK BRANCH ("</w:t>
      </w:r>
      <w:r>
        <w:rPr>
          <w:rFonts w:ascii="Arial" w:cs="Arial" w:eastAsia="Arial" w:hAnsi="Arial"/>
          <w:sz w:val="19"/>
          <w:szCs w:val="19"/>
          <w:b w:val="1"/>
          <w:bCs w:val="1"/>
          <w:color w:val="auto"/>
        </w:rPr>
        <w:t>DNB</w:t>
      </w:r>
      <w:r>
        <w:rPr>
          <w:rFonts w:ascii="Arial" w:cs="Arial" w:eastAsia="Arial" w:hAnsi="Arial"/>
          <w:sz w:val="19"/>
          <w:szCs w:val="19"/>
          <w:color w:val="auto"/>
        </w:rPr>
        <w:t>"), as administrative agent for the Lenders, in connection with that certain second amended and restated credit agreement, dated as of December [ ], 2021 (as amended, and as may be further amended, restated, supplemented and modified from time to time, the "</w:t>
      </w:r>
      <w:r>
        <w:rPr>
          <w:rFonts w:ascii="Arial" w:cs="Arial" w:eastAsia="Arial" w:hAnsi="Arial"/>
          <w:sz w:val="19"/>
          <w:szCs w:val="19"/>
          <w:b w:val="1"/>
          <w:bCs w:val="1"/>
          <w:color w:val="auto"/>
        </w:rPr>
        <w:t>Credit Facility Agreement</w:t>
      </w:r>
      <w:r>
        <w:rPr>
          <w:rFonts w:ascii="Arial" w:cs="Arial" w:eastAsia="Arial" w:hAnsi="Arial"/>
          <w:sz w:val="19"/>
          <w:szCs w:val="19"/>
          <w:color w:val="auto"/>
        </w:rPr>
        <w:t>"), by and among, (1) the Holding Company, SEACOR BRAVE LLC, SEACOR CHIEF LLC, SEACOR COURAGEOUS LLC, SEACOR FEARLESS LLC, and SEACOR RESOLUTE LLC, as joint and several borrowers (the “</w:t>
      </w:r>
      <w:r>
        <w:rPr>
          <w:rFonts w:ascii="Arial" w:cs="Arial" w:eastAsia="Arial" w:hAnsi="Arial"/>
          <w:sz w:val="19"/>
          <w:szCs w:val="19"/>
          <w:b w:val="1"/>
          <w:bCs w:val="1"/>
          <w:color w:val="auto"/>
        </w:rPr>
        <w:t>Borrowers</w:t>
      </w:r>
      <w:r>
        <w:rPr>
          <w:rFonts w:ascii="Arial" w:cs="Arial" w:eastAsia="Arial" w:hAnsi="Arial"/>
          <w:sz w:val="19"/>
          <w:szCs w:val="19"/>
          <w:color w:val="auto"/>
        </w:rPr>
        <w:t>”), (2) the banks and financial institutions listed on Schedule I of the Credit Facility Agreement, as lenders (together with any bank or financial institution which becomes a Lender pursuant to Section 10 of the Credit Facility Agreement, the “</w:t>
      </w:r>
      <w:r>
        <w:rPr>
          <w:rFonts w:ascii="Arial" w:cs="Arial" w:eastAsia="Arial" w:hAnsi="Arial"/>
          <w:sz w:val="19"/>
          <w:szCs w:val="19"/>
          <w:b w:val="1"/>
          <w:bCs w:val="1"/>
          <w:color w:val="auto"/>
        </w:rPr>
        <w:t>Lenders</w:t>
      </w:r>
      <w:r>
        <w:rPr>
          <w:rFonts w:ascii="Arial" w:cs="Arial" w:eastAsia="Arial" w:hAnsi="Arial"/>
          <w:sz w:val="19"/>
          <w:szCs w:val="19"/>
          <w:color w:val="auto"/>
        </w:rPr>
        <w:t>”), (3) DNB MARKETS, INC., as bookrunner and mandated lead arranger, (4) DNB, as administrative agent and as security trustee and (5) COMERICA BANK, as facility agent,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-972185</wp:posOffset>
            </wp:positionV>
            <wp:extent cx="742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3">
                      <a:extLst>
                        <a:ext uri="{28A0092B-C50C-407E-A947-70E740481C1C}"/>
                      </a:extLst>
                    </a:blip>
                    <a:srcRect/>
                    <a:stretch>
                      <a:fillRect/>
                    </a:stretch>
                  </pic:blipFill>
                  <pic:spPr bwMode="auto">
                    <a:xfrm>
                      <a:off x="0" y="0"/>
                      <a:ext cx="74295" cy="8255"/>
                    </a:xfrm>
                    <a:prstGeom prst="rect">
                      <a:avLst/>
                    </a:prstGeom>
                    <a:noFill/>
                  </pic:spPr>
                </pic:pic>
              </a:graphicData>
            </a:graphic>
          </wp:anchor>
        </w:drawing>
      </w:r>
    </w:p>
    <w:p>
      <w:pPr>
        <w:spacing w:after="0" w:line="168" w:lineRule="exact"/>
        <w:rPr>
          <w:sz w:val="20"/>
          <w:szCs w:val="20"/>
          <w:color w:val="auto"/>
        </w:rPr>
      </w:pPr>
    </w:p>
    <w:p>
      <w:pPr>
        <w:ind w:left="2420" w:right="900" w:hanging="1076"/>
        <w:spacing w:after="0" w:line="239" w:lineRule="auto"/>
        <w:tabs>
          <w:tab w:leader="none" w:pos="242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that I have reviewed (a) the consolidated financial statements of the Guarantor dated as ofand for theperiod then ended and</w:t>
      </w:r>
    </w:p>
    <w:p>
      <w:pPr>
        <w:ind w:left="2440"/>
        <w:spacing w:after="0" w:line="230" w:lineRule="auto"/>
        <w:rPr>
          <w:sz w:val="20"/>
          <w:szCs w:val="20"/>
          <w:color w:val="auto"/>
        </w:rPr>
      </w:pPr>
      <w:r>
        <w:rPr>
          <w:rFonts w:ascii="Arial" w:cs="Arial" w:eastAsia="Arial" w:hAnsi="Arial"/>
          <w:sz w:val="22"/>
          <w:szCs w:val="22"/>
          <w:color w:val="auto"/>
        </w:rPr>
        <w:t>(b) the separate financial reports of the Guarantor delivered pursuant to the</w:t>
      </w:r>
    </w:p>
    <w:p>
      <w:pPr>
        <w:ind w:left="2440"/>
        <w:spacing w:after="0" w:line="231" w:lineRule="auto"/>
        <w:tabs>
          <w:tab w:leader="none" w:pos="6800" w:val="left"/>
        </w:tabs>
        <w:rPr>
          <w:sz w:val="20"/>
          <w:szCs w:val="20"/>
          <w:color w:val="auto"/>
        </w:rPr>
      </w:pPr>
      <w:r>
        <w:rPr>
          <w:rFonts w:ascii="Arial" w:cs="Arial" w:eastAsia="Arial" w:hAnsi="Arial"/>
          <w:sz w:val="22"/>
          <w:szCs w:val="22"/>
          <w:color w:val="auto"/>
        </w:rPr>
        <w:t>terms of the Guaranty, each dated as of</w:t>
      </w:r>
      <w:r>
        <w:rPr>
          <w:sz w:val="20"/>
          <w:szCs w:val="20"/>
          <w:color w:val="auto"/>
        </w:rPr>
        <w:tab/>
      </w:r>
      <w:r>
        <w:rPr>
          <w:rFonts w:ascii="Arial" w:cs="Arial" w:eastAsia="Arial" w:hAnsi="Arial"/>
          <w:sz w:val="22"/>
          <w:szCs w:val="22"/>
          <w:color w:val="auto"/>
        </w:rPr>
        <w:t>and for the</w:t>
      </w:r>
    </w:p>
    <w:p>
      <w:pPr>
        <w:jc w:val="both"/>
        <w:ind w:left="2440" w:right="660" w:firstLine="648"/>
        <w:spacing w:after="0" w:line="234" w:lineRule="auto"/>
        <w:rPr>
          <w:sz w:val="20"/>
          <w:szCs w:val="20"/>
          <w:color w:val="auto"/>
        </w:rPr>
      </w:pPr>
      <w:r>
        <w:rPr>
          <w:rFonts w:ascii="Arial" w:cs="Arial" w:eastAsia="Arial" w:hAnsi="Arial"/>
          <w:sz w:val="22"/>
          <w:szCs w:val="22"/>
          <w:color w:val="auto"/>
        </w:rPr>
        <w:t>period then ended, and such statements and reports fairly present the financial condition of the Guarantor as of the dates indicated and the results of their operations and cash flows for the periods indicated;</w:t>
      </w:r>
    </w:p>
    <w:p>
      <w:pPr>
        <w:spacing w:after="0" w:line="214" w:lineRule="exact"/>
        <w:rPr>
          <w:sz w:val="20"/>
          <w:szCs w:val="20"/>
          <w:color w:val="auto"/>
        </w:rPr>
      </w:pPr>
    </w:p>
    <w:p>
      <w:pPr>
        <w:ind w:left="2420" w:hanging="1076"/>
        <w:spacing w:after="0"/>
        <w:tabs>
          <w:tab w:leader="none" w:pos="242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that I have reviewed (a) the consolidated financial statements of the Holding</w:t>
      </w:r>
    </w:p>
    <w:p>
      <w:pPr>
        <w:sectPr>
          <w:pgSz w:w="11900" w:h="16838" w:orient="portrait"/>
          <w:cols w:equalWidth="0" w:num="1">
            <w:col w:w="11240"/>
          </w:cols>
          <w:pgMar w:left="320" w:top="577" w:right="339" w:bottom="1440" w:gutter="0" w:footer="0" w:header="0"/>
        </w:sectPr>
      </w:pPr>
    </w:p>
    <w:p>
      <w:pPr>
        <w:ind w:left="2440"/>
        <w:spacing w:after="0"/>
        <w:tabs>
          <w:tab w:leader="none" w:pos="6880" w:val="left"/>
        </w:tabs>
        <w:rPr>
          <w:sz w:val="20"/>
          <w:szCs w:val="20"/>
          <w:color w:val="auto"/>
        </w:rPr>
      </w:pPr>
      <w:r>
        <w:rPr>
          <w:rFonts w:ascii="Arial" w:cs="Arial" w:eastAsia="Arial" w:hAnsi="Arial"/>
          <w:sz w:val="22"/>
          <w:szCs w:val="22"/>
          <w:color w:val="auto"/>
        </w:rPr>
        <w:t>Company and its Subsidiaries dated as of</w:t>
      </w:r>
      <w:r>
        <w:rPr>
          <w:sz w:val="20"/>
          <w:szCs w:val="20"/>
          <w:color w:val="auto"/>
        </w:rPr>
        <w:tab/>
      </w:r>
      <w:r>
        <w:rPr>
          <w:rFonts w:ascii="Arial" w:cs="Arial" w:eastAsia="Arial" w:hAnsi="Arial"/>
          <w:sz w:val="19"/>
          <w:szCs w:val="19"/>
          <w:color w:val="auto"/>
        </w:rPr>
        <w:t>and for the</w:t>
      </w:r>
    </w:p>
    <w:p>
      <w:pPr>
        <w:ind w:left="3100"/>
        <w:spacing w:after="0"/>
        <w:rPr>
          <w:sz w:val="20"/>
          <w:szCs w:val="20"/>
          <w:color w:val="auto"/>
        </w:rPr>
      </w:pPr>
      <w:r>
        <w:rPr>
          <w:rFonts w:ascii="Arial" w:cs="Arial" w:eastAsia="Arial" w:hAnsi="Arial"/>
          <w:sz w:val="19"/>
          <w:szCs w:val="19"/>
          <w:color w:val="auto"/>
        </w:rPr>
        <w:t>period then ended and (b) the separate financial reports of each of</w:t>
      </w:r>
    </w:p>
    <w:p>
      <w:pPr>
        <w:spacing w:after="0" w:line="25" w:lineRule="exact"/>
        <w:rPr>
          <w:sz w:val="20"/>
          <w:szCs w:val="20"/>
          <w:color w:val="auto"/>
        </w:rPr>
      </w:pPr>
    </w:p>
    <w:p>
      <w:pPr>
        <w:ind w:left="2440"/>
        <w:spacing w:after="0"/>
        <w:tabs>
          <w:tab w:leader="none" w:pos="5940" w:val="left"/>
        </w:tabs>
        <w:rPr>
          <w:sz w:val="20"/>
          <w:szCs w:val="20"/>
          <w:color w:val="auto"/>
        </w:rPr>
      </w:pPr>
      <w:r>
        <w:rPr>
          <w:rFonts w:ascii="Arial" w:cs="Arial" w:eastAsia="Arial" w:hAnsi="Arial"/>
          <w:sz w:val="22"/>
          <w:szCs w:val="22"/>
          <w:color w:val="auto"/>
        </w:rPr>
        <w:t>the Borrowers each dated as of</w:t>
      </w:r>
      <w:r>
        <w:rPr>
          <w:sz w:val="20"/>
          <w:szCs w:val="20"/>
          <w:color w:val="auto"/>
        </w:rPr>
        <w:tab/>
      </w:r>
      <w:r>
        <w:rPr>
          <w:rFonts w:ascii="Arial" w:cs="Arial" w:eastAsia="Arial" w:hAnsi="Arial"/>
          <w:sz w:val="19"/>
          <w:szCs w:val="19"/>
          <w:color w:val="auto"/>
        </w:rPr>
        <w:t>and for the</w:t>
      </w:r>
    </w:p>
    <w:p>
      <w:pPr>
        <w:sectPr>
          <w:pgSz w:w="11900" w:h="16838" w:orient="portrait"/>
          <w:cols w:equalWidth="0" w:num="1">
            <w:col w:w="11240"/>
          </w:cols>
          <w:pgMar w:left="320" w:top="577" w:right="339" w:bottom="1440" w:gutter="0" w:footer="0" w:header="0"/>
          <w:type w:val="continuous"/>
        </w:sectPr>
      </w:pPr>
    </w:p>
    <w:p>
      <w:pPr>
        <w:spacing w:after="0" w:line="3" w:lineRule="exact"/>
        <w:rPr>
          <w:sz w:val="20"/>
          <w:szCs w:val="20"/>
          <w:color w:val="auto"/>
        </w:rPr>
      </w:pPr>
    </w:p>
    <w:p>
      <w:pPr>
        <w:jc w:val="both"/>
        <w:ind w:left="2440" w:right="680"/>
        <w:spacing w:after="0" w:line="230" w:lineRule="auto"/>
        <w:rPr>
          <w:sz w:val="20"/>
          <w:szCs w:val="20"/>
          <w:color w:val="auto"/>
        </w:rPr>
      </w:pPr>
      <w:r>
        <w:rPr>
          <w:rFonts w:ascii="Arial" w:cs="Arial" w:eastAsia="Arial" w:hAnsi="Arial"/>
          <w:sz w:val="22"/>
          <w:szCs w:val="22"/>
          <w:color w:val="auto"/>
        </w:rPr>
        <w:t>period then ended, and such statements and reports fairly present the financial condition of the Security Parties, as the case may be, as of the dates indicated and the results of their operations and cash flows for the periods indicated; and</w:t>
      </w:r>
    </w:p>
    <w:p>
      <w:pPr>
        <w:spacing w:after="0" w:line="213" w:lineRule="exact"/>
        <w:rPr>
          <w:sz w:val="20"/>
          <w:szCs w:val="20"/>
          <w:color w:val="auto"/>
        </w:rPr>
      </w:pPr>
    </w:p>
    <w:p>
      <w:pPr>
        <w:ind w:left="2420" w:right="700" w:hanging="1076"/>
        <w:spacing w:after="0"/>
        <w:tabs>
          <w:tab w:leader="none" w:pos="242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that I have reviewed the terms of the Transaction Documents and have made, or caused to be made under my supervision, a review in reasonable detail of the transactions and the condition of the Credit Parties during the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748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type w:val="continuous"/>
        </w:sectPr>
      </w:pPr>
    </w:p>
    <w:bookmarkStart w:id="219" w:name="page220"/>
    <w:bookmarkEnd w:id="219"/>
    <w:p>
      <w:pPr>
        <w:ind w:left="2440"/>
        <w:spacing w:after="0"/>
        <w:rPr>
          <w:sz w:val="20"/>
          <w:szCs w:val="20"/>
          <w:color w:val="auto"/>
        </w:rPr>
      </w:pPr>
      <w:r>
        <w:rPr>
          <w:rFonts w:ascii="Arial" w:cs="Arial" w:eastAsia="Arial" w:hAnsi="Arial"/>
          <w:sz w:val="22"/>
          <w:szCs w:val="22"/>
          <w:color w:val="auto"/>
        </w:rPr>
        <w:t>period covered by the financial statements referred to in clauses (i) and (ii) above; and</w:t>
      </w:r>
    </w:p>
    <w:p>
      <w:pPr>
        <w:spacing w:after="0" w:line="233" w:lineRule="exact"/>
        <w:rPr>
          <w:sz w:val="20"/>
          <w:szCs w:val="20"/>
          <w:color w:val="auto"/>
        </w:rPr>
      </w:pPr>
    </w:p>
    <w:p>
      <w:pPr>
        <w:ind w:left="2420" w:right="740" w:hanging="1076"/>
        <w:spacing w:after="0" w:line="273" w:lineRule="auto"/>
        <w:tabs>
          <w:tab w:leader="none" w:pos="242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such review has not disclosed the existence during or at the end of such accounting period of any condition or event that constitutes a Default or an Event of Default, nor do I have knowledge of the existence of any such condition or event as at the date of this Certificate</w:t>
      </w:r>
    </w:p>
    <w:p>
      <w:pPr>
        <w:spacing w:after="0" w:line="1" w:lineRule="exact"/>
        <w:rPr>
          <w:rFonts w:ascii="Arial" w:cs="Arial" w:eastAsia="Arial" w:hAnsi="Arial"/>
          <w:sz w:val="19"/>
          <w:szCs w:val="19"/>
          <w:color w:val="auto"/>
        </w:rPr>
      </w:pPr>
    </w:p>
    <w:p>
      <w:pPr>
        <w:ind w:left="2420" w:right="760"/>
        <w:spacing w:after="0" w:line="246" w:lineRule="auto"/>
        <w:rPr>
          <w:rFonts w:ascii="Arial" w:cs="Arial" w:eastAsia="Arial" w:hAnsi="Arial"/>
          <w:sz w:val="19"/>
          <w:szCs w:val="19"/>
          <w:color w:val="auto"/>
        </w:rPr>
      </w:pPr>
      <w:r>
        <w:rPr>
          <w:rFonts w:ascii="Arial" w:cs="Arial" w:eastAsia="Arial" w:hAnsi="Arial"/>
          <w:sz w:val="21"/>
          <w:szCs w:val="21"/>
          <w:color w:val="auto"/>
        </w:rPr>
        <w:t>[EXCEPT, [IF SUCH CONDITION OR EVENT EXISTED OR EXISTS, DESCRIBE THE NATURE AND PERIOD OF EXISTENCE THEREOF AND WHAT ACTION THE PARTNERSHIP OR THE OTHER BORROWERS HAVE TAKEN, IS TAKING AND PROPOSES TO TAKE WITH RESPECT THERETO]]; and</w:t>
      </w:r>
    </w:p>
    <w:p>
      <w:pPr>
        <w:spacing w:after="0" w:line="206" w:lineRule="exact"/>
        <w:rPr>
          <w:rFonts w:ascii="Arial" w:cs="Arial" w:eastAsia="Arial" w:hAnsi="Arial"/>
          <w:sz w:val="19"/>
          <w:szCs w:val="19"/>
          <w:color w:val="auto"/>
        </w:rPr>
      </w:pPr>
    </w:p>
    <w:p>
      <w:pPr>
        <w:ind w:left="2420" w:right="900" w:hanging="1076"/>
        <w:spacing w:after="0" w:line="287" w:lineRule="auto"/>
        <w:tabs>
          <w:tab w:leader="none" w:pos="242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each of the Credit Parties is in compliance with the covenants contained in Section 9 of the Credit Facility Agreement and in each other Transaction Document to which it is a party, including, without limitation the financial covenants incorporated into Section 4(a) of the Guaranty, and Annex A attached hereto shows the calculation thereof in reasonable detail.</w:t>
      </w:r>
    </w:p>
    <w:p>
      <w:pPr>
        <w:spacing w:after="0" w:line="170"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Capitalized terms used herein without definition have the meaning ascribed thereto in the Credit Facility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15" w:lineRule="exact"/>
        <w:rPr>
          <w:sz w:val="20"/>
          <w:szCs w:val="20"/>
          <w:color w:val="auto"/>
        </w:rPr>
      </w:pPr>
    </w:p>
    <w:p>
      <w:pPr>
        <w:jc w:val="right"/>
        <w:spacing w:after="0"/>
        <w:tabs>
          <w:tab w:leader="none" w:pos="1720" w:val="left"/>
          <w:tab w:leader="none" w:pos="520" w:val="left"/>
        </w:tabs>
        <w:rPr>
          <w:sz w:val="20"/>
          <w:szCs w:val="20"/>
          <w:color w:val="auto"/>
        </w:rPr>
      </w:pPr>
      <w:r>
        <w:rPr>
          <w:rFonts w:ascii="Arial" w:cs="Arial" w:eastAsia="Arial" w:hAnsi="Arial"/>
          <w:sz w:val="22"/>
          <w:szCs w:val="22"/>
          <w:color w:val="auto"/>
        </w:rPr>
        <w:t>IN WITNESS WHEREOF, the undersigned has executed this Certificate as of this</w:t>
      </w:r>
      <w:r>
        <w:rPr>
          <w:sz w:val="20"/>
          <w:szCs w:val="20"/>
          <w:color w:val="auto"/>
        </w:rPr>
        <w:tab/>
      </w:r>
      <w:r>
        <w:rPr>
          <w:rFonts w:ascii="Arial" w:cs="Arial" w:eastAsia="Arial" w:hAnsi="Arial"/>
          <w:sz w:val="22"/>
          <w:szCs w:val="22"/>
          <w:color w:val="auto"/>
        </w:rPr>
        <w:t>day of</w:t>
      </w:r>
      <w:r>
        <w:rPr>
          <w:sz w:val="20"/>
          <w:szCs w:val="20"/>
          <w:color w:val="auto"/>
        </w:rPr>
        <w:tab/>
      </w:r>
      <w:r>
        <w:rPr>
          <w:rFonts w:ascii="Arial" w:cs="Arial" w:eastAsia="Arial" w:hAnsi="Arial"/>
          <w:sz w:val="21"/>
          <w:szCs w:val="21"/>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6909435</wp:posOffset>
            </wp:positionH>
            <wp:positionV relativeFrom="paragraph">
              <wp:posOffset>-17780</wp:posOffset>
            </wp:positionV>
            <wp:extent cx="10350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5">
                      <a:extLst>
                        <a:ext uri="{28A0092B-C50C-407E-A947-70E740481C1C}"/>
                      </a:extLst>
                    </a:blip>
                    <a:srcRect/>
                    <a:stretch>
                      <a:fillRect/>
                    </a:stretch>
                  </pic:blipFill>
                  <pic:spPr bwMode="auto">
                    <a:xfrm>
                      <a:off x="0" y="0"/>
                      <a:ext cx="103505" cy="8255"/>
                    </a:xfrm>
                    <a:prstGeom prst="rect">
                      <a:avLst/>
                    </a:prstGeom>
                    <a:noFill/>
                  </pic:spPr>
                </pic:pic>
              </a:graphicData>
            </a:graphic>
          </wp:anchor>
        </w:drawing>
      </w:r>
    </w:p>
    <w:p>
      <w:pPr>
        <w:spacing w:after="0" w:line="213"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SEACOR MARINE HOLDINGS INC.</w:t>
      </w:r>
    </w:p>
    <w:p>
      <w:pPr>
        <w:spacing w:after="0" w:line="233"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6985</wp:posOffset>
            </wp:positionV>
            <wp:extent cx="27432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22"/>
          <w:szCs w:val="22"/>
          <w:color w:val="auto"/>
        </w:rPr>
        <w:t>Name:</w:t>
      </w:r>
    </w:p>
    <w:p>
      <w:pPr>
        <w:ind w:left="6200"/>
        <w:spacing w:after="0"/>
        <w:tabs>
          <w:tab w:leader="none" w:pos="6900" w:val="left"/>
        </w:tabs>
        <w:rPr>
          <w:sz w:val="20"/>
          <w:szCs w:val="20"/>
          <w:color w:val="auto"/>
        </w:rPr>
      </w:pPr>
      <w:r>
        <w:rPr>
          <w:rFonts w:ascii="Arial" w:cs="Arial" w:eastAsia="Arial" w:hAnsi="Arial"/>
          <w:sz w:val="22"/>
          <w:szCs w:val="22"/>
          <w:color w:val="auto"/>
        </w:rPr>
        <w:t>Title:</w:t>
        <w:tab/>
        <w:t>Chief Financial Officer</w:t>
      </w:r>
    </w:p>
    <w:p>
      <w:pPr>
        <w:spacing w:after="0" w:line="215"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SEACOR OFFSHORE OSV LLC</w:t>
      </w:r>
    </w:p>
    <w:p>
      <w:pPr>
        <w:spacing w:after="0" w:line="233"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6985</wp:posOffset>
            </wp:positionV>
            <wp:extent cx="27432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22"/>
          <w:szCs w:val="22"/>
          <w:color w:val="auto"/>
        </w:rPr>
        <w:t>Name:</w:t>
      </w:r>
    </w:p>
    <w:p>
      <w:pPr>
        <w:ind w:left="6200"/>
        <w:spacing w:after="0"/>
        <w:tabs>
          <w:tab w:leader="none" w:pos="6900" w:val="left"/>
        </w:tabs>
        <w:rPr>
          <w:sz w:val="20"/>
          <w:szCs w:val="20"/>
          <w:color w:val="auto"/>
        </w:rPr>
      </w:pPr>
      <w:r>
        <w:rPr>
          <w:rFonts w:ascii="Arial" w:cs="Arial" w:eastAsia="Arial" w:hAnsi="Arial"/>
          <w:sz w:val="22"/>
          <w:szCs w:val="22"/>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748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631" w:right="479" w:bottom="1440" w:gutter="0" w:footer="0" w:header="0"/>
        </w:sectPr>
      </w:pPr>
    </w:p>
    <w:bookmarkStart w:id="220" w:name="page221"/>
    <w:bookmarkEnd w:id="220"/>
    <w:p>
      <w:pPr>
        <w:jc w:val="center"/>
        <w:ind w:right="20"/>
        <w:spacing w:after="0"/>
        <w:rPr>
          <w:sz w:val="20"/>
          <w:szCs w:val="20"/>
          <w:color w:val="auto"/>
        </w:rPr>
      </w:pPr>
      <w:r>
        <w:rPr>
          <w:rFonts w:ascii="Arial" w:cs="Arial" w:eastAsia="Arial" w:hAnsi="Arial"/>
          <w:sz w:val="22"/>
          <w:szCs w:val="22"/>
          <w:color w:val="auto"/>
        </w:rPr>
        <w:t>ANNEX A</w:t>
      </w:r>
    </w:p>
    <w:p>
      <w:pPr>
        <w:spacing w:after="0" w:line="233" w:lineRule="exact"/>
        <w:rPr>
          <w:sz w:val="20"/>
          <w:szCs w:val="20"/>
          <w:color w:val="auto"/>
        </w:rPr>
      </w:pPr>
    </w:p>
    <w:p>
      <w:pPr>
        <w:ind w:left="560" w:hanging="507"/>
        <w:spacing w:after="0"/>
        <w:tabs>
          <w:tab w:leader="none" w:pos="560" w:val="left"/>
        </w:tabs>
        <w:numPr>
          <w:ilvl w:val="0"/>
          <w:numId w:val="200"/>
        </w:numPr>
        <w:rPr>
          <w:rFonts w:ascii="Arial" w:cs="Arial" w:eastAsia="Arial" w:hAnsi="Arial"/>
          <w:sz w:val="22"/>
          <w:szCs w:val="22"/>
          <w:color w:val="auto"/>
        </w:rPr>
      </w:pPr>
      <w:r>
        <w:rPr>
          <w:rFonts w:ascii="Arial" w:cs="Arial" w:eastAsia="Arial" w:hAnsi="Arial"/>
          <w:sz w:val="22"/>
          <w:szCs w:val="22"/>
          <w:u w:val="single" w:color="auto"/>
          <w:color w:val="auto"/>
        </w:rPr>
        <w:t>Section 4(a)(xiv) – Minimum Consolidated Liquidity</w:t>
      </w:r>
      <w:r>
        <w:rPr>
          <w:rFonts w:ascii="Arial" w:cs="Arial" w:eastAsia="Arial" w:hAnsi="Arial"/>
          <w:sz w:val="22"/>
          <w:szCs w:val="22"/>
          <w:color w:val="auto"/>
        </w:rPr>
        <w:t>:</w:t>
      </w:r>
    </w:p>
    <w:p>
      <w:pPr>
        <w:spacing w:after="0" w:line="220" w:lineRule="exact"/>
        <w:rPr>
          <w:sz w:val="20"/>
          <w:szCs w:val="20"/>
          <w:color w:val="auto"/>
        </w:rPr>
      </w:pPr>
    </w:p>
    <w:p>
      <w:pPr>
        <w:ind w:left="700"/>
        <w:spacing w:after="0"/>
        <w:tabs>
          <w:tab w:leader="none" w:pos="1100" w:val="left"/>
          <w:tab w:leader="none" w:pos="11120" w:val="left"/>
        </w:tabs>
        <w:rPr>
          <w:sz w:val="20"/>
          <w:szCs w:val="20"/>
          <w:color w:val="auto"/>
        </w:rPr>
      </w:pPr>
      <w:r>
        <w:rPr>
          <w:rFonts w:ascii="Arial" w:cs="Arial" w:eastAsia="Arial" w:hAnsi="Arial"/>
          <w:sz w:val="22"/>
          <w:szCs w:val="22"/>
          <w:color w:val="auto"/>
        </w:rPr>
        <w:t>1)</w:t>
        <w:tab/>
        <w:t>All Cash and Cash Equivalents of the Guarantor:</w:t>
      </w:r>
      <w:r>
        <w:rPr>
          <w:sz w:val="20"/>
          <w:szCs w:val="20"/>
          <w:color w:val="auto"/>
        </w:rPr>
        <w:tab/>
      </w:r>
      <w:r>
        <w:rPr>
          <w:rFonts w:ascii="Arial" w:cs="Arial" w:eastAsia="Arial" w:hAnsi="Arial"/>
          <w:sz w:val="17"/>
          <w:szCs w:val="17"/>
          <w:u w:val="single" w:color="auto"/>
          <w:color w:val="auto"/>
        </w:rPr>
        <w:t>$</w:t>
      </w:r>
    </w:p>
    <w:p>
      <w:pPr>
        <w:spacing w:after="0" w:line="247" w:lineRule="exact"/>
        <w:rPr>
          <w:sz w:val="20"/>
          <w:szCs w:val="20"/>
          <w:color w:val="auto"/>
        </w:rPr>
      </w:pPr>
    </w:p>
    <w:p>
      <w:pPr>
        <w:ind w:left="1120" w:hanging="428"/>
        <w:spacing w:after="0"/>
        <w:tabs>
          <w:tab w:leader="none" w:pos="112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7.5% of Total Debt</w:t>
      </w:r>
    </w:p>
    <w:p>
      <w:pPr>
        <w:spacing w:after="0" w:line="247" w:lineRule="exact"/>
        <w:rPr>
          <w:sz w:val="20"/>
          <w:szCs w:val="20"/>
          <w:color w:val="auto"/>
        </w:rPr>
      </w:pPr>
    </w:p>
    <w:p>
      <w:pPr>
        <w:ind w:left="1260"/>
        <w:spacing w:after="0"/>
        <w:tabs>
          <w:tab w:leader="none" w:pos="1680" w:val="left"/>
          <w:tab w:leader="none" w:pos="11120" w:val="left"/>
        </w:tabs>
        <w:rPr>
          <w:sz w:val="20"/>
          <w:szCs w:val="20"/>
          <w:color w:val="auto"/>
        </w:rPr>
      </w:pPr>
      <w:r>
        <w:rPr>
          <w:rFonts w:ascii="Arial" w:cs="Arial" w:eastAsia="Arial" w:hAnsi="Arial"/>
          <w:sz w:val="22"/>
          <w:szCs w:val="22"/>
          <w:color w:val="auto"/>
        </w:rPr>
        <w:t>a)</w:t>
        <w:tab/>
        <w:t>Consolidated total amount of Indebtedness of the Guarantor:</w:t>
      </w:r>
      <w:r>
        <w:rPr>
          <w:sz w:val="20"/>
          <w:szCs w:val="20"/>
          <w:color w:val="auto"/>
        </w:rPr>
        <w:tab/>
      </w:r>
      <w:r>
        <w:rPr>
          <w:rFonts w:ascii="Arial" w:cs="Arial" w:eastAsia="Arial" w:hAnsi="Arial"/>
          <w:sz w:val="17"/>
          <w:szCs w:val="17"/>
          <w:u w:val="single" w:color="auto"/>
          <w:color w:val="auto"/>
        </w:rPr>
        <w:t>$</w:t>
      </w:r>
    </w:p>
    <w:p>
      <w:pPr>
        <w:spacing w:after="0" w:line="247" w:lineRule="exact"/>
        <w:rPr>
          <w:sz w:val="20"/>
          <w:szCs w:val="20"/>
          <w:color w:val="auto"/>
        </w:rPr>
      </w:pPr>
    </w:p>
    <w:p>
      <w:pPr>
        <w:ind w:left="1700" w:hanging="448"/>
        <w:spacing w:after="0"/>
        <w:tabs>
          <w:tab w:leader="none" w:pos="170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Minus aggregate debt of all Warehouse Financing Facilities, the Chase Facility and the DPA</w:t>
      </w:r>
    </w:p>
    <w:tbl>
      <w:tblPr>
        <w:tblLayout w:type="fixed"/>
        <w:tblInd w:w="1260" w:type="dxa"/>
        <w:tblCellMar>
          <w:top w:w="0" w:type="dxa"/>
          <w:left w:w="0" w:type="dxa"/>
          <w:bottom w:w="0" w:type="dxa"/>
          <w:right w:w="0" w:type="dxa"/>
        </w:tblCellMar>
      </w:tblPr>
      <w:tr>
        <w:trPr>
          <w:trHeight w:val="241"/>
        </w:trPr>
        <w:tc>
          <w:tcPr>
            <w:tcW w:w="9880" w:type="dxa"/>
            <w:vAlign w:val="bottom"/>
          </w:tcPr>
          <w:p>
            <w:pPr>
              <w:ind w:left="440"/>
              <w:spacing w:after="0" w:line="241" w:lineRule="exact"/>
              <w:rPr>
                <w:sz w:val="20"/>
                <w:szCs w:val="20"/>
                <w:color w:val="auto"/>
              </w:rPr>
            </w:pPr>
            <w:r>
              <w:rPr>
                <w:rFonts w:ascii="Arial" w:cs="Arial" w:eastAsia="Arial" w:hAnsi="Arial"/>
                <w:sz w:val="22"/>
                <w:szCs w:val="22"/>
                <w:color w:val="auto"/>
              </w:rPr>
              <w:t>Obligations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r>
      <w:tr>
        <w:trPr>
          <w:trHeight w:val="466"/>
        </w:trPr>
        <w:tc>
          <w:tcPr>
            <w:tcW w:w="9880" w:type="dxa"/>
            <w:vAlign w:val="bottom"/>
          </w:tcPr>
          <w:p>
            <w:pPr>
              <w:spacing w:after="0"/>
              <w:rPr>
                <w:sz w:val="20"/>
                <w:szCs w:val="20"/>
                <w:color w:val="auto"/>
              </w:rPr>
            </w:pPr>
            <w:r>
              <w:rPr>
                <w:rFonts w:ascii="Arial" w:cs="Arial" w:eastAsia="Arial" w:hAnsi="Arial"/>
                <w:sz w:val="22"/>
                <w:szCs w:val="22"/>
                <w:color w:val="auto"/>
              </w:rPr>
              <w:t>c)   Plus any lease or charter obligations of any Credit Party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r>
    </w:tbl>
    <w:p>
      <w:pPr>
        <w:spacing w:after="0" w:line="262" w:lineRule="exact"/>
        <w:rPr>
          <w:sz w:val="20"/>
          <w:szCs w:val="20"/>
          <w:color w:val="auto"/>
        </w:rPr>
      </w:pPr>
    </w:p>
    <w:p>
      <w:pPr>
        <w:ind w:left="1700" w:hanging="448"/>
        <w:spacing w:after="0"/>
        <w:tabs>
          <w:tab w:leader="none" w:pos="170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Plus the amount of guaranteed obligations under any guarantee by the Guarantor of the</w:t>
      </w:r>
    </w:p>
    <w:tbl>
      <w:tblPr>
        <w:tblLayout w:type="fixed"/>
        <w:tblInd w:w="1260" w:type="dxa"/>
        <w:tblCellMar>
          <w:top w:w="0" w:type="dxa"/>
          <w:left w:w="0" w:type="dxa"/>
          <w:bottom w:w="0" w:type="dxa"/>
          <w:right w:w="0" w:type="dxa"/>
        </w:tblCellMar>
      </w:tblPr>
      <w:tr>
        <w:trPr>
          <w:trHeight w:val="241"/>
        </w:trPr>
        <w:tc>
          <w:tcPr>
            <w:tcW w:w="9880" w:type="dxa"/>
            <w:vAlign w:val="bottom"/>
          </w:tcPr>
          <w:p>
            <w:pPr>
              <w:ind w:left="440"/>
              <w:spacing w:after="0" w:line="241" w:lineRule="exact"/>
              <w:rPr>
                <w:sz w:val="20"/>
                <w:szCs w:val="20"/>
                <w:color w:val="auto"/>
              </w:rPr>
            </w:pPr>
            <w:r>
              <w:rPr>
                <w:rFonts w:ascii="Arial" w:cs="Arial" w:eastAsia="Arial" w:hAnsi="Arial"/>
                <w:sz w:val="22"/>
                <w:szCs w:val="22"/>
                <w:color w:val="auto"/>
              </w:rPr>
              <w:t>Chase Facility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r>
      <w:tr>
        <w:trPr>
          <w:trHeight w:val="466"/>
        </w:trPr>
        <w:tc>
          <w:tcPr>
            <w:tcW w:w="9880" w:type="dxa"/>
            <w:vAlign w:val="bottom"/>
          </w:tcPr>
          <w:p>
            <w:pPr>
              <w:spacing w:after="0"/>
              <w:rPr>
                <w:sz w:val="20"/>
                <w:szCs w:val="20"/>
                <w:color w:val="auto"/>
              </w:rPr>
            </w:pPr>
            <w:r>
              <w:rPr>
                <w:rFonts w:ascii="Arial" w:cs="Arial" w:eastAsia="Arial" w:hAnsi="Arial"/>
                <w:sz w:val="22"/>
                <w:szCs w:val="22"/>
                <w:color w:val="auto"/>
              </w:rPr>
              <w:t>e)   Equals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r>
    </w:tbl>
    <w:p>
      <w:pPr>
        <w:spacing w:after="0" w:line="262" w:lineRule="exact"/>
        <w:rPr>
          <w:sz w:val="20"/>
          <w:szCs w:val="20"/>
          <w:color w:val="auto"/>
        </w:rPr>
      </w:pPr>
    </w:p>
    <w:p>
      <w:pPr>
        <w:ind w:left="1120" w:hanging="428"/>
        <w:spacing w:after="0"/>
        <w:tabs>
          <w:tab w:leader="none" w:pos="112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$35,000,000</w:t>
      </w:r>
    </w:p>
    <w:p>
      <w:pPr>
        <w:spacing w:after="0" w:line="247" w:lineRule="exact"/>
        <w:rPr>
          <w:sz w:val="20"/>
          <w:szCs w:val="20"/>
          <w:color w:val="auto"/>
        </w:rPr>
      </w:pPr>
    </w:p>
    <w:p>
      <w:pPr>
        <w:ind w:left="700"/>
        <w:spacing w:after="0"/>
        <w:tabs>
          <w:tab w:leader="none" w:pos="1100" w:val="left"/>
          <w:tab w:leader="none" w:pos="10520" w:val="left"/>
        </w:tabs>
        <w:rPr>
          <w:sz w:val="20"/>
          <w:szCs w:val="20"/>
          <w:color w:val="auto"/>
        </w:rPr>
      </w:pPr>
      <w:r>
        <w:rPr>
          <w:rFonts w:ascii="Arial" w:cs="Arial" w:eastAsia="Arial" w:hAnsi="Arial"/>
          <w:sz w:val="22"/>
          <w:szCs w:val="22"/>
          <w:color w:val="auto"/>
        </w:rPr>
        <w:t>4)</w:t>
        <w:tab/>
        <w:t>1 shall be greater than the greater of 2 and 3</w:t>
      </w:r>
      <w:r>
        <w:rPr>
          <w:sz w:val="20"/>
          <w:szCs w:val="20"/>
          <w:color w:val="auto"/>
        </w:rPr>
        <w:tab/>
      </w:r>
      <w:r>
        <w:rPr>
          <w:rFonts w:ascii="Arial" w:cs="Arial" w:eastAsia="Arial" w:hAnsi="Arial"/>
          <w:sz w:val="19"/>
          <w:szCs w:val="19"/>
          <w:color w:val="auto"/>
        </w:rPr>
        <w:t>[yes/no]</w:t>
      </w:r>
    </w:p>
    <w:p>
      <w:pPr>
        <w:spacing w:after="0" w:line="200" w:lineRule="exact"/>
        <w:rPr>
          <w:sz w:val="20"/>
          <w:szCs w:val="20"/>
          <w:color w:val="auto"/>
        </w:rPr>
      </w:pPr>
    </w:p>
    <w:p>
      <w:pPr>
        <w:spacing w:after="0" w:line="303" w:lineRule="exact"/>
        <w:rPr>
          <w:sz w:val="20"/>
          <w:szCs w:val="20"/>
          <w:color w:val="auto"/>
        </w:rPr>
      </w:pPr>
    </w:p>
    <w:p>
      <w:pPr>
        <w:ind w:left="560" w:hanging="507"/>
        <w:spacing w:after="0"/>
        <w:tabs>
          <w:tab w:leader="none" w:pos="560"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Section 4(a)(xv) – Maximum Gross Interest Bearing Debt to Total Capital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120" w:hanging="428"/>
        <w:spacing w:after="0"/>
        <w:tabs>
          <w:tab w:leader="none" w:pos="1120" w:val="left"/>
        </w:tabs>
        <w:numPr>
          <w:ilvl w:val="1"/>
          <w:numId w:val="205"/>
        </w:numPr>
        <w:rPr>
          <w:rFonts w:ascii="Arial" w:cs="Arial" w:eastAsia="Arial" w:hAnsi="Arial"/>
          <w:sz w:val="22"/>
          <w:szCs w:val="22"/>
          <w:color w:val="auto"/>
        </w:rPr>
      </w:pPr>
      <w:r>
        <w:rPr>
          <w:rFonts w:ascii="Arial" w:cs="Arial" w:eastAsia="Arial" w:hAnsi="Arial"/>
          <w:sz w:val="22"/>
          <w:szCs w:val="22"/>
          <w:color w:val="auto"/>
        </w:rPr>
        <w:t>Gross Interest Bearing Debt</w:t>
      </w:r>
    </w:p>
    <w:p>
      <w:pPr>
        <w:spacing w:after="0" w:line="247" w:lineRule="exact"/>
        <w:rPr>
          <w:sz w:val="20"/>
          <w:szCs w:val="20"/>
          <w:color w:val="auto"/>
        </w:rPr>
      </w:pPr>
    </w:p>
    <w:p>
      <w:pPr>
        <w:ind w:left="1260"/>
        <w:spacing w:after="0"/>
        <w:tabs>
          <w:tab w:leader="none" w:pos="1680" w:val="left"/>
          <w:tab w:leader="none" w:pos="11120" w:val="left"/>
        </w:tabs>
        <w:rPr>
          <w:sz w:val="20"/>
          <w:szCs w:val="20"/>
          <w:color w:val="auto"/>
        </w:rPr>
      </w:pPr>
      <w:r>
        <w:rPr>
          <w:rFonts w:ascii="Arial" w:cs="Arial" w:eastAsia="Arial" w:hAnsi="Arial"/>
          <w:sz w:val="22"/>
          <w:szCs w:val="22"/>
          <w:color w:val="auto"/>
        </w:rPr>
        <w:t>a)</w:t>
        <w:tab/>
        <w:t>Consolidated total amount of Indebtedness of the Guarantor:</w:t>
      </w:r>
      <w:r>
        <w:rPr>
          <w:sz w:val="20"/>
          <w:szCs w:val="20"/>
          <w:color w:val="auto"/>
        </w:rPr>
        <w:tab/>
      </w:r>
      <w:r>
        <w:rPr>
          <w:rFonts w:ascii="Arial" w:cs="Arial" w:eastAsia="Arial" w:hAnsi="Arial"/>
          <w:sz w:val="17"/>
          <w:szCs w:val="17"/>
          <w:u w:val="single" w:color="auto"/>
          <w:color w:val="auto"/>
        </w:rPr>
        <w:t>$</w:t>
      </w:r>
    </w:p>
    <w:p>
      <w:pPr>
        <w:spacing w:after="0" w:line="247" w:lineRule="exact"/>
        <w:rPr>
          <w:sz w:val="20"/>
          <w:szCs w:val="20"/>
          <w:color w:val="auto"/>
        </w:rPr>
      </w:pPr>
    </w:p>
    <w:p>
      <w:pPr>
        <w:ind w:left="1700" w:hanging="448"/>
        <w:spacing w:after="0"/>
        <w:tabs>
          <w:tab w:leader="none" w:pos="170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Minus aggregate debt of all Warehouse Financing Facilities, the Chase Facility and the DPA</w:t>
      </w:r>
    </w:p>
    <w:tbl>
      <w:tblPr>
        <w:tblLayout w:type="fixed"/>
        <w:tblInd w:w="1260" w:type="dxa"/>
        <w:tblCellMar>
          <w:top w:w="0" w:type="dxa"/>
          <w:left w:w="0" w:type="dxa"/>
          <w:bottom w:w="0" w:type="dxa"/>
          <w:right w:w="0" w:type="dxa"/>
        </w:tblCellMar>
      </w:tblPr>
      <w:tr>
        <w:trPr>
          <w:trHeight w:val="241"/>
        </w:trPr>
        <w:tc>
          <w:tcPr>
            <w:tcW w:w="9880" w:type="dxa"/>
            <w:vAlign w:val="bottom"/>
          </w:tcPr>
          <w:p>
            <w:pPr>
              <w:ind w:left="440"/>
              <w:spacing w:after="0" w:line="241" w:lineRule="exact"/>
              <w:rPr>
                <w:sz w:val="20"/>
                <w:szCs w:val="20"/>
                <w:color w:val="auto"/>
              </w:rPr>
            </w:pPr>
            <w:r>
              <w:rPr>
                <w:rFonts w:ascii="Arial" w:cs="Arial" w:eastAsia="Arial" w:hAnsi="Arial"/>
                <w:sz w:val="22"/>
                <w:szCs w:val="22"/>
                <w:color w:val="auto"/>
              </w:rPr>
              <w:t>Obligations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r>
      <w:tr>
        <w:trPr>
          <w:trHeight w:val="466"/>
        </w:trPr>
        <w:tc>
          <w:tcPr>
            <w:tcW w:w="9880" w:type="dxa"/>
            <w:vAlign w:val="bottom"/>
          </w:tcPr>
          <w:p>
            <w:pPr>
              <w:spacing w:after="0"/>
              <w:rPr>
                <w:sz w:val="20"/>
                <w:szCs w:val="20"/>
                <w:color w:val="auto"/>
              </w:rPr>
            </w:pPr>
            <w:r>
              <w:rPr>
                <w:rFonts w:ascii="Arial" w:cs="Arial" w:eastAsia="Arial" w:hAnsi="Arial"/>
                <w:sz w:val="22"/>
                <w:szCs w:val="22"/>
                <w:color w:val="auto"/>
              </w:rPr>
              <w:t>c)   Equals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r>
    </w:tbl>
    <w:p>
      <w:pPr>
        <w:spacing w:after="0" w:line="262" w:lineRule="exact"/>
        <w:rPr>
          <w:sz w:val="20"/>
          <w:szCs w:val="20"/>
          <w:color w:val="auto"/>
        </w:rPr>
      </w:pPr>
    </w:p>
    <w:p>
      <w:pPr>
        <w:ind w:left="1120" w:hanging="428"/>
        <w:spacing w:after="0"/>
        <w:tabs>
          <w:tab w:leader="none" w:pos="112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Total Capital</w:t>
      </w:r>
    </w:p>
    <w:p>
      <w:pPr>
        <w:spacing w:after="0" w:line="247" w:lineRule="exact"/>
        <w:rPr>
          <w:sz w:val="20"/>
          <w:szCs w:val="20"/>
          <w:color w:val="auto"/>
        </w:rPr>
      </w:pPr>
    </w:p>
    <w:p>
      <w:pPr>
        <w:ind w:left="1260"/>
        <w:spacing w:after="0"/>
        <w:tabs>
          <w:tab w:leader="none" w:pos="1680" w:val="left"/>
          <w:tab w:leader="none" w:pos="11120" w:val="left"/>
        </w:tabs>
        <w:rPr>
          <w:sz w:val="20"/>
          <w:szCs w:val="20"/>
          <w:color w:val="auto"/>
        </w:rPr>
      </w:pPr>
      <w:r>
        <w:rPr>
          <w:rFonts w:ascii="Arial" w:cs="Arial" w:eastAsia="Arial" w:hAnsi="Arial"/>
          <w:sz w:val="22"/>
          <w:szCs w:val="22"/>
          <w:color w:val="auto"/>
        </w:rPr>
        <w:t>a)</w:t>
        <w:tab/>
        <w:t>Consolidated total amount of Indebtedness of the Guarantor:</w:t>
      </w:r>
      <w:r>
        <w:rPr>
          <w:sz w:val="20"/>
          <w:szCs w:val="20"/>
          <w:color w:val="auto"/>
        </w:rPr>
        <w:tab/>
      </w:r>
      <w:r>
        <w:rPr>
          <w:rFonts w:ascii="Arial" w:cs="Arial" w:eastAsia="Arial" w:hAnsi="Arial"/>
          <w:sz w:val="17"/>
          <w:szCs w:val="17"/>
          <w:u w:val="single" w:color="auto"/>
          <w:color w:val="auto"/>
        </w:rPr>
        <w:t>$</w:t>
      </w:r>
    </w:p>
    <w:p>
      <w:pPr>
        <w:spacing w:after="0" w:line="247" w:lineRule="exact"/>
        <w:rPr>
          <w:sz w:val="20"/>
          <w:szCs w:val="20"/>
          <w:color w:val="auto"/>
        </w:rPr>
      </w:pPr>
    </w:p>
    <w:p>
      <w:pPr>
        <w:ind w:left="1700" w:hanging="448"/>
        <w:spacing w:after="0"/>
        <w:tabs>
          <w:tab w:leader="none" w:pos="170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Minus aggregate debt of all Warehouse Financing Facilities, the Chase Facility and the DPA</w:t>
      </w:r>
    </w:p>
    <w:tbl>
      <w:tblPr>
        <w:tblLayout w:type="fixed"/>
        <w:tblInd w:w="0" w:type="dxa"/>
        <w:tblCellMar>
          <w:top w:w="0" w:type="dxa"/>
          <w:left w:w="0" w:type="dxa"/>
          <w:bottom w:w="0" w:type="dxa"/>
          <w:right w:w="0" w:type="dxa"/>
        </w:tblCellMar>
      </w:tblPr>
      <w:tr>
        <w:trPr>
          <w:trHeight w:val="241"/>
        </w:trPr>
        <w:tc>
          <w:tcPr>
            <w:tcW w:w="1560" w:type="dxa"/>
            <w:vAlign w:val="bottom"/>
          </w:tcPr>
          <w:p>
            <w:pPr>
              <w:spacing w:after="0"/>
              <w:rPr>
                <w:sz w:val="20"/>
                <w:szCs w:val="20"/>
                <w:color w:val="auto"/>
              </w:rPr>
            </w:pPr>
          </w:p>
        </w:tc>
        <w:tc>
          <w:tcPr>
            <w:tcW w:w="7340" w:type="dxa"/>
            <w:vAlign w:val="bottom"/>
          </w:tcPr>
          <w:p>
            <w:pPr>
              <w:ind w:left="140"/>
              <w:spacing w:after="0" w:line="241" w:lineRule="exact"/>
              <w:rPr>
                <w:sz w:val="20"/>
                <w:szCs w:val="20"/>
                <w:color w:val="auto"/>
              </w:rPr>
            </w:pPr>
            <w:r>
              <w:rPr>
                <w:rFonts w:ascii="Arial" w:cs="Arial" w:eastAsia="Arial" w:hAnsi="Arial"/>
                <w:sz w:val="22"/>
                <w:szCs w:val="22"/>
                <w:color w:val="auto"/>
              </w:rPr>
              <w:t>Obligations</w:t>
            </w:r>
          </w:p>
        </w:tc>
        <w:tc>
          <w:tcPr>
            <w:tcW w:w="2340" w:type="dxa"/>
            <w:vAlign w:val="bottom"/>
            <w:gridSpan w:val="4"/>
          </w:tcPr>
          <w:p>
            <w:pPr>
              <w:jc w:val="right"/>
              <w:spacing w:after="0" w:line="241"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560" w:type="dxa"/>
            <w:vAlign w:val="bottom"/>
          </w:tcPr>
          <w:p>
            <w:pPr>
              <w:ind w:left="1260"/>
              <w:spacing w:after="0"/>
              <w:rPr>
                <w:sz w:val="20"/>
                <w:szCs w:val="20"/>
                <w:color w:val="auto"/>
              </w:rPr>
            </w:pPr>
            <w:r>
              <w:rPr>
                <w:rFonts w:ascii="Arial" w:cs="Arial" w:eastAsia="Arial" w:hAnsi="Arial"/>
                <w:sz w:val="22"/>
                <w:szCs w:val="22"/>
                <w:color w:val="auto"/>
              </w:rPr>
              <w:t>c)</w:t>
            </w:r>
          </w:p>
        </w:tc>
        <w:tc>
          <w:tcPr>
            <w:tcW w:w="7340" w:type="dxa"/>
            <w:vAlign w:val="bottom"/>
          </w:tcPr>
          <w:p>
            <w:pPr>
              <w:ind w:left="140"/>
              <w:spacing w:after="0"/>
              <w:rPr>
                <w:sz w:val="20"/>
                <w:szCs w:val="20"/>
                <w:color w:val="auto"/>
              </w:rPr>
            </w:pPr>
            <w:r>
              <w:rPr>
                <w:rFonts w:ascii="Arial" w:cs="Arial" w:eastAsia="Arial" w:hAnsi="Arial"/>
                <w:sz w:val="22"/>
                <w:szCs w:val="22"/>
                <w:color w:val="auto"/>
              </w:rPr>
              <w:t>Plus shareholders’ equity of the Guarantor</w:t>
            </w:r>
          </w:p>
        </w:tc>
        <w:tc>
          <w:tcPr>
            <w:tcW w:w="2340" w:type="dxa"/>
            <w:vAlign w:val="bottom"/>
            <w:gridSpan w:val="4"/>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560" w:type="dxa"/>
            <w:vAlign w:val="bottom"/>
          </w:tcPr>
          <w:p>
            <w:pPr>
              <w:ind w:left="1260"/>
              <w:spacing w:after="0"/>
              <w:rPr>
                <w:sz w:val="20"/>
                <w:szCs w:val="20"/>
                <w:color w:val="auto"/>
              </w:rPr>
            </w:pPr>
            <w:r>
              <w:rPr>
                <w:rFonts w:ascii="Arial" w:cs="Arial" w:eastAsia="Arial" w:hAnsi="Arial"/>
                <w:sz w:val="22"/>
                <w:szCs w:val="22"/>
                <w:color w:val="auto"/>
              </w:rPr>
              <w:t>d)</w:t>
            </w:r>
          </w:p>
        </w:tc>
        <w:tc>
          <w:tcPr>
            <w:tcW w:w="7340" w:type="dxa"/>
            <w:vAlign w:val="bottom"/>
          </w:tcPr>
          <w:p>
            <w:pPr>
              <w:ind w:left="140"/>
              <w:spacing w:after="0"/>
              <w:rPr>
                <w:sz w:val="20"/>
                <w:szCs w:val="20"/>
                <w:color w:val="auto"/>
              </w:rPr>
            </w:pPr>
            <w:r>
              <w:rPr>
                <w:rFonts w:ascii="Arial" w:cs="Arial" w:eastAsia="Arial" w:hAnsi="Arial"/>
                <w:sz w:val="22"/>
                <w:szCs w:val="22"/>
                <w:color w:val="auto"/>
              </w:rPr>
              <w:t>Equals</w:t>
            </w:r>
          </w:p>
        </w:tc>
        <w:tc>
          <w:tcPr>
            <w:tcW w:w="2340" w:type="dxa"/>
            <w:vAlign w:val="bottom"/>
            <w:gridSpan w:val="4"/>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900" w:type="dxa"/>
            <w:vAlign w:val="bottom"/>
            <w:gridSpan w:val="2"/>
            <w:vMerge w:val="restart"/>
          </w:tcPr>
          <w:p>
            <w:pPr>
              <w:ind w:left="620"/>
              <w:spacing w:after="0"/>
              <w:rPr>
                <w:sz w:val="20"/>
                <w:szCs w:val="20"/>
                <w:color w:val="auto"/>
              </w:rPr>
            </w:pPr>
            <w:r>
              <w:rPr>
                <w:rFonts w:ascii="Arial" w:cs="Arial" w:eastAsia="Arial" w:hAnsi="Arial"/>
                <w:sz w:val="22"/>
                <w:szCs w:val="22"/>
                <w:color w:val="auto"/>
              </w:rPr>
              <w:t>3)  Ratio of 1 to 2</w:t>
            </w:r>
          </w:p>
        </w:tc>
        <w:tc>
          <w:tcPr>
            <w:tcW w:w="2120" w:type="dxa"/>
            <w:vAlign w:val="bottom"/>
            <w:tcBorders>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900" w:type="dxa"/>
            <w:vAlign w:val="bottom"/>
            <w:gridSpan w:val="2"/>
            <w:vMerge w:val="continue"/>
          </w:tcPr>
          <w:p>
            <w:pPr>
              <w:spacing w:after="0"/>
              <w:rPr>
                <w:sz w:val="24"/>
                <w:szCs w:val="24"/>
                <w:color w:val="auto"/>
              </w:rPr>
            </w:pPr>
          </w:p>
        </w:tc>
        <w:tc>
          <w:tcPr>
            <w:tcW w:w="2340" w:type="dxa"/>
            <w:vAlign w:val="bottom"/>
            <w:gridSpan w:val="4"/>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3"/>
        </w:trPr>
        <w:tc>
          <w:tcPr>
            <w:tcW w:w="1560" w:type="dxa"/>
            <w:vAlign w:val="bottom"/>
            <w:tcBorders>
              <w:bottom w:val="single" w:sz="8" w:color="9A9A9A"/>
            </w:tcBorders>
          </w:tcPr>
          <w:p>
            <w:pPr>
              <w:spacing w:after="0"/>
              <w:rPr>
                <w:sz w:val="24"/>
                <w:szCs w:val="24"/>
                <w:color w:val="auto"/>
              </w:rPr>
            </w:pPr>
          </w:p>
        </w:tc>
        <w:tc>
          <w:tcPr>
            <w:tcW w:w="73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7" w:right="319" w:bottom="1440" w:gutter="0" w:footer="0" w:header="0"/>
        </w:sectPr>
      </w:pPr>
    </w:p>
    <w:bookmarkStart w:id="221" w:name="page222"/>
    <w:bookmarkEnd w:id="221"/>
    <w:p>
      <w:pPr>
        <w:ind w:left="967"/>
        <w:spacing w:after="0"/>
        <w:tabs>
          <w:tab w:leader="none" w:pos="10467" w:val="left"/>
        </w:tabs>
        <w:rPr>
          <w:sz w:val="20"/>
          <w:szCs w:val="20"/>
          <w:color w:val="auto"/>
        </w:rPr>
      </w:pPr>
      <w:r>
        <w:rPr>
          <w:rFonts w:ascii="Arial" w:cs="Arial" w:eastAsia="Arial" w:hAnsi="Arial"/>
          <w:sz w:val="22"/>
          <w:szCs w:val="22"/>
          <w:color w:val="auto"/>
        </w:rPr>
        <w:t>Requirement per the Loan Agreement: Less than 60%</w:t>
      </w:r>
      <w:r>
        <w:rPr>
          <w:sz w:val="20"/>
          <w:szCs w:val="20"/>
          <w:color w:val="auto"/>
        </w:rPr>
        <w:tab/>
      </w:r>
      <w:r>
        <w:rPr>
          <w:rFonts w:ascii="Arial" w:cs="Arial" w:eastAsia="Arial" w:hAnsi="Arial"/>
          <w:sz w:val="19"/>
          <w:szCs w:val="19"/>
          <w:color w:val="auto"/>
        </w:rPr>
        <w:t>[yes/no]</w:t>
      </w:r>
    </w:p>
    <w:p>
      <w:pPr>
        <w:spacing w:after="0" w:line="200" w:lineRule="exact"/>
        <w:rPr>
          <w:sz w:val="20"/>
          <w:szCs w:val="20"/>
          <w:color w:val="auto"/>
        </w:rPr>
      </w:pPr>
    </w:p>
    <w:p>
      <w:pPr>
        <w:spacing w:after="0" w:line="303" w:lineRule="exact"/>
        <w:rPr>
          <w:sz w:val="20"/>
          <w:szCs w:val="20"/>
          <w:color w:val="auto"/>
        </w:rPr>
      </w:pPr>
    </w:p>
    <w:p>
      <w:pPr>
        <w:ind w:left="467" w:hanging="467"/>
        <w:spacing w:after="0"/>
        <w:tabs>
          <w:tab w:leader="none" w:pos="467" w:val="left"/>
        </w:tabs>
        <w:numPr>
          <w:ilvl w:val="0"/>
          <w:numId w:val="209"/>
        </w:numPr>
        <w:rPr>
          <w:rFonts w:ascii="Arial" w:cs="Arial" w:eastAsia="Arial" w:hAnsi="Arial"/>
          <w:sz w:val="22"/>
          <w:szCs w:val="22"/>
          <w:color w:val="auto"/>
        </w:rPr>
      </w:pPr>
      <w:r>
        <w:rPr>
          <w:rFonts w:ascii="Arial" w:cs="Arial" w:eastAsia="Arial" w:hAnsi="Arial"/>
          <w:sz w:val="22"/>
          <w:szCs w:val="22"/>
          <w:u w:val="single" w:color="auto"/>
          <w:color w:val="auto"/>
        </w:rPr>
        <w:t>Section 4(a)(xvi) – Consolidated EBITDA to Consolidated Net Interest Expense</w:t>
      </w:r>
      <w:r>
        <w:rPr>
          <w:rFonts w:ascii="Arial" w:cs="Arial" w:eastAsia="Arial" w:hAnsi="Arial"/>
          <w:sz w:val="22"/>
          <w:szCs w:val="22"/>
          <w:color w:val="auto"/>
        </w:rPr>
        <w:t>:</w:t>
      </w:r>
    </w:p>
    <w:p>
      <w:pPr>
        <w:spacing w:after="0" w:line="204" w:lineRule="exact"/>
        <w:rPr>
          <w:sz w:val="20"/>
          <w:szCs w:val="20"/>
          <w:color w:val="auto"/>
        </w:rPr>
      </w:pPr>
    </w:p>
    <w:tbl>
      <w:tblPr>
        <w:tblLayout w:type="fixed"/>
        <w:tblInd w:w="567" w:type="dxa"/>
        <w:tblCellMar>
          <w:top w:w="0" w:type="dxa"/>
          <w:left w:w="0" w:type="dxa"/>
          <w:bottom w:w="0" w:type="dxa"/>
          <w:right w:w="0" w:type="dxa"/>
        </w:tblCellMar>
      </w:tblPr>
      <w:tr>
        <w:trPr>
          <w:trHeight w:val="253"/>
        </w:trPr>
        <w:tc>
          <w:tcPr>
            <w:tcW w:w="300" w:type="dxa"/>
            <w:vAlign w:val="bottom"/>
          </w:tcPr>
          <w:p>
            <w:pPr>
              <w:jc w:val="right"/>
              <w:ind w:right="12"/>
              <w:spacing w:after="0"/>
              <w:rPr>
                <w:sz w:val="20"/>
                <w:szCs w:val="20"/>
                <w:color w:val="auto"/>
              </w:rPr>
            </w:pPr>
            <w:r>
              <w:rPr>
                <w:rFonts w:ascii="Arial" w:cs="Arial" w:eastAsia="Arial" w:hAnsi="Arial"/>
                <w:sz w:val="22"/>
                <w:szCs w:val="22"/>
                <w:color w:val="auto"/>
                <w:w w:val="81"/>
              </w:rPr>
              <w:t>1)</w:t>
            </w:r>
          </w:p>
        </w:tc>
        <w:tc>
          <w:tcPr>
            <w:tcW w:w="10220" w:type="dxa"/>
            <w:vAlign w:val="bottom"/>
          </w:tcPr>
          <w:p>
            <w:pPr>
              <w:ind w:left="100"/>
              <w:spacing w:after="0"/>
              <w:rPr>
                <w:sz w:val="20"/>
                <w:szCs w:val="20"/>
                <w:color w:val="auto"/>
              </w:rPr>
            </w:pPr>
            <w:r>
              <w:rPr>
                <w:rFonts w:ascii="Arial" w:cs="Arial" w:eastAsia="Arial" w:hAnsi="Arial"/>
                <w:sz w:val="22"/>
                <w:szCs w:val="22"/>
                <w:color w:val="auto"/>
              </w:rPr>
              <w:t>Consolidated EBITDA (most recent four quarters)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r>
      <w:tr>
        <w:trPr>
          <w:trHeight w:val="479"/>
        </w:trPr>
        <w:tc>
          <w:tcPr>
            <w:tcW w:w="300" w:type="dxa"/>
            <w:vAlign w:val="bottom"/>
          </w:tcPr>
          <w:p>
            <w:pPr>
              <w:jc w:val="right"/>
              <w:ind w:right="12"/>
              <w:spacing w:after="0"/>
              <w:rPr>
                <w:sz w:val="20"/>
                <w:szCs w:val="20"/>
                <w:color w:val="auto"/>
              </w:rPr>
            </w:pPr>
            <w:r>
              <w:rPr>
                <w:rFonts w:ascii="Arial" w:cs="Arial" w:eastAsia="Arial" w:hAnsi="Arial"/>
                <w:sz w:val="22"/>
                <w:szCs w:val="22"/>
                <w:color w:val="auto"/>
                <w:w w:val="81"/>
              </w:rPr>
              <w:t>2)</w:t>
            </w:r>
          </w:p>
        </w:tc>
        <w:tc>
          <w:tcPr>
            <w:tcW w:w="10220" w:type="dxa"/>
            <w:vAlign w:val="bottom"/>
          </w:tcPr>
          <w:p>
            <w:pPr>
              <w:ind w:left="100"/>
              <w:spacing w:after="0"/>
              <w:rPr>
                <w:sz w:val="20"/>
                <w:szCs w:val="20"/>
                <w:color w:val="auto"/>
              </w:rPr>
            </w:pPr>
            <w:r>
              <w:rPr>
                <w:rFonts w:ascii="Arial" w:cs="Arial" w:eastAsia="Arial" w:hAnsi="Arial"/>
                <w:sz w:val="22"/>
                <w:szCs w:val="22"/>
                <w:color w:val="auto"/>
              </w:rPr>
              <w:t>Consolidated Net Interest Expense (most recent four quarters)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r>
    </w:tbl>
    <w:p>
      <w:pPr>
        <w:spacing w:after="0" w:line="249" w:lineRule="exact"/>
        <w:rPr>
          <w:sz w:val="20"/>
          <w:szCs w:val="20"/>
          <w:color w:val="auto"/>
        </w:rPr>
      </w:pPr>
    </w:p>
    <w:p>
      <w:pPr>
        <w:ind w:left="967" w:hanging="396"/>
        <w:spacing w:after="0"/>
        <w:tabs>
          <w:tab w:leader="none" w:pos="967" w:val="left"/>
        </w:tabs>
        <w:numPr>
          <w:ilvl w:val="0"/>
          <w:numId w:val="210"/>
        </w:numPr>
        <w:rPr>
          <w:rFonts w:ascii="Arial" w:cs="Arial" w:eastAsia="Arial" w:hAnsi="Arial"/>
          <w:sz w:val="22"/>
          <w:szCs w:val="22"/>
          <w:color w:val="auto"/>
        </w:rPr>
      </w:pPr>
      <w:r>
        <w:rPr>
          <w:rFonts w:ascii="Arial" w:cs="Arial" w:eastAsia="Arial" w:hAnsi="Arial"/>
          <w:sz w:val="22"/>
          <w:szCs w:val="22"/>
          <w:color w:val="auto"/>
        </w:rPr>
        <w:t>Ratio of 1 to 2</w:t>
      </w:r>
    </w:p>
    <w:p>
      <w:pPr>
        <w:spacing w:after="0" w:line="260" w:lineRule="exact"/>
        <w:rPr>
          <w:sz w:val="20"/>
          <w:szCs w:val="20"/>
          <w:color w:val="auto"/>
        </w:rPr>
      </w:pPr>
    </w:p>
    <w:p>
      <w:pPr>
        <w:ind w:left="967"/>
        <w:spacing w:after="0"/>
        <w:rPr>
          <w:sz w:val="20"/>
          <w:szCs w:val="20"/>
          <w:color w:val="auto"/>
        </w:rPr>
      </w:pPr>
      <w:r>
        <w:rPr>
          <w:rFonts w:ascii="Arial" w:cs="Arial" w:eastAsia="Arial" w:hAnsi="Arial"/>
          <w:sz w:val="22"/>
          <w:szCs w:val="22"/>
          <w:color w:val="auto"/>
        </w:rPr>
        <w:t>Requirement per the September 2018 Guaranty: Not less than:</w:t>
      </w:r>
    </w:p>
    <w:p>
      <w:pPr>
        <w:spacing w:after="0" w:line="233" w:lineRule="exact"/>
        <w:rPr>
          <w:sz w:val="20"/>
          <w:szCs w:val="20"/>
          <w:color w:val="auto"/>
        </w:rPr>
      </w:pPr>
    </w:p>
    <w:p>
      <w:pPr>
        <w:ind w:left="1367"/>
        <w:spacing w:after="0"/>
        <w:rPr>
          <w:sz w:val="20"/>
          <w:szCs w:val="20"/>
          <w:color w:val="auto"/>
        </w:rPr>
      </w:pPr>
      <w:r>
        <w:rPr>
          <w:rFonts w:ascii="Arial" w:cs="Arial" w:eastAsia="Arial" w:hAnsi="Arial"/>
          <w:sz w:val="22"/>
          <w:szCs w:val="22"/>
          <w:color w:val="auto"/>
        </w:rPr>
        <w:t>1.50:1.00 for each four consecutive fiscal quarters ending on or before December 31,</w:t>
      </w:r>
    </w:p>
    <w:p>
      <w:pPr>
        <w:spacing w:after="0" w:line="8" w:lineRule="exact"/>
        <w:rPr>
          <w:sz w:val="20"/>
          <w:szCs w:val="20"/>
          <w:color w:val="auto"/>
        </w:rPr>
      </w:pPr>
    </w:p>
    <w:p>
      <w:pPr>
        <w:ind w:left="1367"/>
        <w:spacing w:after="0"/>
        <w:rPr>
          <w:sz w:val="20"/>
          <w:szCs w:val="20"/>
          <w:color w:val="auto"/>
        </w:rPr>
      </w:pPr>
      <w:r>
        <w:rPr>
          <w:rFonts w:ascii="Arial" w:cs="Arial" w:eastAsia="Arial" w:hAnsi="Arial"/>
          <w:sz w:val="22"/>
          <w:szCs w:val="22"/>
          <w:color w:val="auto"/>
        </w:rPr>
        <w:t>2021, or</w:t>
      </w:r>
    </w:p>
    <w:p>
      <w:pPr>
        <w:spacing w:after="0" w:line="215" w:lineRule="exact"/>
        <w:rPr>
          <w:sz w:val="20"/>
          <w:szCs w:val="20"/>
          <w:color w:val="auto"/>
        </w:rPr>
      </w:pPr>
    </w:p>
    <w:p>
      <w:pPr>
        <w:ind w:left="1367"/>
        <w:spacing w:after="0"/>
        <w:rPr>
          <w:sz w:val="20"/>
          <w:szCs w:val="20"/>
          <w:color w:val="auto"/>
        </w:rPr>
      </w:pPr>
      <w:r>
        <w:rPr>
          <w:rFonts w:ascii="Arial" w:cs="Arial" w:eastAsia="Arial" w:hAnsi="Arial"/>
          <w:sz w:val="22"/>
          <w:szCs w:val="22"/>
          <w:color w:val="auto"/>
        </w:rPr>
        <w:t>2.00:1.00 for each four consecutive fiscal quarters of the Guarantor thereafter</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[yes/no]</w:t>
      </w:r>
    </w:p>
    <w:p>
      <w:pPr>
        <w:spacing w:after="0" w:line="269" w:lineRule="exact"/>
        <w:rPr>
          <w:sz w:val="20"/>
          <w:szCs w:val="20"/>
          <w:color w:val="auto"/>
        </w:rPr>
      </w:pPr>
    </w:p>
    <w:p>
      <w:pPr>
        <w:ind w:left="507" w:hanging="507"/>
        <w:spacing w:after="0"/>
        <w:tabs>
          <w:tab w:leader="none" w:pos="507" w:val="left"/>
        </w:tabs>
        <w:numPr>
          <w:ilvl w:val="0"/>
          <w:numId w:val="211"/>
        </w:numPr>
        <w:rPr>
          <w:rFonts w:ascii="Arial" w:cs="Arial" w:eastAsia="Arial" w:hAnsi="Arial"/>
          <w:sz w:val="22"/>
          <w:szCs w:val="22"/>
          <w:color w:val="auto"/>
        </w:rPr>
      </w:pPr>
      <w:r>
        <w:rPr>
          <w:rFonts w:ascii="Arial" w:cs="Arial" w:eastAsia="Arial" w:hAnsi="Arial"/>
          <w:sz w:val="22"/>
          <w:szCs w:val="22"/>
          <w:u w:val="single" w:color="auto"/>
          <w:color w:val="auto"/>
        </w:rPr>
        <w:t>Section 4(b)(iii) – Lease Obligations</w:t>
      </w:r>
      <w:r>
        <w:rPr>
          <w:rFonts w:ascii="Arial" w:cs="Arial" w:eastAsia="Arial" w:hAnsi="Arial"/>
          <w:sz w:val="22"/>
          <w:szCs w:val="22"/>
          <w:color w:val="auto"/>
        </w:rPr>
        <w:t>:</w:t>
      </w:r>
    </w:p>
    <w:p>
      <w:pPr>
        <w:spacing w:after="0" w:line="220" w:lineRule="exact"/>
        <w:rPr>
          <w:sz w:val="20"/>
          <w:szCs w:val="20"/>
          <w:color w:val="auto"/>
        </w:rPr>
      </w:pPr>
    </w:p>
    <w:p>
      <w:pPr>
        <w:ind w:left="507"/>
        <w:spacing w:after="0"/>
        <w:tabs>
          <w:tab w:leader="none" w:pos="1067" w:val="left"/>
          <w:tab w:leader="none" w:pos="11067"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Lease Obligations incurred by the Guarantor and its Subsidiaries</w:t>
      </w:r>
      <w:r>
        <w:rPr>
          <w:sz w:val="20"/>
          <w:szCs w:val="20"/>
          <w:color w:val="auto"/>
        </w:rPr>
        <w:tab/>
      </w:r>
      <w:r>
        <w:rPr>
          <w:rFonts w:ascii="Arial" w:cs="Arial" w:eastAsia="Arial" w:hAnsi="Arial"/>
          <w:sz w:val="17"/>
          <w:szCs w:val="17"/>
          <w:u w:val="single" w:color="auto"/>
          <w:color w:val="auto"/>
        </w:rPr>
        <w:t>$</w:t>
      </w:r>
    </w:p>
    <w:p>
      <w:pPr>
        <w:spacing w:after="0" w:line="247" w:lineRule="exact"/>
        <w:rPr>
          <w:sz w:val="20"/>
          <w:szCs w:val="20"/>
          <w:color w:val="auto"/>
        </w:rPr>
      </w:pPr>
    </w:p>
    <w:p>
      <w:pPr>
        <w:ind w:left="1467"/>
        <w:spacing w:after="0"/>
        <w:rPr>
          <w:sz w:val="20"/>
          <w:szCs w:val="20"/>
          <w:color w:val="auto"/>
        </w:rPr>
      </w:pPr>
      <w:r>
        <w:rPr>
          <w:rFonts w:ascii="Arial" w:cs="Arial" w:eastAsia="Arial" w:hAnsi="Arial"/>
          <w:sz w:val="22"/>
          <w:szCs w:val="22"/>
          <w:color w:val="auto"/>
        </w:rPr>
        <w:t>Requirement per the September 2018 Guaranty: Shall not exceed:</w:t>
      </w:r>
    </w:p>
    <w:p>
      <w:pPr>
        <w:spacing w:after="0" w:line="220" w:lineRule="exact"/>
        <w:rPr>
          <w:sz w:val="20"/>
          <w:szCs w:val="20"/>
          <w:color w:val="auto"/>
        </w:rPr>
      </w:pPr>
    </w:p>
    <w:p>
      <w:pPr>
        <w:ind w:left="1467"/>
        <w:spacing w:after="0"/>
        <w:rPr>
          <w:sz w:val="20"/>
          <w:szCs w:val="20"/>
          <w:color w:val="auto"/>
        </w:rPr>
      </w:pPr>
      <w:r>
        <w:rPr>
          <w:rFonts w:ascii="Arial" w:cs="Arial" w:eastAsia="Arial" w:hAnsi="Arial"/>
          <w:sz w:val="22"/>
          <w:szCs w:val="22"/>
          <w:color w:val="auto"/>
        </w:rPr>
        <w:t>$75,000,000</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[yes/no]</w:t>
      </w:r>
    </w:p>
    <w:p>
      <w:pPr>
        <w:spacing w:after="0" w:line="283" w:lineRule="exact"/>
        <w:rPr>
          <w:sz w:val="20"/>
          <w:szCs w:val="20"/>
          <w:color w:val="auto"/>
        </w:rPr>
      </w:pPr>
    </w:p>
    <w:p>
      <w:pPr>
        <w:ind w:left="507" w:hanging="507"/>
        <w:spacing w:after="0"/>
        <w:tabs>
          <w:tab w:leader="none" w:pos="507" w:val="left"/>
        </w:tabs>
        <w:numPr>
          <w:ilvl w:val="0"/>
          <w:numId w:val="212"/>
        </w:numPr>
        <w:rPr>
          <w:rFonts w:ascii="Arial" w:cs="Arial" w:eastAsia="Arial" w:hAnsi="Arial"/>
          <w:sz w:val="22"/>
          <w:szCs w:val="22"/>
          <w:color w:val="auto"/>
        </w:rPr>
      </w:pPr>
      <w:r>
        <w:rPr>
          <w:rFonts w:ascii="Arial" w:cs="Arial" w:eastAsia="Arial" w:hAnsi="Arial"/>
          <w:sz w:val="22"/>
          <w:szCs w:val="22"/>
          <w:u w:val="single" w:color="auto"/>
          <w:color w:val="auto"/>
        </w:rPr>
        <w:t>Section 4(b)(ii)(3) – Unconsolidated JV Investments</w:t>
      </w:r>
      <w:r>
        <w:rPr>
          <w:rFonts w:ascii="Arial" w:cs="Arial" w:eastAsia="Arial" w:hAnsi="Arial"/>
          <w:sz w:val="22"/>
          <w:szCs w:val="22"/>
          <w:color w:val="auto"/>
        </w:rPr>
        <w:t>:</w:t>
      </w:r>
    </w:p>
    <w:p>
      <w:pPr>
        <w:spacing w:after="0" w:line="191" w:lineRule="exact"/>
        <w:rPr>
          <w:sz w:val="20"/>
          <w:szCs w:val="20"/>
          <w:color w:val="auto"/>
        </w:rPr>
      </w:pPr>
    </w:p>
    <w:tbl>
      <w:tblPr>
        <w:tblLayout w:type="fixed"/>
        <w:tblInd w:w="647" w:type="dxa"/>
        <w:tblCellMar>
          <w:top w:w="0" w:type="dxa"/>
          <w:left w:w="0" w:type="dxa"/>
          <w:bottom w:w="0" w:type="dxa"/>
          <w:right w:w="0" w:type="dxa"/>
        </w:tblCellMar>
      </w:tblPr>
      <w:tr>
        <w:trPr>
          <w:trHeight w:val="253"/>
        </w:trPr>
        <w:tc>
          <w:tcPr>
            <w:tcW w:w="300" w:type="dxa"/>
            <w:vAlign w:val="bottom"/>
          </w:tcPr>
          <w:p>
            <w:pPr>
              <w:jc w:val="right"/>
              <w:ind w:right="12"/>
              <w:spacing w:after="0"/>
              <w:rPr>
                <w:sz w:val="20"/>
                <w:szCs w:val="20"/>
                <w:color w:val="auto"/>
              </w:rPr>
            </w:pPr>
            <w:r>
              <w:rPr>
                <w:rFonts w:ascii="Arial" w:cs="Arial" w:eastAsia="Arial" w:hAnsi="Arial"/>
                <w:sz w:val="22"/>
                <w:szCs w:val="22"/>
                <w:color w:val="auto"/>
                <w:w w:val="81"/>
              </w:rPr>
              <w:t>1)</w:t>
            </w:r>
          </w:p>
        </w:tc>
        <w:tc>
          <w:tcPr>
            <w:tcW w:w="10140" w:type="dxa"/>
            <w:vAlign w:val="bottom"/>
          </w:tcPr>
          <w:p>
            <w:pPr>
              <w:ind w:left="140"/>
              <w:spacing w:after="0"/>
              <w:rPr>
                <w:sz w:val="20"/>
                <w:szCs w:val="20"/>
                <w:color w:val="auto"/>
              </w:rPr>
            </w:pPr>
            <w:r>
              <w:rPr>
                <w:rFonts w:ascii="Arial" w:cs="Arial" w:eastAsia="Arial" w:hAnsi="Arial"/>
                <w:sz w:val="22"/>
                <w:szCs w:val="22"/>
                <w:color w:val="auto"/>
              </w:rPr>
              <w:t>Unconsolidated JV Investments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r>
      <w:tr>
        <w:trPr>
          <w:trHeight w:val="479"/>
        </w:trPr>
        <w:tc>
          <w:tcPr>
            <w:tcW w:w="300" w:type="dxa"/>
            <w:vAlign w:val="bottom"/>
          </w:tcPr>
          <w:p>
            <w:pPr>
              <w:jc w:val="right"/>
              <w:ind w:right="12"/>
              <w:spacing w:after="0"/>
              <w:rPr>
                <w:sz w:val="20"/>
                <w:szCs w:val="20"/>
                <w:color w:val="auto"/>
              </w:rPr>
            </w:pPr>
            <w:r>
              <w:rPr>
                <w:rFonts w:ascii="Arial" w:cs="Arial" w:eastAsia="Arial" w:hAnsi="Arial"/>
                <w:sz w:val="22"/>
                <w:szCs w:val="22"/>
                <w:color w:val="auto"/>
                <w:w w:val="81"/>
              </w:rPr>
              <w:t>2)</w:t>
            </w:r>
          </w:p>
        </w:tc>
        <w:tc>
          <w:tcPr>
            <w:tcW w:w="10140" w:type="dxa"/>
            <w:vAlign w:val="bottom"/>
          </w:tcPr>
          <w:p>
            <w:pPr>
              <w:ind w:left="140"/>
              <w:spacing w:after="0"/>
              <w:rPr>
                <w:sz w:val="20"/>
                <w:szCs w:val="20"/>
                <w:color w:val="auto"/>
              </w:rPr>
            </w:pPr>
            <w:r>
              <w:rPr>
                <w:rFonts w:ascii="Arial" w:cs="Arial" w:eastAsia="Arial" w:hAnsi="Arial"/>
                <w:sz w:val="22"/>
                <w:szCs w:val="22"/>
                <w:color w:val="auto"/>
              </w:rPr>
              <w:t>Consolidated Book Equity of the Guarantor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r>
      <w:tr>
        <w:trPr>
          <w:trHeight w:val="480"/>
        </w:trPr>
        <w:tc>
          <w:tcPr>
            <w:tcW w:w="300" w:type="dxa"/>
            <w:vAlign w:val="bottom"/>
          </w:tcPr>
          <w:p>
            <w:pPr>
              <w:jc w:val="right"/>
              <w:ind w:right="12"/>
              <w:spacing w:after="0"/>
              <w:rPr>
                <w:sz w:val="20"/>
                <w:szCs w:val="20"/>
                <w:color w:val="auto"/>
              </w:rPr>
            </w:pPr>
            <w:r>
              <w:rPr>
                <w:rFonts w:ascii="Arial" w:cs="Arial" w:eastAsia="Arial" w:hAnsi="Arial"/>
                <w:sz w:val="22"/>
                <w:szCs w:val="22"/>
                <w:color w:val="auto"/>
                <w:w w:val="81"/>
              </w:rPr>
              <w:t>3)</w:t>
            </w:r>
          </w:p>
        </w:tc>
        <w:tc>
          <w:tcPr>
            <w:tcW w:w="10140" w:type="dxa"/>
            <w:vAlign w:val="bottom"/>
          </w:tcPr>
          <w:p>
            <w:pPr>
              <w:ind w:left="140"/>
              <w:spacing w:after="0"/>
              <w:rPr>
                <w:sz w:val="20"/>
                <w:szCs w:val="20"/>
                <w:color w:val="auto"/>
              </w:rPr>
            </w:pPr>
            <w:r>
              <w:rPr>
                <w:rFonts w:ascii="Arial" w:cs="Arial" w:eastAsia="Arial" w:hAnsi="Arial"/>
                <w:sz w:val="22"/>
                <w:szCs w:val="22"/>
                <w:color w:val="auto"/>
              </w:rPr>
              <w:t>30% of 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r>
    </w:tbl>
    <w:p>
      <w:pPr>
        <w:spacing w:after="0" w:line="262" w:lineRule="exact"/>
        <w:rPr>
          <w:sz w:val="20"/>
          <w:szCs w:val="20"/>
          <w:color w:val="auto"/>
        </w:rPr>
      </w:pPr>
    </w:p>
    <w:p>
      <w:pPr>
        <w:ind w:left="1467" w:right="2060"/>
        <w:spacing w:after="0" w:line="238" w:lineRule="auto"/>
        <w:rPr>
          <w:sz w:val="20"/>
          <w:szCs w:val="20"/>
          <w:color w:val="auto"/>
        </w:rPr>
      </w:pPr>
      <w:r>
        <w:rPr>
          <w:rFonts w:ascii="Arial" w:cs="Arial" w:eastAsia="Arial" w:hAnsi="Arial"/>
          <w:sz w:val="22"/>
          <w:szCs w:val="22"/>
          <w:color w:val="auto"/>
        </w:rPr>
        <w:t>Requirement per the September 2018 Guaranty: The Guarantor shall not make any new Investment in any Person which is not a Subsidiary of the Guarantor and which is not consolidated on the balance sheet of the Guarantor if, before or after giving effect to such Investment:</w:t>
      </w:r>
    </w:p>
    <w:p>
      <w:pPr>
        <w:spacing w:after="0" w:line="198" w:lineRule="exact"/>
        <w:rPr>
          <w:sz w:val="20"/>
          <w:szCs w:val="20"/>
          <w:color w:val="auto"/>
        </w:rPr>
      </w:pPr>
    </w:p>
    <w:p>
      <w:pPr>
        <w:ind w:left="1467"/>
        <w:spacing w:after="0"/>
        <w:rPr>
          <w:sz w:val="20"/>
          <w:szCs w:val="20"/>
          <w:color w:val="auto"/>
        </w:rPr>
      </w:pPr>
      <w:r>
        <w:rPr>
          <w:rFonts w:ascii="Arial" w:cs="Arial" w:eastAsia="Arial" w:hAnsi="Arial"/>
          <w:sz w:val="22"/>
          <w:szCs w:val="22"/>
          <w:color w:val="auto"/>
        </w:rPr>
        <w:t>(3) is greater than (1)</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483235</wp:posOffset>
            </wp:positionV>
            <wp:extent cx="71748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7"/>
          </w:cols>
          <w:pgMar w:left="373" w:top="456" w:right="339" w:bottom="1440" w:gutter="0" w:footer="0" w:header="0"/>
        </w:sectPr>
      </w:pPr>
    </w:p>
    <w:bookmarkStart w:id="222" w:name="page223"/>
    <w:bookmarkEnd w:id="222"/>
    <w:p>
      <w:pPr>
        <w:ind w:left="560" w:hanging="507"/>
        <w:spacing w:after="0"/>
        <w:tabs>
          <w:tab w:leader="none" w:pos="560" w:val="left"/>
        </w:tabs>
        <w:numPr>
          <w:ilvl w:val="0"/>
          <w:numId w:val="213"/>
        </w:numPr>
        <w:rPr>
          <w:rFonts w:ascii="Arial" w:cs="Arial" w:eastAsia="Arial" w:hAnsi="Arial"/>
          <w:sz w:val="22"/>
          <w:szCs w:val="22"/>
          <w:color w:val="auto"/>
        </w:rPr>
      </w:pPr>
      <w:r>
        <w:rPr>
          <w:rFonts w:ascii="Arial" w:cs="Arial" w:eastAsia="Arial" w:hAnsi="Arial"/>
          <w:sz w:val="22"/>
          <w:szCs w:val="22"/>
          <w:u w:val="single" w:color="auto"/>
          <w:color w:val="auto"/>
        </w:rPr>
        <w:t>Section 4(b)(xi)(3) – Subsidiary Indebtedness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140" w:right="1460" w:hanging="442"/>
        <w:spacing w:after="0" w:line="276" w:lineRule="auto"/>
        <w:tabs>
          <w:tab w:leader="none" w:pos="1140" w:val="left"/>
        </w:tabs>
        <w:numPr>
          <w:ilvl w:val="1"/>
          <w:numId w:val="213"/>
        </w:numPr>
        <w:rPr>
          <w:rFonts w:ascii="Arial" w:cs="Arial" w:eastAsia="Arial" w:hAnsi="Arial"/>
          <w:sz w:val="19"/>
          <w:szCs w:val="19"/>
          <w:color w:val="auto"/>
        </w:rPr>
      </w:pPr>
      <w:r>
        <w:rPr>
          <w:rFonts w:ascii="Arial" w:cs="Arial" w:eastAsia="Arial" w:hAnsi="Arial"/>
          <w:sz w:val="19"/>
          <w:szCs w:val="19"/>
          <w:color w:val="auto"/>
        </w:rPr>
        <w:t>Indebtedness</w:t>
      </w:r>
      <w:hyperlink w:anchor="page223">
        <w:r>
          <w:rPr>
            <w:rFonts w:ascii="Arial" w:cs="Arial" w:eastAsia="Arial" w:hAnsi="Arial"/>
            <w:sz w:val="16"/>
            <w:szCs w:val="16"/>
            <w:u w:val="single" w:color="auto"/>
            <w:color w:val="0000EE"/>
          </w:rPr>
          <w:t>1</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of all Subsidiaries of the Guarantor that is not a Credit Party (other than Indebtedness extended to Subsidiaries by the Guarantor or any Subsidiary of the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-176530</wp:posOffset>
            </wp:positionV>
            <wp:extent cx="342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tbl>
      <w:tblPr>
        <w:tblLayout w:type="fixed"/>
        <w:tblInd w:w="70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1014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7" w:lineRule="exact"/>
              <w:rPr>
                <w:sz w:val="20"/>
                <w:szCs w:val="20"/>
                <w:color w:val="auto"/>
              </w:rPr>
            </w:pPr>
            <w:r>
              <w:rPr>
                <w:rFonts w:ascii="Arial" w:cs="Arial" w:eastAsia="Arial" w:hAnsi="Arial"/>
                <w:sz w:val="19"/>
                <w:szCs w:val="19"/>
                <w:color w:val="auto"/>
                <w:w w:val="75"/>
              </w:rPr>
              <w:t>$</w:t>
            </w:r>
          </w:p>
        </w:tc>
      </w:tr>
      <w:tr>
        <w:trPr>
          <w:trHeight w:val="480"/>
        </w:trPr>
        <w:tc>
          <w:tcPr>
            <w:tcW w:w="300" w:type="dxa"/>
            <w:vAlign w:val="bottom"/>
          </w:tcPr>
          <w:p>
            <w:pPr>
              <w:jc w:val="right"/>
              <w:ind w:right="12"/>
              <w:spacing w:after="0"/>
              <w:rPr>
                <w:sz w:val="20"/>
                <w:szCs w:val="20"/>
                <w:color w:val="auto"/>
              </w:rPr>
            </w:pPr>
            <w:r>
              <w:rPr>
                <w:rFonts w:ascii="Arial" w:cs="Arial" w:eastAsia="Arial" w:hAnsi="Arial"/>
                <w:sz w:val="22"/>
                <w:szCs w:val="22"/>
                <w:color w:val="auto"/>
                <w:w w:val="81"/>
              </w:rPr>
              <w:t>2)</w:t>
            </w:r>
          </w:p>
        </w:tc>
        <w:tc>
          <w:tcPr>
            <w:tcW w:w="10140" w:type="dxa"/>
            <w:vAlign w:val="bottom"/>
          </w:tcPr>
          <w:p>
            <w:pPr>
              <w:ind w:left="140"/>
              <w:spacing w:after="0"/>
              <w:rPr>
                <w:sz w:val="20"/>
                <w:szCs w:val="20"/>
                <w:color w:val="auto"/>
              </w:rPr>
            </w:pPr>
            <w:r>
              <w:rPr>
                <w:rFonts w:ascii="Arial" w:cs="Arial" w:eastAsia="Arial" w:hAnsi="Arial"/>
                <w:sz w:val="22"/>
                <w:szCs w:val="22"/>
                <w:color w:val="auto"/>
              </w:rPr>
              <w:t>Consolidated Book Equity of the Guarantor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r>
      <w:tr>
        <w:trPr>
          <w:trHeight w:val="479"/>
        </w:trPr>
        <w:tc>
          <w:tcPr>
            <w:tcW w:w="300" w:type="dxa"/>
            <w:vAlign w:val="bottom"/>
          </w:tcPr>
          <w:p>
            <w:pPr>
              <w:jc w:val="right"/>
              <w:ind w:right="12"/>
              <w:spacing w:after="0"/>
              <w:rPr>
                <w:sz w:val="20"/>
                <w:szCs w:val="20"/>
                <w:color w:val="auto"/>
              </w:rPr>
            </w:pPr>
            <w:r>
              <w:rPr>
                <w:rFonts w:ascii="Arial" w:cs="Arial" w:eastAsia="Arial" w:hAnsi="Arial"/>
                <w:sz w:val="22"/>
                <w:szCs w:val="22"/>
                <w:color w:val="auto"/>
                <w:w w:val="81"/>
              </w:rPr>
              <w:t>3)</w:t>
            </w:r>
          </w:p>
        </w:tc>
        <w:tc>
          <w:tcPr>
            <w:tcW w:w="10140" w:type="dxa"/>
            <w:vAlign w:val="bottom"/>
          </w:tcPr>
          <w:p>
            <w:pPr>
              <w:ind w:left="140"/>
              <w:spacing w:after="0"/>
              <w:rPr>
                <w:sz w:val="20"/>
                <w:szCs w:val="20"/>
                <w:color w:val="auto"/>
              </w:rPr>
            </w:pPr>
            <w:r>
              <w:rPr>
                <w:rFonts w:ascii="Arial" w:cs="Arial" w:eastAsia="Arial" w:hAnsi="Arial"/>
                <w:sz w:val="22"/>
                <w:szCs w:val="22"/>
                <w:color w:val="auto"/>
              </w:rPr>
              <w:t>30% of 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r>
    </w:tbl>
    <w:p>
      <w:pPr>
        <w:spacing w:after="0" w:line="262" w:lineRule="exact"/>
        <w:rPr>
          <w:sz w:val="20"/>
          <w:szCs w:val="20"/>
          <w:color w:val="auto"/>
        </w:rPr>
      </w:pPr>
    </w:p>
    <w:p>
      <w:pPr>
        <w:ind w:left="1520" w:right="1660"/>
        <w:spacing w:after="0" w:line="297" w:lineRule="auto"/>
        <w:rPr>
          <w:sz w:val="20"/>
          <w:szCs w:val="20"/>
          <w:color w:val="auto"/>
        </w:rPr>
      </w:pPr>
      <w:r>
        <w:rPr>
          <w:rFonts w:ascii="Arial" w:cs="Arial" w:eastAsia="Arial" w:hAnsi="Arial"/>
          <w:sz w:val="19"/>
          <w:szCs w:val="19"/>
          <w:color w:val="auto"/>
        </w:rPr>
        <w:t>Requirement per the September 2018 Guaranty: The Guarantor may permit Indebtedness of any Subsidiary of the Guarantor that is not a Credit Party (other than Indebtedness extended to such Subsidiary by the Guarantor or any Subsidiary of the Guarantor), so long as:</w:t>
      </w:r>
    </w:p>
    <w:p>
      <w:pPr>
        <w:spacing w:after="0" w:line="147"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(1) is not greater than (3)</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[yes/no]</w:t>
      </w:r>
    </w:p>
    <w:p>
      <w:pPr>
        <w:spacing w:after="0" w:line="274" w:lineRule="exact"/>
        <w:rPr>
          <w:sz w:val="20"/>
          <w:szCs w:val="20"/>
          <w:color w:val="auto"/>
        </w:rPr>
      </w:pPr>
    </w:p>
    <w:p>
      <w:pPr>
        <w:ind w:left="600" w:hanging="547"/>
        <w:spacing w:after="0"/>
        <w:tabs>
          <w:tab w:leader="none" w:pos="600"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Section 4(a)(iv)(5) – DPA Information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20" w:right="760" w:hanging="454"/>
        <w:spacing w:after="0"/>
        <w:tabs>
          <w:tab w:leader="none" w:pos="1220" w:val="left"/>
        </w:tabs>
        <w:numPr>
          <w:ilvl w:val="1"/>
          <w:numId w:val="214"/>
        </w:numPr>
        <w:rPr>
          <w:rFonts w:ascii="Arial" w:cs="Arial" w:eastAsia="Arial" w:hAnsi="Arial"/>
          <w:sz w:val="22"/>
          <w:szCs w:val="22"/>
          <w:color w:val="auto"/>
        </w:rPr>
      </w:pPr>
      <w:r>
        <w:rPr>
          <w:rFonts w:ascii="Arial" w:cs="Arial" w:eastAsia="Arial" w:hAnsi="Arial"/>
          <w:sz w:val="22"/>
          <w:szCs w:val="22"/>
          <w:color w:val="auto"/>
        </w:rPr>
        <w:t>The aggregate amount outstanding of all payments, contributions and loans made by the Guarantor and its Subsidiaries that are Credit Parties to or on behalf of any DPA SPV pursuant to the DPA Parent Guarantees or otherwise</w:t>
      </w:r>
    </w:p>
    <w:p>
      <w:pPr>
        <w:spacing w:after="0" w:line="2"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10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r>
      <w:tr>
        <w:trPr>
          <w:trHeight w:val="466"/>
        </w:trPr>
        <w:tc>
          <w:tcPr>
            <w:tcW w:w="10380" w:type="dxa"/>
            <w:vAlign w:val="bottom"/>
          </w:tcPr>
          <w:p>
            <w:pPr>
              <w:spacing w:after="0"/>
              <w:rPr>
                <w:sz w:val="20"/>
                <w:szCs w:val="20"/>
                <w:color w:val="auto"/>
              </w:rPr>
            </w:pPr>
            <w:r>
              <w:rPr>
                <w:rFonts w:ascii="Arial" w:cs="Arial" w:eastAsia="Arial" w:hAnsi="Arial"/>
                <w:sz w:val="22"/>
                <w:szCs w:val="22"/>
                <w:color w:val="auto"/>
              </w:rPr>
              <w:t>2)   The DPA SPV 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r>
    </w:tbl>
    <w:p>
      <w:pPr>
        <w:spacing w:after="0" w:line="249" w:lineRule="exact"/>
        <w:rPr>
          <w:sz w:val="20"/>
          <w:szCs w:val="20"/>
          <w:color w:val="auto"/>
        </w:rPr>
      </w:pPr>
    </w:p>
    <w:p>
      <w:pPr>
        <w:ind w:left="1220" w:hanging="454"/>
        <w:spacing w:after="0"/>
        <w:tabs>
          <w:tab w:leader="none" w:pos="122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The ratio of the DPA SPV EBITDA to the debt service obligations of the DPA SPVs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80" w:firstLine="1561"/>
        <w:spacing w:after="0" w:line="250" w:lineRule="auto"/>
        <w:rPr>
          <w:sz w:val="20"/>
          <w:szCs w:val="20"/>
          <w:color w:val="auto"/>
        </w:rPr>
      </w:pPr>
      <w:r>
        <w:rPr>
          <w:rFonts w:ascii="Arial" w:cs="Arial" w:eastAsia="Arial" w:hAnsi="Arial"/>
          <w:sz w:val="22"/>
          <w:szCs w:val="22"/>
          <w:color w:val="auto"/>
        </w:rPr>
        <w:t>Capitalized Terms used in Sections 1 through 7 of this Annex A have the meanings given to such terms in the September 2018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20" w:firstLine="8"/>
        <w:spacing w:after="0" w:line="277" w:lineRule="auto"/>
        <w:tabs>
          <w:tab w:leader="none" w:pos="121" w:val="left"/>
        </w:tabs>
        <w:numPr>
          <w:ilvl w:val="0"/>
          <w:numId w:val="216"/>
        </w:numPr>
        <w:rPr>
          <w:rFonts w:ascii="Arial" w:cs="Arial" w:eastAsia="Arial" w:hAnsi="Arial"/>
          <w:sz w:val="15"/>
          <w:szCs w:val="15"/>
          <w:color w:val="auto"/>
        </w:rPr>
      </w:pPr>
      <w:r>
        <w:rPr>
          <w:rFonts w:ascii="Arial" w:cs="Arial" w:eastAsia="Arial" w:hAnsi="Arial"/>
          <w:sz w:val="18"/>
          <w:szCs w:val="18"/>
          <w:color w:val="auto"/>
        </w:rPr>
        <w:t>Excluding for this purpose (w) all Lease Obligations of such Subsidiary, (x) any Indebtedness described in Section 4(b)(xi)(2) of the Parent Guaranty, (y) normal trade credits in the ordinary course of business, and (z) the DPA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748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23" w:name="page224"/>
    <w:bookmarkEnd w:id="223"/>
    <w:p>
      <w:pPr>
        <w:ind w:left="767" w:hanging="767"/>
        <w:spacing w:after="0"/>
        <w:tabs>
          <w:tab w:leader="none" w:pos="767" w:val="left"/>
        </w:tabs>
        <w:numPr>
          <w:ilvl w:val="0"/>
          <w:numId w:val="217"/>
        </w:numPr>
        <w:rPr>
          <w:rFonts w:ascii="Arial" w:cs="Arial" w:eastAsia="Arial" w:hAnsi="Arial"/>
          <w:sz w:val="22"/>
          <w:szCs w:val="22"/>
          <w:color w:val="auto"/>
        </w:rPr>
      </w:pPr>
      <w:r>
        <w:rPr>
          <w:rFonts w:ascii="Arial" w:cs="Arial" w:eastAsia="Arial" w:hAnsi="Arial"/>
          <w:sz w:val="22"/>
          <w:szCs w:val="22"/>
          <w:u w:val="single" w:color="auto"/>
          <w:color w:val="auto"/>
        </w:rPr>
        <w:t>Section 5.3 – Cash Sweep</w:t>
      </w:r>
    </w:p>
    <w:p>
      <w:pPr>
        <w:spacing w:after="0" w:line="206" w:lineRule="exact"/>
        <w:rPr>
          <w:rFonts w:ascii="Arial" w:cs="Arial" w:eastAsia="Arial" w:hAnsi="Arial"/>
          <w:sz w:val="22"/>
          <w:szCs w:val="22"/>
          <w:color w:val="auto"/>
        </w:rPr>
      </w:pPr>
    </w:p>
    <w:p>
      <w:pPr>
        <w:ind w:left="787" w:right="159"/>
        <w:spacing w:after="0" w:line="250" w:lineRule="auto"/>
        <w:rPr>
          <w:rFonts w:ascii="Arial" w:cs="Arial" w:eastAsia="Arial" w:hAnsi="Arial"/>
          <w:sz w:val="22"/>
          <w:szCs w:val="22"/>
          <w:color w:val="auto"/>
        </w:rPr>
      </w:pPr>
      <w:r>
        <w:rPr>
          <w:rFonts w:ascii="Arial" w:cs="Arial" w:eastAsia="Arial" w:hAnsi="Arial"/>
          <w:sz w:val="22"/>
          <w:szCs w:val="22"/>
          <w:color w:val="auto"/>
        </w:rPr>
        <w:t>Direct Vessel Profit in excess of $6,750,000 (measured in the aggregate) shall be applied to prepay the Facility (up to $1,000,000):</w:t>
      </w:r>
    </w:p>
    <w:p>
      <w:pPr>
        <w:spacing w:after="0" w:line="201" w:lineRule="exact"/>
        <w:rPr>
          <w:rFonts w:ascii="Arial" w:cs="Arial" w:eastAsia="Arial" w:hAnsi="Arial"/>
          <w:sz w:val="22"/>
          <w:szCs w:val="22"/>
          <w:color w:val="auto"/>
        </w:rPr>
      </w:pPr>
    </w:p>
    <w:p>
      <w:pPr>
        <w:ind w:left="1547" w:hanging="764"/>
        <w:spacing w:after="0"/>
        <w:tabs>
          <w:tab w:leader="none" w:pos="1547" w:val="left"/>
        </w:tabs>
        <w:numPr>
          <w:ilvl w:val="1"/>
          <w:numId w:val="217"/>
        </w:numPr>
        <w:rPr>
          <w:rFonts w:ascii="Arial" w:cs="Arial" w:eastAsia="Arial" w:hAnsi="Arial"/>
          <w:sz w:val="22"/>
          <w:szCs w:val="22"/>
          <w:color w:val="auto"/>
        </w:rPr>
      </w:pPr>
      <w:r>
        <w:rPr>
          <w:rFonts w:ascii="Arial" w:cs="Arial" w:eastAsia="Arial" w:hAnsi="Arial"/>
          <w:sz w:val="22"/>
          <w:szCs w:val="22"/>
          <w:color w:val="auto"/>
        </w:rPr>
        <w:t>Aggregate amount of Borrowers’ operating revenues for the year:  $</w:t>
      </w:r>
    </w:p>
    <w:p>
      <w:pPr>
        <w:spacing w:after="0" w:line="219" w:lineRule="exact"/>
        <w:rPr>
          <w:rFonts w:ascii="Arial" w:cs="Arial" w:eastAsia="Arial" w:hAnsi="Arial"/>
          <w:sz w:val="22"/>
          <w:szCs w:val="22"/>
          <w:color w:val="auto"/>
        </w:rPr>
      </w:pPr>
    </w:p>
    <w:p>
      <w:pPr>
        <w:ind w:left="1547" w:hanging="764"/>
        <w:spacing w:after="0"/>
        <w:tabs>
          <w:tab w:leader="none" w:pos="1547" w:val="left"/>
        </w:tabs>
        <w:numPr>
          <w:ilvl w:val="1"/>
          <w:numId w:val="217"/>
        </w:numPr>
        <w:rPr>
          <w:rFonts w:ascii="Arial" w:cs="Arial" w:eastAsia="Arial" w:hAnsi="Arial"/>
          <w:sz w:val="22"/>
          <w:szCs w:val="22"/>
          <w:color w:val="auto"/>
        </w:rPr>
      </w:pPr>
      <w:r>
        <w:rPr>
          <w:rFonts w:ascii="Arial" w:cs="Arial" w:eastAsia="Arial" w:hAnsi="Arial"/>
          <w:sz w:val="22"/>
          <w:szCs w:val="22"/>
          <w:color w:val="auto"/>
        </w:rPr>
        <w:t>Operating Expenses (excluding leased-in equipment):$</w:t>
      </w:r>
    </w:p>
    <w:p>
      <w:pPr>
        <w:sectPr>
          <w:pgSz w:w="11900" w:h="16838" w:orient="portrait"/>
          <w:cols w:equalWidth="0" w:num="1">
            <w:col w:w="9726"/>
          </w:cols>
          <w:pgMar w:left="733" w:top="631" w:right="1440" w:bottom="1440" w:gutter="0" w:footer="0" w:header="0"/>
        </w:sectPr>
      </w:pPr>
    </w:p>
    <w:p>
      <w:pPr>
        <w:spacing w:after="0" w:line="206" w:lineRule="exact"/>
        <w:rPr>
          <w:sz w:val="20"/>
          <w:szCs w:val="20"/>
          <w:color w:val="auto"/>
        </w:rPr>
      </w:pPr>
    </w:p>
    <w:p>
      <w:pPr>
        <w:ind w:left="787"/>
        <w:spacing w:after="0"/>
        <w:rPr>
          <w:sz w:val="20"/>
          <w:szCs w:val="20"/>
          <w:color w:val="auto"/>
        </w:rPr>
      </w:pPr>
      <w:r>
        <w:rPr>
          <w:rFonts w:ascii="Arial" w:cs="Arial" w:eastAsia="Arial" w:hAnsi="Arial"/>
          <w:sz w:val="19"/>
          <w:szCs w:val="19"/>
          <w:color w:val="auto"/>
        </w:rPr>
        <w:t>TOTAL Direct Vessel Profit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23" w:lineRule="exact"/>
        <w:rPr>
          <w:sz w:val="20"/>
          <w:szCs w:val="20"/>
          <w:color w:val="auto"/>
        </w:rPr>
      </w:pPr>
    </w:p>
    <w:p>
      <w:pPr>
        <w:sectPr>
          <w:pgSz w:w="11900" w:h="16838" w:orient="portrait"/>
          <w:cols w:equalWidth="0" w:num="2">
            <w:col w:w="3207" w:space="660"/>
            <w:col w:w="5859"/>
          </w:cols>
          <w:pgMar w:left="733" w:top="631" w:right="1440" w:bottom="1440" w:gutter="0" w:footer="0" w:header="0"/>
          <w:type w:val="continuous"/>
        </w:sectPr>
      </w:pPr>
    </w:p>
    <w:p>
      <w:pPr>
        <w:spacing w:after="0" w:line="41" w:lineRule="exact"/>
        <w:rPr>
          <w:sz w:val="20"/>
          <w:szCs w:val="20"/>
          <w:color w:val="auto"/>
        </w:rPr>
      </w:pPr>
    </w:p>
    <w:p>
      <w:pPr>
        <w:ind w:left="787"/>
        <w:spacing w:after="0"/>
        <w:rPr>
          <w:sz w:val="20"/>
          <w:szCs w:val="20"/>
          <w:color w:val="auto"/>
        </w:rPr>
      </w:pPr>
      <w:r>
        <w:rPr>
          <w:rFonts w:ascii="Arial" w:cs="Arial" w:eastAsia="Arial" w:hAnsi="Arial"/>
          <w:sz w:val="19"/>
          <w:szCs w:val="19"/>
          <w:color w:val="auto"/>
        </w:rPr>
        <w:t>Difference between Direct Vessel Profit and $6,750,000:</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ectPr>
          <w:pgSz w:w="11900" w:h="16838" w:orient="portrait"/>
          <w:cols w:equalWidth="0" w:num="2">
            <w:col w:w="5667" w:space="640"/>
            <w:col w:w="3419"/>
          </w:cols>
          <w:pgMar w:left="733" w:top="631" w:right="1440" w:bottom="1440" w:gutter="0" w:footer="0" w:header="0"/>
          <w:type w:val="continuous"/>
        </w:sectPr>
      </w:pPr>
    </w:p>
    <w:p>
      <w:pPr>
        <w:spacing w:after="0" w:line="45" w:lineRule="exact"/>
        <w:rPr>
          <w:sz w:val="20"/>
          <w:szCs w:val="20"/>
          <w:color w:val="auto"/>
        </w:rPr>
      </w:pPr>
    </w:p>
    <w:p>
      <w:pPr>
        <w:ind w:left="7"/>
        <w:spacing w:after="0"/>
        <w:rPr>
          <w:sz w:val="20"/>
          <w:szCs w:val="20"/>
          <w:color w:val="auto"/>
        </w:rPr>
      </w:pPr>
      <w:r>
        <w:rPr>
          <w:rFonts w:ascii="Arial" w:cs="Arial" w:eastAsia="Arial" w:hAnsi="Arial"/>
          <w:sz w:val="22"/>
          <w:szCs w:val="22"/>
          <w:color w:val="auto"/>
        </w:rPr>
        <w:t>[FOR EACH 2</w:t>
      </w:r>
      <w:r>
        <w:rPr>
          <w:rFonts w:ascii="Arial" w:cs="Arial" w:eastAsia="Arial" w:hAnsi="Arial"/>
          <w:sz w:val="18"/>
          <w:szCs w:val="18"/>
          <w:color w:val="auto"/>
        </w:rPr>
        <w:t>nd</w:t>
      </w:r>
      <w:r>
        <w:rPr>
          <w:rFonts w:ascii="Arial" w:cs="Arial" w:eastAsia="Arial" w:hAnsi="Arial"/>
          <w:sz w:val="22"/>
          <w:szCs w:val="22"/>
          <w:color w:val="auto"/>
        </w:rPr>
        <w:t xml:space="preserve"> and 4</w:t>
      </w:r>
      <w:r>
        <w:rPr>
          <w:rFonts w:ascii="Arial" w:cs="Arial" w:eastAsia="Arial" w:hAnsi="Arial"/>
          <w:sz w:val="18"/>
          <w:szCs w:val="18"/>
          <w:color w:val="auto"/>
        </w:rPr>
        <w:t>th</w:t>
      </w:r>
      <w:r>
        <w:rPr>
          <w:rFonts w:ascii="Arial" w:cs="Arial" w:eastAsia="Arial" w:hAnsi="Arial"/>
          <w:sz w:val="22"/>
          <w:szCs w:val="22"/>
          <w:color w:val="auto"/>
        </w:rPr>
        <w:t xml:space="preserve"> QUARTER COMPLIANCE CERTIFICATE]</w:t>
      </w:r>
    </w:p>
    <w:p>
      <w:pPr>
        <w:spacing w:after="0" w:line="8" w:lineRule="exact"/>
        <w:rPr>
          <w:sz w:val="20"/>
          <w:szCs w:val="20"/>
          <w:color w:val="auto"/>
        </w:rPr>
      </w:pPr>
    </w:p>
    <w:p>
      <w:pPr>
        <w:ind w:left="767" w:hanging="767"/>
        <w:spacing w:after="0"/>
        <w:tabs>
          <w:tab w:leader="none" w:pos="767" w:val="left"/>
        </w:tabs>
        <w:numPr>
          <w:ilvl w:val="0"/>
          <w:numId w:val="218"/>
        </w:numPr>
        <w:rPr>
          <w:rFonts w:ascii="Arial" w:cs="Arial" w:eastAsia="Arial" w:hAnsi="Arial"/>
          <w:sz w:val="22"/>
          <w:szCs w:val="22"/>
          <w:color w:val="auto"/>
        </w:rPr>
      </w:pPr>
      <w:r>
        <w:rPr>
          <w:rFonts w:ascii="Arial" w:cs="Arial" w:eastAsia="Arial" w:hAnsi="Arial"/>
          <w:sz w:val="22"/>
          <w:szCs w:val="22"/>
          <w:u w:val="single" w:color="auto"/>
          <w:color w:val="auto"/>
        </w:rPr>
        <w:t>Section 9.4 – Asset Maintenance</w:t>
      </w:r>
    </w:p>
    <w:p>
      <w:pPr>
        <w:spacing w:after="0" w:line="182" w:lineRule="exact"/>
        <w:rPr>
          <w:sz w:val="20"/>
          <w:szCs w:val="20"/>
          <w:color w:val="auto"/>
        </w:rPr>
      </w:pPr>
    </w:p>
    <w:p>
      <w:pPr>
        <w:ind w:left="7" w:right="1379"/>
        <w:spacing w:after="0" w:line="256" w:lineRule="auto"/>
        <w:rPr>
          <w:sz w:val="20"/>
          <w:szCs w:val="20"/>
          <w:color w:val="auto"/>
        </w:rPr>
      </w:pPr>
      <w:r>
        <w:rPr>
          <w:rFonts w:ascii="Arial" w:cs="Arial" w:eastAsia="Arial" w:hAnsi="Arial"/>
          <w:sz w:val="22"/>
          <w:szCs w:val="22"/>
          <w:color w:val="auto"/>
        </w:rPr>
        <w:t xml:space="preserve">The Fair Market Value of the Vessels shall not be less than </w:t>
      </w:r>
      <w:r>
        <w:rPr>
          <w:rFonts w:ascii="Arial" w:cs="Arial" w:eastAsia="Arial" w:hAnsi="Arial"/>
          <w:sz w:val="22"/>
          <w:szCs w:val="22"/>
          <w:b w:val="1"/>
          <w:bCs w:val="1"/>
          <w:color w:val="auto"/>
        </w:rPr>
        <w:t>one hundred forty percent (140%)</w:t>
      </w:r>
      <w:r>
        <w:rPr>
          <w:rFonts w:ascii="Arial" w:cs="Arial" w:eastAsia="Arial" w:hAnsi="Arial"/>
          <w:sz w:val="22"/>
          <w:szCs w:val="22"/>
          <w:color w:val="auto"/>
        </w:rPr>
        <w:t xml:space="preserve"> of the outstanding amount of the Facility.</w:t>
      </w:r>
    </w:p>
    <w:p>
      <w:pPr>
        <w:spacing w:after="0" w:line="195" w:lineRule="exact"/>
        <w:rPr>
          <w:sz w:val="20"/>
          <w:szCs w:val="20"/>
          <w:color w:val="auto"/>
        </w:rPr>
      </w:pPr>
    </w:p>
    <w:p>
      <w:pPr>
        <w:ind w:left="767" w:hanging="767"/>
        <w:spacing w:after="0"/>
        <w:tabs>
          <w:tab w:leader="none" w:pos="767" w:val="left"/>
        </w:tabs>
        <w:numPr>
          <w:ilvl w:val="0"/>
          <w:numId w:val="219"/>
        </w:numPr>
        <w:rPr>
          <w:rFonts w:ascii="Arial" w:cs="Arial" w:eastAsia="Arial" w:hAnsi="Arial"/>
          <w:sz w:val="22"/>
          <w:szCs w:val="22"/>
          <w:color w:val="auto"/>
        </w:rPr>
      </w:pPr>
      <w:r>
        <w:rPr>
          <w:rFonts w:ascii="Arial" w:cs="Arial" w:eastAsia="Arial" w:hAnsi="Arial"/>
          <w:sz w:val="22"/>
          <w:szCs w:val="22"/>
          <w:u w:val="single" w:color="auto"/>
          <w:color w:val="auto"/>
        </w:rPr>
        <w:t>Fair Market Value of the Vessels</w:t>
      </w:r>
      <w:r>
        <w:rPr>
          <w:rFonts w:ascii="Arial" w:cs="Arial" w:eastAsia="Arial" w:hAnsi="Arial"/>
          <w:sz w:val="22"/>
          <w:szCs w:val="22"/>
          <w:color w:val="auto"/>
        </w:rPr>
        <w:t>:</w:t>
      </w:r>
    </w:p>
    <w:p>
      <w:pPr>
        <w:spacing w:after="0" w:line="210" w:lineRule="exact"/>
        <w:rPr>
          <w:sz w:val="20"/>
          <w:szCs w:val="20"/>
          <w:color w:val="auto"/>
        </w:rPr>
      </w:pPr>
    </w:p>
    <w:tbl>
      <w:tblPr>
        <w:tblLayout w:type="fixed"/>
        <w:tblInd w:w="787" w:type="dxa"/>
        <w:tblCellMar>
          <w:top w:w="0" w:type="dxa"/>
          <w:left w:w="0" w:type="dxa"/>
          <w:bottom w:w="0" w:type="dxa"/>
          <w:right w:w="0" w:type="dxa"/>
        </w:tblCellMar>
      </w:tblPr>
      <w:tr>
        <w:trPr>
          <w:trHeight w:val="253"/>
        </w:trPr>
        <w:tc>
          <w:tcPr>
            <w:tcW w:w="3220" w:type="dxa"/>
            <w:vAlign w:val="bottom"/>
            <w:gridSpan w:val="2"/>
          </w:tcPr>
          <w:p>
            <w:pPr>
              <w:spacing w:after="0"/>
              <w:rPr>
                <w:sz w:val="20"/>
                <w:szCs w:val="20"/>
                <w:color w:val="auto"/>
              </w:rPr>
            </w:pPr>
            <w:r>
              <w:rPr>
                <w:rFonts w:ascii="Arial" w:cs="Arial" w:eastAsia="Arial" w:hAnsi="Arial"/>
                <w:sz w:val="22"/>
                <w:szCs w:val="22"/>
                <w:color w:val="auto"/>
              </w:rPr>
              <w:t>VESSEL 1 (</w:t>
            </w:r>
            <w:r>
              <w:rPr>
                <w:rFonts w:ascii="Arial" w:cs="Arial" w:eastAsia="Arial" w:hAnsi="Arial"/>
                <w:sz w:val="22"/>
                <w:szCs w:val="22"/>
                <w:b w:val="1"/>
                <w:bCs w:val="1"/>
                <w:color w:val="auto"/>
              </w:rPr>
              <w:t>SEACOR BRAVE</w:t>
            </w:r>
            <w:r>
              <w:rPr>
                <w:rFonts w:ascii="Arial" w:cs="Arial" w:eastAsia="Arial" w:hAnsi="Arial"/>
                <w:sz w:val="22"/>
                <w:szCs w:val="22"/>
                <w:color w:val="auto"/>
              </w:rPr>
              <w:t>)</w:t>
            </w: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74"/>
        </w:trPr>
        <w:tc>
          <w:tcPr>
            <w:tcW w:w="3220" w:type="dxa"/>
            <w:vAlign w:val="bottom"/>
            <w:gridSpan w:val="2"/>
          </w:tcPr>
          <w:p>
            <w:pPr>
              <w:spacing w:after="0"/>
              <w:rPr>
                <w:sz w:val="20"/>
                <w:szCs w:val="20"/>
                <w:color w:val="auto"/>
              </w:rPr>
            </w:pPr>
            <w:r>
              <w:rPr>
                <w:rFonts w:ascii="Arial" w:cs="Arial" w:eastAsia="Arial" w:hAnsi="Arial"/>
                <w:sz w:val="22"/>
                <w:szCs w:val="22"/>
                <w:color w:val="auto"/>
              </w:rPr>
              <w:t>Fair Market Value of Vessel 1</w:t>
            </w:r>
          </w:p>
        </w:tc>
        <w:tc>
          <w:tcPr>
            <w:tcW w:w="920" w:type="dxa"/>
            <w:vAlign w:val="bottom"/>
          </w:tcPr>
          <w:p>
            <w:pPr>
              <w:spacing w:after="0"/>
              <w:rPr>
                <w:sz w:val="20"/>
                <w:szCs w:val="20"/>
                <w:color w:val="auto"/>
              </w:rPr>
            </w:pPr>
            <w:r>
              <w:rPr>
                <w:rFonts w:ascii="Arial" w:cs="Arial" w:eastAsia="Arial" w:hAnsi="Arial"/>
                <w:sz w:val="22"/>
                <w:szCs w:val="22"/>
                <w:color w:val="auto"/>
                <w:w w:val="91"/>
              </w:rPr>
              <w:t>Actual = $</w:t>
            </w:r>
          </w:p>
        </w:tc>
        <w:tc>
          <w:tcPr>
            <w:tcW w:w="280" w:type="dxa"/>
            <w:vAlign w:val="bottom"/>
          </w:tcPr>
          <w:p>
            <w:pPr>
              <w:spacing w:after="0"/>
              <w:rPr>
                <w:sz w:val="23"/>
                <w:szCs w:val="23"/>
                <w:color w:val="auto"/>
              </w:rPr>
            </w:pPr>
          </w:p>
        </w:tc>
      </w:tr>
      <w:tr>
        <w:trPr>
          <w:trHeight w:val="428"/>
        </w:trPr>
        <w:tc>
          <w:tcPr>
            <w:tcW w:w="980" w:type="dxa"/>
            <w:vAlign w:val="bottom"/>
          </w:tcPr>
          <w:p>
            <w:pPr>
              <w:spacing w:after="0"/>
              <w:rPr>
                <w:sz w:val="20"/>
                <w:szCs w:val="20"/>
                <w:color w:val="auto"/>
              </w:rPr>
            </w:pPr>
            <w:r>
              <w:rPr>
                <w:rFonts w:ascii="Arial" w:cs="Arial" w:eastAsia="Arial" w:hAnsi="Arial"/>
                <w:sz w:val="22"/>
                <w:szCs w:val="22"/>
                <w:color w:val="auto"/>
                <w:w w:val="92"/>
              </w:rPr>
              <w:t>VESSEL 2</w:t>
            </w:r>
          </w:p>
        </w:tc>
        <w:tc>
          <w:tcPr>
            <w:tcW w:w="2240" w:type="dxa"/>
            <w:vAlign w:val="bottom"/>
          </w:tcPr>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SEACOR CHIEF</w:t>
            </w:r>
            <w:r>
              <w:rPr>
                <w:rFonts w:ascii="Arial" w:cs="Arial" w:eastAsia="Arial" w:hAnsi="Arial"/>
                <w:sz w:val="22"/>
                <w:szCs w:val="22"/>
                <w:color w:val="auto"/>
              </w:rPr>
              <w:t>)</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74"/>
        </w:trPr>
        <w:tc>
          <w:tcPr>
            <w:tcW w:w="3220" w:type="dxa"/>
            <w:vAlign w:val="bottom"/>
            <w:gridSpan w:val="2"/>
          </w:tcPr>
          <w:p>
            <w:pPr>
              <w:spacing w:after="0"/>
              <w:rPr>
                <w:sz w:val="20"/>
                <w:szCs w:val="20"/>
                <w:color w:val="auto"/>
              </w:rPr>
            </w:pPr>
            <w:r>
              <w:rPr>
                <w:rFonts w:ascii="Arial" w:cs="Arial" w:eastAsia="Arial" w:hAnsi="Arial"/>
                <w:sz w:val="22"/>
                <w:szCs w:val="22"/>
                <w:color w:val="auto"/>
              </w:rPr>
              <w:t>Fair Market Value of Vessel 2</w:t>
            </w:r>
          </w:p>
        </w:tc>
        <w:tc>
          <w:tcPr>
            <w:tcW w:w="920" w:type="dxa"/>
            <w:vAlign w:val="bottom"/>
          </w:tcPr>
          <w:p>
            <w:pPr>
              <w:spacing w:after="0"/>
              <w:rPr>
                <w:sz w:val="20"/>
                <w:szCs w:val="20"/>
                <w:color w:val="auto"/>
              </w:rPr>
            </w:pPr>
            <w:r>
              <w:rPr>
                <w:rFonts w:ascii="Arial" w:cs="Arial" w:eastAsia="Arial" w:hAnsi="Arial"/>
                <w:sz w:val="22"/>
                <w:szCs w:val="22"/>
                <w:color w:val="auto"/>
                <w:w w:val="91"/>
              </w:rPr>
              <w:t>Actual = $</w:t>
            </w:r>
          </w:p>
        </w:tc>
        <w:tc>
          <w:tcPr>
            <w:tcW w:w="280" w:type="dxa"/>
            <w:vAlign w:val="bottom"/>
          </w:tcPr>
          <w:p>
            <w:pPr>
              <w:spacing w:after="0"/>
              <w:rPr>
                <w:sz w:val="23"/>
                <w:szCs w:val="23"/>
                <w:color w:val="auto"/>
              </w:rPr>
            </w:pPr>
          </w:p>
        </w:tc>
      </w:tr>
      <w:tr>
        <w:trPr>
          <w:trHeight w:val="428"/>
        </w:trPr>
        <w:tc>
          <w:tcPr>
            <w:tcW w:w="980" w:type="dxa"/>
            <w:vAlign w:val="bottom"/>
          </w:tcPr>
          <w:p>
            <w:pPr>
              <w:spacing w:after="0"/>
              <w:rPr>
                <w:sz w:val="20"/>
                <w:szCs w:val="20"/>
                <w:color w:val="auto"/>
              </w:rPr>
            </w:pPr>
            <w:r>
              <w:rPr>
                <w:rFonts w:ascii="Arial" w:cs="Arial" w:eastAsia="Arial" w:hAnsi="Arial"/>
                <w:sz w:val="22"/>
                <w:szCs w:val="22"/>
                <w:color w:val="auto"/>
                <w:w w:val="92"/>
              </w:rPr>
              <w:t>VESSEL 3</w:t>
            </w:r>
          </w:p>
        </w:tc>
        <w:tc>
          <w:tcPr>
            <w:tcW w:w="3160" w:type="dxa"/>
            <w:vAlign w:val="bottom"/>
            <w:gridSpan w:val="2"/>
          </w:tcPr>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SEACOR COURAGEOUS</w:t>
            </w:r>
            <w:r>
              <w:rPr>
                <w:rFonts w:ascii="Arial" w:cs="Arial" w:eastAsia="Arial" w:hAnsi="Arial"/>
                <w:sz w:val="22"/>
                <w:szCs w:val="22"/>
                <w:color w:val="auto"/>
              </w:rPr>
              <w:t>)</w:t>
            </w:r>
          </w:p>
        </w:tc>
        <w:tc>
          <w:tcPr>
            <w:tcW w:w="280" w:type="dxa"/>
            <w:vAlign w:val="bottom"/>
          </w:tcPr>
          <w:p>
            <w:pPr>
              <w:spacing w:after="0"/>
              <w:rPr>
                <w:sz w:val="24"/>
                <w:szCs w:val="24"/>
                <w:color w:val="auto"/>
              </w:rPr>
            </w:pPr>
          </w:p>
        </w:tc>
      </w:tr>
      <w:tr>
        <w:trPr>
          <w:trHeight w:val="274"/>
        </w:trPr>
        <w:tc>
          <w:tcPr>
            <w:tcW w:w="3220" w:type="dxa"/>
            <w:vAlign w:val="bottom"/>
            <w:gridSpan w:val="2"/>
          </w:tcPr>
          <w:p>
            <w:pPr>
              <w:spacing w:after="0"/>
              <w:rPr>
                <w:sz w:val="20"/>
                <w:szCs w:val="20"/>
                <w:color w:val="auto"/>
              </w:rPr>
            </w:pPr>
            <w:r>
              <w:rPr>
                <w:rFonts w:ascii="Arial" w:cs="Arial" w:eastAsia="Arial" w:hAnsi="Arial"/>
                <w:sz w:val="22"/>
                <w:szCs w:val="22"/>
                <w:color w:val="auto"/>
              </w:rPr>
              <w:t>Fair Market Value of Vessel 3</w:t>
            </w:r>
          </w:p>
        </w:tc>
        <w:tc>
          <w:tcPr>
            <w:tcW w:w="920" w:type="dxa"/>
            <w:vAlign w:val="bottom"/>
          </w:tcPr>
          <w:p>
            <w:pPr>
              <w:spacing w:after="0"/>
              <w:rPr>
                <w:sz w:val="20"/>
                <w:szCs w:val="20"/>
                <w:color w:val="auto"/>
              </w:rPr>
            </w:pPr>
            <w:r>
              <w:rPr>
                <w:rFonts w:ascii="Arial" w:cs="Arial" w:eastAsia="Arial" w:hAnsi="Arial"/>
                <w:sz w:val="22"/>
                <w:szCs w:val="22"/>
                <w:color w:val="auto"/>
                <w:w w:val="91"/>
              </w:rPr>
              <w:t>Actual = $</w:t>
            </w:r>
          </w:p>
        </w:tc>
        <w:tc>
          <w:tcPr>
            <w:tcW w:w="280" w:type="dxa"/>
            <w:vAlign w:val="bottom"/>
          </w:tcPr>
          <w:p>
            <w:pPr>
              <w:spacing w:after="0"/>
              <w:rPr>
                <w:sz w:val="23"/>
                <w:szCs w:val="23"/>
                <w:color w:val="auto"/>
              </w:rPr>
            </w:pPr>
          </w:p>
        </w:tc>
      </w:tr>
      <w:tr>
        <w:trPr>
          <w:trHeight w:val="441"/>
        </w:trPr>
        <w:tc>
          <w:tcPr>
            <w:tcW w:w="980" w:type="dxa"/>
            <w:vAlign w:val="bottom"/>
          </w:tcPr>
          <w:p>
            <w:pPr>
              <w:spacing w:after="0"/>
              <w:rPr>
                <w:sz w:val="20"/>
                <w:szCs w:val="20"/>
                <w:color w:val="auto"/>
              </w:rPr>
            </w:pPr>
            <w:r>
              <w:rPr>
                <w:rFonts w:ascii="Arial" w:cs="Arial" w:eastAsia="Arial" w:hAnsi="Arial"/>
                <w:sz w:val="22"/>
                <w:szCs w:val="22"/>
                <w:color w:val="auto"/>
                <w:w w:val="92"/>
              </w:rPr>
              <w:t>VESSEL 4</w:t>
            </w:r>
          </w:p>
        </w:tc>
        <w:tc>
          <w:tcPr>
            <w:tcW w:w="2240" w:type="dxa"/>
            <w:vAlign w:val="bottom"/>
          </w:tcPr>
          <w:p>
            <w:pPr>
              <w:ind w:left="20"/>
              <w:spacing w:after="0"/>
              <w:rPr>
                <w:sz w:val="20"/>
                <w:szCs w:val="20"/>
                <w:color w:val="auto"/>
              </w:rPr>
            </w:pPr>
            <w:r>
              <w:rPr>
                <w:rFonts w:ascii="Arial" w:cs="Arial" w:eastAsia="Arial" w:hAnsi="Arial"/>
                <w:sz w:val="22"/>
                <w:szCs w:val="22"/>
                <w:color w:val="auto"/>
                <w:w w:val="94"/>
              </w:rPr>
              <w:t>(</w:t>
            </w:r>
            <w:r>
              <w:rPr>
                <w:rFonts w:ascii="Arial" w:cs="Arial" w:eastAsia="Arial" w:hAnsi="Arial"/>
                <w:sz w:val="22"/>
                <w:szCs w:val="22"/>
                <w:b w:val="1"/>
                <w:bCs w:val="1"/>
                <w:color w:val="auto"/>
                <w:w w:val="94"/>
              </w:rPr>
              <w:t>SEACOR FEARLESS</w:t>
            </w:r>
            <w:r>
              <w:rPr>
                <w:rFonts w:ascii="Arial" w:cs="Arial" w:eastAsia="Arial" w:hAnsi="Arial"/>
                <w:sz w:val="22"/>
                <w:szCs w:val="22"/>
                <w:color w:val="auto"/>
                <w:w w:val="94"/>
              </w:rPr>
              <w:t>)</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74"/>
        </w:trPr>
        <w:tc>
          <w:tcPr>
            <w:tcW w:w="3220" w:type="dxa"/>
            <w:vAlign w:val="bottom"/>
            <w:gridSpan w:val="2"/>
          </w:tcPr>
          <w:p>
            <w:pPr>
              <w:spacing w:after="0"/>
              <w:rPr>
                <w:sz w:val="20"/>
                <w:szCs w:val="20"/>
                <w:color w:val="auto"/>
              </w:rPr>
            </w:pPr>
            <w:r>
              <w:rPr>
                <w:rFonts w:ascii="Arial" w:cs="Arial" w:eastAsia="Arial" w:hAnsi="Arial"/>
                <w:sz w:val="22"/>
                <w:szCs w:val="22"/>
                <w:color w:val="auto"/>
              </w:rPr>
              <w:t>Fair Market Value of Vessel 4</w:t>
            </w:r>
          </w:p>
        </w:tc>
        <w:tc>
          <w:tcPr>
            <w:tcW w:w="920" w:type="dxa"/>
            <w:vAlign w:val="bottom"/>
          </w:tcPr>
          <w:p>
            <w:pPr>
              <w:spacing w:after="0"/>
              <w:rPr>
                <w:sz w:val="20"/>
                <w:szCs w:val="20"/>
                <w:color w:val="auto"/>
              </w:rPr>
            </w:pPr>
            <w:r>
              <w:rPr>
                <w:rFonts w:ascii="Arial" w:cs="Arial" w:eastAsia="Arial" w:hAnsi="Arial"/>
                <w:sz w:val="22"/>
                <w:szCs w:val="22"/>
                <w:color w:val="auto"/>
                <w:w w:val="91"/>
              </w:rPr>
              <w:t>Actual = $</w:t>
            </w:r>
          </w:p>
        </w:tc>
        <w:tc>
          <w:tcPr>
            <w:tcW w:w="280" w:type="dxa"/>
            <w:vAlign w:val="bottom"/>
          </w:tcPr>
          <w:p>
            <w:pPr>
              <w:spacing w:after="0"/>
              <w:rPr>
                <w:sz w:val="23"/>
                <w:szCs w:val="23"/>
                <w:color w:val="auto"/>
              </w:rPr>
            </w:pPr>
          </w:p>
        </w:tc>
      </w:tr>
      <w:tr>
        <w:trPr>
          <w:trHeight w:val="428"/>
        </w:trPr>
        <w:tc>
          <w:tcPr>
            <w:tcW w:w="980" w:type="dxa"/>
            <w:vAlign w:val="bottom"/>
          </w:tcPr>
          <w:p>
            <w:pPr>
              <w:spacing w:after="0"/>
              <w:rPr>
                <w:sz w:val="20"/>
                <w:szCs w:val="20"/>
                <w:color w:val="auto"/>
              </w:rPr>
            </w:pPr>
            <w:r>
              <w:rPr>
                <w:rFonts w:ascii="Arial" w:cs="Arial" w:eastAsia="Arial" w:hAnsi="Arial"/>
                <w:sz w:val="22"/>
                <w:szCs w:val="22"/>
                <w:color w:val="auto"/>
                <w:w w:val="92"/>
              </w:rPr>
              <w:t>VESSEL 5</w:t>
            </w:r>
          </w:p>
        </w:tc>
        <w:tc>
          <w:tcPr>
            <w:tcW w:w="3160" w:type="dxa"/>
            <w:vAlign w:val="bottom"/>
            <w:gridSpan w:val="2"/>
          </w:tcPr>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SEACOR RESOLUTE</w:t>
            </w:r>
            <w:r>
              <w:rPr>
                <w:rFonts w:ascii="Arial" w:cs="Arial" w:eastAsia="Arial" w:hAnsi="Arial"/>
                <w:sz w:val="22"/>
                <w:szCs w:val="22"/>
                <w:color w:val="auto"/>
              </w:rPr>
              <w:t>)</w:t>
            </w:r>
          </w:p>
        </w:tc>
        <w:tc>
          <w:tcPr>
            <w:tcW w:w="280" w:type="dxa"/>
            <w:vAlign w:val="bottom"/>
          </w:tcPr>
          <w:p>
            <w:pPr>
              <w:spacing w:after="0"/>
              <w:rPr>
                <w:sz w:val="24"/>
                <w:szCs w:val="24"/>
                <w:color w:val="auto"/>
              </w:rPr>
            </w:pPr>
          </w:p>
        </w:tc>
      </w:tr>
      <w:tr>
        <w:trPr>
          <w:trHeight w:val="274"/>
        </w:trPr>
        <w:tc>
          <w:tcPr>
            <w:tcW w:w="3220" w:type="dxa"/>
            <w:vAlign w:val="bottom"/>
            <w:gridSpan w:val="2"/>
          </w:tcPr>
          <w:p>
            <w:pPr>
              <w:spacing w:after="0"/>
              <w:rPr>
                <w:sz w:val="20"/>
                <w:szCs w:val="20"/>
                <w:color w:val="auto"/>
              </w:rPr>
            </w:pPr>
            <w:r>
              <w:rPr>
                <w:rFonts w:ascii="Arial" w:cs="Arial" w:eastAsia="Arial" w:hAnsi="Arial"/>
                <w:sz w:val="22"/>
                <w:szCs w:val="22"/>
                <w:color w:val="auto"/>
              </w:rPr>
              <w:t>Fair Market Value of Vessel 5</w:t>
            </w:r>
          </w:p>
        </w:tc>
        <w:tc>
          <w:tcPr>
            <w:tcW w:w="920" w:type="dxa"/>
            <w:vAlign w:val="bottom"/>
          </w:tcPr>
          <w:p>
            <w:pPr>
              <w:spacing w:after="0"/>
              <w:rPr>
                <w:sz w:val="20"/>
                <w:szCs w:val="20"/>
                <w:color w:val="auto"/>
              </w:rPr>
            </w:pPr>
            <w:r>
              <w:rPr>
                <w:rFonts w:ascii="Arial" w:cs="Arial" w:eastAsia="Arial" w:hAnsi="Arial"/>
                <w:sz w:val="22"/>
                <w:szCs w:val="22"/>
                <w:color w:val="auto"/>
                <w:w w:val="91"/>
              </w:rPr>
              <w:t>Actual = $</w:t>
            </w:r>
          </w:p>
        </w:tc>
        <w:tc>
          <w:tcPr>
            <w:tcW w:w="280" w:type="dxa"/>
            <w:vAlign w:val="bottom"/>
          </w:tcPr>
          <w:p>
            <w:pPr>
              <w:spacing w:after="0"/>
              <w:rPr>
                <w:sz w:val="23"/>
                <w:szCs w:val="23"/>
                <w:color w:val="auto"/>
              </w:rPr>
            </w:pPr>
          </w:p>
        </w:tc>
      </w:tr>
      <w:tr>
        <w:trPr>
          <w:trHeight w:val="459"/>
        </w:trPr>
        <w:tc>
          <w:tcPr>
            <w:tcW w:w="4140" w:type="dxa"/>
            <w:vAlign w:val="bottom"/>
            <w:gridSpan w:val="3"/>
          </w:tcPr>
          <w:p>
            <w:pPr>
              <w:spacing w:after="0"/>
              <w:rPr>
                <w:sz w:val="20"/>
                <w:szCs w:val="20"/>
                <w:color w:val="auto"/>
              </w:rPr>
            </w:pPr>
            <w:r>
              <w:rPr>
                <w:rFonts w:ascii="Arial" w:cs="Arial" w:eastAsia="Arial" w:hAnsi="Arial"/>
                <w:sz w:val="22"/>
                <w:szCs w:val="22"/>
                <w:color w:val="auto"/>
              </w:rPr>
              <w:t>TOTAL Fair Market Value of all Vessels</w:t>
            </w:r>
          </w:p>
        </w:tc>
        <w:tc>
          <w:tcPr>
            <w:tcW w:w="280" w:type="dxa"/>
            <w:vAlign w:val="bottom"/>
          </w:tcPr>
          <w:p>
            <w:pPr>
              <w:jc w:val="right"/>
              <w:spacing w:after="0"/>
              <w:rPr>
                <w:sz w:val="20"/>
                <w:szCs w:val="20"/>
                <w:color w:val="auto"/>
              </w:rPr>
            </w:pPr>
            <w:r>
              <w:rPr>
                <w:rFonts w:ascii="Arial" w:cs="Arial" w:eastAsia="Arial" w:hAnsi="Arial"/>
                <w:sz w:val="22"/>
                <w:szCs w:val="22"/>
                <w:color w:val="auto"/>
                <w:w w:val="83"/>
              </w:rPr>
              <w:t>= $</w:t>
            </w:r>
          </w:p>
        </w:tc>
      </w:tr>
    </w:tbl>
    <w:p>
      <w:pPr>
        <w:spacing w:after="0" w:line="200" w:lineRule="exact"/>
        <w:rPr>
          <w:sz w:val="20"/>
          <w:szCs w:val="20"/>
          <w:color w:val="auto"/>
        </w:rPr>
      </w:pPr>
    </w:p>
    <w:p>
      <w:pPr>
        <w:spacing w:after="0" w:line="282" w:lineRule="exact"/>
        <w:rPr>
          <w:sz w:val="20"/>
          <w:szCs w:val="20"/>
          <w:color w:val="auto"/>
        </w:rPr>
      </w:pPr>
    </w:p>
    <w:p>
      <w:pPr>
        <w:ind w:left="767" w:hanging="767"/>
        <w:spacing w:after="0"/>
        <w:tabs>
          <w:tab w:leader="none" w:pos="767" w:val="left"/>
        </w:tabs>
        <w:numPr>
          <w:ilvl w:val="0"/>
          <w:numId w:val="220"/>
        </w:numPr>
        <w:rPr>
          <w:rFonts w:ascii="Arial" w:cs="Arial" w:eastAsia="Arial" w:hAnsi="Arial"/>
          <w:sz w:val="22"/>
          <w:szCs w:val="22"/>
          <w:color w:val="auto"/>
        </w:rPr>
      </w:pPr>
      <w:r>
        <w:rPr>
          <w:rFonts w:ascii="Arial" w:cs="Arial" w:eastAsia="Arial" w:hAnsi="Arial"/>
          <w:sz w:val="22"/>
          <w:szCs w:val="22"/>
          <w:u w:val="single" w:color="auto"/>
          <w:color w:val="auto"/>
        </w:rPr>
        <w:t>Total outstanding amount of the Facility</w:t>
      </w:r>
      <w:r>
        <w:rPr>
          <w:rFonts w:ascii="Arial" w:cs="Arial" w:eastAsia="Arial" w:hAnsi="Arial"/>
          <w:sz w:val="22"/>
          <w:szCs w:val="22"/>
          <w:color w:val="auto"/>
        </w:rPr>
        <w:t>:Actual = $</w:t>
      </w:r>
    </w:p>
    <w:p>
      <w:pPr>
        <w:spacing w:after="0" w:line="200" w:lineRule="exact"/>
        <w:rPr>
          <w:sz w:val="20"/>
          <w:szCs w:val="20"/>
          <w:color w:val="auto"/>
        </w:rPr>
      </w:pPr>
    </w:p>
    <w:p>
      <w:pPr>
        <w:spacing w:after="0" w:line="290" w:lineRule="exact"/>
        <w:rPr>
          <w:sz w:val="20"/>
          <w:szCs w:val="20"/>
          <w:color w:val="auto"/>
        </w:rPr>
      </w:pPr>
    </w:p>
    <w:p>
      <w:pPr>
        <w:ind w:left="787"/>
        <w:spacing w:after="0"/>
        <w:tabs>
          <w:tab w:leader="none" w:pos="4267" w:val="left"/>
          <w:tab w:leader="none" w:pos="5667" w:val="left"/>
        </w:tabs>
        <w:rPr>
          <w:sz w:val="20"/>
          <w:szCs w:val="20"/>
          <w:color w:val="auto"/>
        </w:rPr>
      </w:pPr>
      <w:r>
        <w:rPr>
          <w:rFonts w:ascii="Arial" w:cs="Arial" w:eastAsia="Arial" w:hAnsi="Arial"/>
          <w:sz w:val="22"/>
          <w:szCs w:val="22"/>
          <w:color w:val="auto"/>
        </w:rPr>
        <w:t>A expressed as a percentage of B</w:t>
      </w:r>
      <w:r>
        <w:rPr>
          <w:sz w:val="20"/>
          <w:szCs w:val="20"/>
          <w:color w:val="auto"/>
        </w:rPr>
        <w:tab/>
      </w:r>
      <w:r>
        <w:rPr>
          <w:rFonts w:ascii="Arial" w:cs="Arial" w:eastAsia="Arial" w:hAnsi="Arial"/>
          <w:sz w:val="22"/>
          <w:szCs w:val="22"/>
          <w:color w:val="auto"/>
        </w:rPr>
        <w:t>Actual =</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483235</wp:posOffset>
            </wp:positionV>
            <wp:extent cx="71748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726"/>
          </w:cols>
          <w:pgMar w:left="733" w:top="631" w:right="1440" w:bottom="1440" w:gutter="0" w:footer="0" w:header="0"/>
          <w:type w:val="continuous"/>
        </w:sectPr>
      </w:pPr>
    </w:p>
    <w:bookmarkStart w:id="224" w:name="page225"/>
    <w:bookmarkEnd w:id="224"/>
    <w:p>
      <w:pPr>
        <w:jc w:val="right"/>
        <w:spacing w:after="0"/>
        <w:rPr>
          <w:sz w:val="20"/>
          <w:szCs w:val="20"/>
          <w:color w:val="auto"/>
        </w:rPr>
      </w:pPr>
      <w:r>
        <w:rPr>
          <w:rFonts w:ascii="Arial" w:cs="Arial" w:eastAsia="Arial" w:hAnsi="Arial"/>
          <w:sz w:val="20"/>
          <w:szCs w:val="20"/>
          <w:b w:val="1"/>
          <w:bCs w:val="1"/>
          <w:color w:val="auto"/>
        </w:rPr>
        <w:t>Annex E</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Exhibit G-2</w:t>
      </w:r>
    </w:p>
    <w:p>
      <w:pPr>
        <w:spacing w:after="0" w:line="243" w:lineRule="exact"/>
        <w:rPr>
          <w:sz w:val="20"/>
          <w:szCs w:val="20"/>
          <w:color w:val="auto"/>
        </w:rPr>
      </w:pPr>
    </w:p>
    <w:p>
      <w:pPr>
        <w:ind w:left="3180"/>
        <w:spacing w:after="0"/>
        <w:rPr>
          <w:sz w:val="20"/>
          <w:szCs w:val="20"/>
          <w:color w:val="auto"/>
        </w:rPr>
      </w:pPr>
      <w:r>
        <w:rPr>
          <w:rFonts w:ascii="Arial" w:cs="Arial" w:eastAsia="Arial" w:hAnsi="Arial"/>
          <w:sz w:val="20"/>
          <w:szCs w:val="20"/>
          <w:b w:val="1"/>
          <w:bCs w:val="1"/>
          <w:color w:val="auto"/>
        </w:rPr>
        <w:t>Form of Mortgage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490220</wp:posOffset>
            </wp:positionV>
            <wp:extent cx="71748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76" w:right="339" w:bottom="1440" w:gutter="0" w:footer="0" w:header="0"/>
        </w:sectPr>
      </w:pPr>
    </w:p>
    <w:bookmarkStart w:id="225" w:name="page226"/>
    <w:bookmarkEnd w:id="225"/>
    <w:p>
      <w:pPr>
        <w:jc w:val="right"/>
        <w:spacing w:after="0"/>
        <w:rPr>
          <w:sz w:val="20"/>
          <w:szCs w:val="20"/>
          <w:color w:val="auto"/>
        </w:rPr>
      </w:pPr>
      <w:r>
        <w:rPr>
          <w:rFonts w:ascii="Arial" w:cs="Arial" w:eastAsia="Arial" w:hAnsi="Arial"/>
          <w:sz w:val="22"/>
          <w:szCs w:val="22"/>
          <w:color w:val="auto"/>
        </w:rPr>
        <w:t>Annex E</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1378585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360"/>
        <w:spacing w:after="0"/>
        <w:rPr>
          <w:sz w:val="20"/>
          <w:szCs w:val="20"/>
          <w:color w:val="auto"/>
        </w:rPr>
      </w:pPr>
      <w:r>
        <w:rPr>
          <w:rFonts w:ascii="Arial" w:cs="Arial" w:eastAsia="Arial" w:hAnsi="Arial"/>
          <w:sz w:val="22"/>
          <w:szCs w:val="22"/>
          <w:color w:val="auto"/>
        </w:rPr>
        <w:t>AMENDMENT NO. 8 TO</w:t>
      </w:r>
    </w:p>
    <w:p>
      <w:pPr>
        <w:spacing w:after="0" w:line="8" w:lineRule="exact"/>
        <w:rPr>
          <w:sz w:val="20"/>
          <w:szCs w:val="20"/>
          <w:color w:val="auto"/>
        </w:rPr>
      </w:pPr>
    </w:p>
    <w:p>
      <w:pPr>
        <w:jc w:val="center"/>
        <w:ind w:right="1360"/>
        <w:spacing w:after="0"/>
        <w:rPr>
          <w:sz w:val="20"/>
          <w:szCs w:val="20"/>
          <w:color w:val="auto"/>
        </w:rPr>
      </w:pPr>
      <w:r>
        <w:rPr>
          <w:rFonts w:ascii="Arial" w:cs="Arial" w:eastAsia="Arial" w:hAnsi="Arial"/>
          <w:sz w:val="22"/>
          <w:szCs w:val="22"/>
          <w:color w:val="auto"/>
        </w:rPr>
        <w:t>FIRST PREFERRED MORTGAGE</w:t>
      </w:r>
    </w:p>
    <w:p>
      <w:pPr>
        <w:spacing w:after="0" w:line="202" w:lineRule="exact"/>
        <w:rPr>
          <w:sz w:val="20"/>
          <w:szCs w:val="20"/>
          <w:color w:val="auto"/>
        </w:rPr>
      </w:pPr>
    </w:p>
    <w:p>
      <w:pPr>
        <w:jc w:val="center"/>
        <w:ind w:right="1360"/>
        <w:spacing w:after="0"/>
        <w:rPr>
          <w:sz w:val="20"/>
          <w:szCs w:val="20"/>
          <w:color w:val="auto"/>
        </w:rPr>
      </w:pPr>
      <w:r>
        <w:rPr>
          <w:rFonts w:ascii="Arial" w:cs="Arial" w:eastAsia="Arial" w:hAnsi="Arial"/>
          <w:sz w:val="22"/>
          <w:szCs w:val="22"/>
          <w:color w:val="auto"/>
        </w:rPr>
        <w:t>- on the -</w:t>
      </w:r>
    </w:p>
    <w:p>
      <w:pPr>
        <w:spacing w:after="0" w:line="233"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United States Flag Vessel SEACOR</w:t>
      </w:r>
    </w:p>
    <w:p>
      <w:pPr>
        <w:ind w:left="4040"/>
        <w:spacing w:after="0" w:line="238" w:lineRule="auto"/>
        <w:rPr>
          <w:sz w:val="20"/>
          <w:szCs w:val="20"/>
          <w:color w:val="auto"/>
        </w:rPr>
      </w:pPr>
      <w:r>
        <w:rPr>
          <w:rFonts w:ascii="Arial" w:cs="Arial" w:eastAsia="Arial" w:hAnsi="Arial"/>
          <w:sz w:val="22"/>
          <w:szCs w:val="22"/>
          <w:color w:val="auto"/>
        </w:rPr>
        <w:t>BRAVE</w:t>
      </w:r>
    </w:p>
    <w:p>
      <w:pPr>
        <w:ind w:left="3320"/>
        <w:spacing w:after="0" w:line="217" w:lineRule="auto"/>
        <w:rPr>
          <w:sz w:val="20"/>
          <w:szCs w:val="20"/>
          <w:color w:val="auto"/>
        </w:rPr>
      </w:pPr>
      <w:r>
        <w:rPr>
          <w:rFonts w:ascii="Arial" w:cs="Arial" w:eastAsia="Arial" w:hAnsi="Arial"/>
          <w:sz w:val="22"/>
          <w:szCs w:val="22"/>
          <w:color w:val="auto"/>
        </w:rPr>
        <w:t>SEACOR BRAVE LLC,</w:t>
      </w:r>
    </w:p>
    <w:p>
      <w:pPr>
        <w:jc w:val="center"/>
        <w:ind w:right="1360"/>
        <w:spacing w:after="0" w:line="231" w:lineRule="auto"/>
        <w:rPr>
          <w:sz w:val="20"/>
          <w:szCs w:val="20"/>
          <w:color w:val="auto"/>
        </w:rPr>
      </w:pPr>
      <w:r>
        <w:rPr>
          <w:rFonts w:ascii="Arial" w:cs="Arial" w:eastAsia="Arial" w:hAnsi="Arial"/>
          <w:sz w:val="22"/>
          <w:szCs w:val="22"/>
          <w:color w:val="auto"/>
        </w:rPr>
        <w:t>as Owner to</w:t>
      </w:r>
    </w:p>
    <w:p>
      <w:pPr>
        <w:jc w:val="center"/>
        <w:ind w:right="1360"/>
        <w:spacing w:after="0"/>
        <w:rPr>
          <w:sz w:val="20"/>
          <w:szCs w:val="20"/>
          <w:color w:val="auto"/>
        </w:rPr>
      </w:pPr>
      <w:r>
        <w:rPr>
          <w:rFonts w:ascii="Arial" w:cs="Arial" w:eastAsia="Arial" w:hAnsi="Arial"/>
          <w:sz w:val="21"/>
          <w:szCs w:val="21"/>
          <w:color w:val="auto"/>
        </w:rPr>
        <w:t>DNB BANK ASA, NEW YORK BRANCH,</w:t>
      </w:r>
    </w:p>
    <w:p>
      <w:pPr>
        <w:spacing w:after="0" w:line="2" w:lineRule="exact"/>
        <w:rPr>
          <w:sz w:val="20"/>
          <w:szCs w:val="20"/>
          <w:color w:val="auto"/>
        </w:rPr>
      </w:pPr>
    </w:p>
    <w:p>
      <w:pPr>
        <w:jc w:val="center"/>
        <w:ind w:right="1360"/>
        <w:spacing w:after="0"/>
        <w:rPr>
          <w:sz w:val="20"/>
          <w:szCs w:val="20"/>
          <w:color w:val="auto"/>
        </w:rPr>
      </w:pPr>
      <w:r>
        <w:rPr>
          <w:rFonts w:ascii="Arial" w:cs="Arial" w:eastAsia="Arial" w:hAnsi="Arial"/>
          <w:sz w:val="22"/>
          <w:szCs w:val="22"/>
          <w:color w:val="auto"/>
        </w:rPr>
        <w:t>as Mortgagee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340"/>
        <w:spacing w:after="0"/>
        <w:tabs>
          <w:tab w:leader="none" w:pos="4860" w:val="left"/>
        </w:tabs>
        <w:rPr>
          <w:sz w:val="20"/>
          <w:szCs w:val="20"/>
          <w:color w:val="auto"/>
        </w:rPr>
      </w:pPr>
      <w:r>
        <w:rPr>
          <w:rFonts w:ascii="Arial" w:cs="Arial" w:eastAsia="Arial" w:hAnsi="Arial"/>
          <w:sz w:val="22"/>
          <w:szCs w:val="22"/>
          <w:color w:val="auto"/>
        </w:rPr>
        <w:t>December</w:t>
      </w:r>
      <w:r>
        <w:rPr>
          <w:sz w:val="20"/>
          <w:szCs w:val="20"/>
          <w:color w:val="auto"/>
        </w:rPr>
        <w:tab/>
      </w:r>
      <w:r>
        <w:rPr>
          <w:rFonts w:ascii="Arial" w:cs="Arial" w:eastAsia="Arial" w:hAnsi="Arial"/>
          <w:sz w:val="22"/>
          <w:szCs w:val="22"/>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628650</wp:posOffset>
            </wp:positionV>
            <wp:extent cx="71748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77" w:right="339" w:bottom="1440" w:gutter="0" w:footer="0" w:header="0"/>
        </w:sectPr>
      </w:pPr>
    </w:p>
    <w:bookmarkStart w:id="226" w:name="page227"/>
    <w:bookmarkEnd w:id="226"/>
    <w:p>
      <w:pPr>
        <w:ind w:left="100"/>
        <w:spacing w:after="0"/>
        <w:rPr>
          <w:sz w:val="20"/>
          <w:szCs w:val="20"/>
          <w:color w:val="auto"/>
        </w:rPr>
      </w:pPr>
      <w:r>
        <w:rPr>
          <w:rFonts w:ascii="Arial" w:cs="Arial" w:eastAsia="Arial" w:hAnsi="Arial"/>
          <w:sz w:val="21"/>
          <w:szCs w:val="21"/>
          <w:b w:val="1"/>
          <w:bCs w:val="1"/>
          <w:u w:val="single" w:color="auto"/>
          <w:color w:val="auto"/>
        </w:rPr>
        <w:t>SYNOPSIS OF AMENDMENT NO. 8 TO FIRST PREFERRED MORTGAGE</w:t>
      </w:r>
    </w:p>
    <w:p>
      <w:pPr>
        <w:sectPr>
          <w:pgSz w:w="11900" w:h="16838" w:orient="portrait"/>
          <w:cols w:equalWidth="0" w:num="1">
            <w:col w:w="11260"/>
          </w:cols>
          <w:pgMar w:left="320" w:top="571" w:right="31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100"/>
        <w:spacing w:after="0"/>
        <w:rPr>
          <w:sz w:val="20"/>
          <w:szCs w:val="20"/>
          <w:color w:val="auto"/>
        </w:rPr>
      </w:pPr>
      <w:r>
        <w:rPr>
          <w:rFonts w:ascii="Arial" w:cs="Arial" w:eastAsia="Arial" w:hAnsi="Arial"/>
          <w:sz w:val="19"/>
          <w:szCs w:val="19"/>
          <w:color w:val="auto"/>
        </w:rPr>
        <w:t>Name and Official Number of Vessel: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color w:val="auto"/>
        </w:rPr>
        <w:t>SEACOR BRAVE, Official Number 1255577</w:t>
      </w:r>
    </w:p>
    <w:p>
      <w:pPr>
        <w:spacing w:after="0" w:line="200" w:lineRule="exact"/>
        <w:rPr>
          <w:sz w:val="20"/>
          <w:szCs w:val="20"/>
          <w:color w:val="auto"/>
        </w:rPr>
      </w:pPr>
    </w:p>
    <w:p>
      <w:pPr>
        <w:sectPr>
          <w:pgSz w:w="11900" w:h="16838" w:orient="portrait"/>
          <w:cols w:equalWidth="0" w:num="2">
            <w:col w:w="3880" w:space="720"/>
            <w:col w:w="6660"/>
          </w:cols>
          <w:pgMar w:left="320" w:top="571" w:right="319" w:bottom="1440" w:gutter="0" w:footer="0" w:header="0"/>
          <w:type w:val="continuous"/>
        </w:sectPr>
      </w:pPr>
    </w:p>
    <w:p>
      <w:pPr>
        <w:spacing w:after="0" w:line="392" w:lineRule="exact"/>
        <w:rPr>
          <w:sz w:val="20"/>
          <w:szCs w:val="20"/>
          <w:color w:val="auto"/>
        </w:rPr>
      </w:pPr>
    </w:p>
    <w:p>
      <w:pPr>
        <w:ind w:left="100"/>
        <w:spacing w:after="0"/>
        <w:rPr>
          <w:sz w:val="20"/>
          <w:szCs w:val="20"/>
          <w:color w:val="auto"/>
        </w:rPr>
      </w:pPr>
      <w:r>
        <w:rPr>
          <w:rFonts w:ascii="Arial" w:cs="Arial" w:eastAsia="Arial" w:hAnsi="Arial"/>
          <w:sz w:val="19"/>
          <w:szCs w:val="19"/>
          <w:color w:val="auto"/>
        </w:rPr>
        <w:t>Type of Instrument:</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Amendment to First Preferred Mortgage, dated January 27, 2015, and filed on January 27, 2015 at 3:20 PM, in Batch 25160500, Document ID Number 5, as amended by Amendment No. 1 dated September 30, 2015 and filed on October 1, 2015 at 5:04 PM, in Batch 31039300, Document ID Number 3, as further amended by Amendment No. 2 dated December 1, 2016 and filed on December 1, 2016 at 5:00 PM, in Batch 40537000, Document ID Number 6, as further amended by an Amendment No. 3 dated September 28, 2018 and filed on September 28, 2018 at 6:06 PM, in Batch 56733300, Document ID Number 3, and as further amended by an Amendment No. 4 dated December 23, 2019 and filed on December 23, 2019 at 5:13 PM, in Batch 71590500, Document ID Number 3, as further amended by Amendment No 5. dated March 25, 2021 and filed on March 25, 2021 at 7:17 PM in Batch 89163100, Document ID Number 7, as further amended by Amendment No. 6 dated September 28, 2021 and filed on September 28, 2021 at 5:50 PM in Batch 97350300, Document ID Number 28 and as further amended by Amendment No. 7 dated November 30, 2021 and filed on November 30, 2021 at 5:35 PM in Batch 99285500, Document ID Number 1</w:t>
      </w:r>
    </w:p>
    <w:p>
      <w:pPr>
        <w:spacing w:after="0" w:line="200" w:lineRule="exact"/>
        <w:rPr>
          <w:sz w:val="20"/>
          <w:szCs w:val="20"/>
          <w:color w:val="auto"/>
        </w:rPr>
      </w:pPr>
    </w:p>
    <w:p>
      <w:pPr>
        <w:sectPr>
          <w:pgSz w:w="11900" w:h="16838" w:orient="portrait"/>
          <w:cols w:equalWidth="0" w:num="2">
            <w:col w:w="3880" w:space="720"/>
            <w:col w:w="6660"/>
          </w:cols>
          <w:pgMar w:left="320" w:top="57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480" w:type="dxa"/>
            <w:vAlign w:val="bottom"/>
          </w:tcPr>
          <w:p>
            <w:pPr>
              <w:ind w:left="100"/>
              <w:spacing w:after="0"/>
              <w:rPr>
                <w:sz w:val="20"/>
                <w:szCs w:val="20"/>
                <w:color w:val="auto"/>
              </w:rPr>
            </w:pPr>
            <w:r>
              <w:rPr>
                <w:rFonts w:ascii="Arial" w:cs="Arial" w:eastAsia="Arial" w:hAnsi="Arial"/>
                <w:sz w:val="22"/>
                <w:szCs w:val="22"/>
                <w:color w:val="auto"/>
              </w:rPr>
              <w:t>Date of Instrument:</w:t>
            </w:r>
          </w:p>
        </w:tc>
        <w:tc>
          <w:tcPr>
            <w:tcW w:w="6780" w:type="dxa"/>
            <w:vAlign w:val="bottom"/>
          </w:tcPr>
          <w:p>
            <w:pPr>
              <w:ind w:left="120"/>
              <w:spacing w:after="0"/>
              <w:rPr>
                <w:sz w:val="20"/>
                <w:szCs w:val="20"/>
                <w:color w:val="auto"/>
              </w:rPr>
            </w:pPr>
            <w:r>
              <w:rPr>
                <w:rFonts w:ascii="Arial" w:cs="Arial" w:eastAsia="Arial" w:hAnsi="Arial"/>
                <w:sz w:val="22"/>
                <w:szCs w:val="22"/>
                <w:color w:val="auto"/>
              </w:rPr>
              <w:t>December, 2021</w:t>
            </w:r>
          </w:p>
        </w:tc>
      </w:tr>
      <w:tr>
        <w:trPr>
          <w:trHeight w:val="536"/>
        </w:trPr>
        <w:tc>
          <w:tcPr>
            <w:tcW w:w="4480" w:type="dxa"/>
            <w:vAlign w:val="bottom"/>
          </w:tcPr>
          <w:p>
            <w:pPr>
              <w:ind w:left="100"/>
              <w:spacing w:after="0"/>
              <w:rPr>
                <w:sz w:val="20"/>
                <w:szCs w:val="20"/>
                <w:color w:val="auto"/>
              </w:rPr>
            </w:pPr>
            <w:r>
              <w:rPr>
                <w:rFonts w:ascii="Arial" w:cs="Arial" w:eastAsia="Arial" w:hAnsi="Arial"/>
                <w:sz w:val="22"/>
                <w:szCs w:val="22"/>
                <w:color w:val="auto"/>
                <w:w w:val="90"/>
              </w:rPr>
              <w:t>Name of Owner/Mortgagor (Percentage of Vessel</w:t>
            </w:r>
          </w:p>
        </w:tc>
        <w:tc>
          <w:tcPr>
            <w:tcW w:w="6780" w:type="dxa"/>
            <w:vAlign w:val="bottom"/>
          </w:tcPr>
          <w:p>
            <w:pPr>
              <w:ind w:left="120"/>
              <w:spacing w:after="0"/>
              <w:rPr>
                <w:sz w:val="20"/>
                <w:szCs w:val="20"/>
                <w:color w:val="auto"/>
              </w:rPr>
            </w:pPr>
            <w:r>
              <w:rPr>
                <w:rFonts w:ascii="Arial" w:cs="Arial" w:eastAsia="Arial" w:hAnsi="Arial"/>
                <w:sz w:val="22"/>
                <w:szCs w:val="22"/>
                <w:color w:val="auto"/>
              </w:rPr>
              <w:t>SEACOR BRAVE LLC (100%)</w:t>
            </w:r>
          </w:p>
        </w:tc>
      </w:tr>
      <w:tr>
        <w:trPr>
          <w:trHeight w:val="274"/>
        </w:trPr>
        <w:tc>
          <w:tcPr>
            <w:tcW w:w="4480" w:type="dxa"/>
            <w:vAlign w:val="bottom"/>
          </w:tcPr>
          <w:p>
            <w:pPr>
              <w:ind w:left="100"/>
              <w:spacing w:after="0"/>
              <w:rPr>
                <w:sz w:val="20"/>
                <w:szCs w:val="20"/>
                <w:color w:val="auto"/>
              </w:rPr>
            </w:pPr>
            <w:r>
              <w:rPr>
                <w:rFonts w:ascii="Arial" w:cs="Arial" w:eastAsia="Arial" w:hAnsi="Arial"/>
                <w:sz w:val="22"/>
                <w:szCs w:val="22"/>
                <w:color w:val="auto"/>
              </w:rPr>
              <w:t>owned):</w:t>
            </w:r>
          </w:p>
        </w:tc>
        <w:tc>
          <w:tcPr>
            <w:tcW w:w="6780" w:type="dxa"/>
            <w:vAlign w:val="bottom"/>
          </w:tcPr>
          <w:p>
            <w:pPr>
              <w:spacing w:after="0"/>
              <w:rPr>
                <w:sz w:val="23"/>
                <w:szCs w:val="23"/>
                <w:color w:val="auto"/>
              </w:rPr>
            </w:pPr>
          </w:p>
        </w:tc>
      </w:tr>
      <w:tr>
        <w:trPr>
          <w:trHeight w:val="644"/>
        </w:trPr>
        <w:tc>
          <w:tcPr>
            <w:tcW w:w="4480" w:type="dxa"/>
            <w:vAlign w:val="bottom"/>
          </w:tcPr>
          <w:p>
            <w:pPr>
              <w:ind w:left="100"/>
              <w:spacing w:after="0"/>
              <w:rPr>
                <w:sz w:val="20"/>
                <w:szCs w:val="20"/>
                <w:color w:val="auto"/>
              </w:rPr>
            </w:pPr>
            <w:r>
              <w:rPr>
                <w:rFonts w:ascii="Arial" w:cs="Arial" w:eastAsia="Arial" w:hAnsi="Arial"/>
                <w:sz w:val="22"/>
                <w:szCs w:val="22"/>
                <w:color w:val="auto"/>
              </w:rPr>
              <w:t>Address of Owner/Mortgagor:</w:t>
            </w:r>
          </w:p>
        </w:tc>
        <w:tc>
          <w:tcPr>
            <w:tcW w:w="6780" w:type="dxa"/>
            <w:vAlign w:val="bottom"/>
          </w:tcPr>
          <w:p>
            <w:pPr>
              <w:ind w:left="120"/>
              <w:spacing w:after="0"/>
              <w:rPr>
                <w:sz w:val="20"/>
                <w:szCs w:val="20"/>
                <w:color w:val="auto"/>
              </w:rPr>
            </w:pPr>
            <w:r>
              <w:rPr>
                <w:rFonts w:ascii="Arial" w:cs="Arial" w:eastAsia="Arial" w:hAnsi="Arial"/>
                <w:sz w:val="22"/>
                <w:szCs w:val="22"/>
                <w:color w:val="auto"/>
              </w:rPr>
              <w:t>SEACOR Brave LLC</w:t>
            </w:r>
          </w:p>
        </w:tc>
      </w:tr>
      <w:tr>
        <w:trPr>
          <w:trHeight w:val="230"/>
        </w:trPr>
        <w:tc>
          <w:tcPr>
            <w:tcW w:w="4480" w:type="dxa"/>
            <w:vAlign w:val="bottom"/>
          </w:tcPr>
          <w:p>
            <w:pPr>
              <w:spacing w:after="0"/>
              <w:rPr>
                <w:sz w:val="19"/>
                <w:szCs w:val="19"/>
                <w:color w:val="auto"/>
              </w:rPr>
            </w:pPr>
          </w:p>
        </w:tc>
        <w:tc>
          <w:tcPr>
            <w:tcW w:w="6780" w:type="dxa"/>
            <w:vAlign w:val="bottom"/>
          </w:tcPr>
          <w:p>
            <w:pPr>
              <w:ind w:left="120"/>
              <w:spacing w:after="0" w:line="229" w:lineRule="exact"/>
              <w:rPr>
                <w:sz w:val="20"/>
                <w:szCs w:val="20"/>
                <w:color w:val="auto"/>
              </w:rPr>
            </w:pPr>
            <w:r>
              <w:rPr>
                <w:rFonts w:ascii="Arial" w:cs="Arial" w:eastAsia="Arial" w:hAnsi="Arial"/>
                <w:sz w:val="22"/>
                <w:szCs w:val="22"/>
                <w:color w:val="auto"/>
              </w:rPr>
              <w:t>c/o SEACOR Marine Holdings Inc. 7910 Main St. 2</w:t>
            </w:r>
            <w:r>
              <w:rPr>
                <w:rFonts w:ascii="Arial" w:cs="Arial" w:eastAsia="Arial" w:hAnsi="Arial"/>
                <w:sz w:val="18"/>
                <w:szCs w:val="18"/>
                <w:color w:val="auto"/>
              </w:rPr>
              <w:t>nd</w:t>
            </w:r>
            <w:r>
              <w:rPr>
                <w:rFonts w:ascii="Arial" w:cs="Arial" w:eastAsia="Arial" w:hAnsi="Arial"/>
                <w:sz w:val="22"/>
                <w:szCs w:val="22"/>
                <w:color w:val="auto"/>
              </w:rPr>
              <w:t xml:space="preserve"> Floor</w:t>
            </w:r>
          </w:p>
        </w:tc>
      </w:tr>
      <w:tr>
        <w:trPr>
          <w:trHeight w:val="274"/>
        </w:trPr>
        <w:tc>
          <w:tcPr>
            <w:tcW w:w="4480" w:type="dxa"/>
            <w:vAlign w:val="bottom"/>
          </w:tcPr>
          <w:p>
            <w:pPr>
              <w:spacing w:after="0"/>
              <w:rPr>
                <w:sz w:val="23"/>
                <w:szCs w:val="23"/>
                <w:color w:val="auto"/>
              </w:rPr>
            </w:pPr>
          </w:p>
        </w:tc>
        <w:tc>
          <w:tcPr>
            <w:tcW w:w="6780" w:type="dxa"/>
            <w:vAlign w:val="bottom"/>
          </w:tcPr>
          <w:p>
            <w:pPr>
              <w:ind w:left="120"/>
              <w:spacing w:after="0"/>
              <w:rPr>
                <w:sz w:val="20"/>
                <w:szCs w:val="20"/>
                <w:color w:val="auto"/>
              </w:rPr>
            </w:pPr>
            <w:r>
              <w:rPr>
                <w:rFonts w:ascii="Arial" w:cs="Arial" w:eastAsia="Arial" w:hAnsi="Arial"/>
                <w:sz w:val="22"/>
                <w:szCs w:val="22"/>
                <w:color w:val="auto"/>
              </w:rPr>
              <w:t>Houma, Louisiana 70360</w:t>
            </w:r>
          </w:p>
        </w:tc>
      </w:tr>
      <w:tr>
        <w:trPr>
          <w:trHeight w:val="925"/>
        </w:trPr>
        <w:tc>
          <w:tcPr>
            <w:tcW w:w="4480" w:type="dxa"/>
            <w:vAlign w:val="bottom"/>
          </w:tcPr>
          <w:p>
            <w:pPr>
              <w:spacing w:after="0"/>
              <w:rPr>
                <w:sz w:val="24"/>
                <w:szCs w:val="24"/>
                <w:color w:val="auto"/>
              </w:rPr>
            </w:pPr>
          </w:p>
        </w:tc>
        <w:tc>
          <w:tcPr>
            <w:tcW w:w="6780" w:type="dxa"/>
            <w:vAlign w:val="bottom"/>
          </w:tcPr>
          <w:p>
            <w:pPr>
              <w:ind w:left="1100"/>
              <w:spacing w:after="0"/>
              <w:rPr>
                <w:sz w:val="20"/>
                <w:szCs w:val="20"/>
                <w:color w:val="auto"/>
              </w:rPr>
            </w:pPr>
            <w:r>
              <w:rPr>
                <w:rFonts w:ascii="Arial" w:cs="Arial" w:eastAsia="Arial" w:hAnsi="Arial"/>
                <w:sz w:val="20"/>
                <w:szCs w:val="20"/>
                <w:color w:val="auto"/>
              </w:rPr>
              <w:t>2</w:t>
            </w:r>
          </w:p>
        </w:tc>
      </w:tr>
      <w:tr>
        <w:trPr>
          <w:trHeight w:val="327"/>
        </w:trPr>
        <w:tc>
          <w:tcPr>
            <w:tcW w:w="448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type w:val="continuous"/>
        </w:sectPr>
      </w:pPr>
    </w:p>
    <w:bookmarkStart w:id="227" w:name="page228"/>
    <w:bookmarkEnd w:id="227"/>
    <w:p>
      <w:pPr>
        <w:spacing w:after="0"/>
        <w:rPr>
          <w:sz w:val="20"/>
          <w:szCs w:val="20"/>
          <w:color w:val="auto"/>
        </w:rPr>
      </w:pPr>
      <w:r>
        <w:rPr>
          <w:rFonts w:ascii="Arial" w:cs="Arial" w:eastAsia="Arial" w:hAnsi="Arial"/>
          <w:sz w:val="22"/>
          <w:szCs w:val="22"/>
          <w:color w:val="auto"/>
        </w:rPr>
        <w:t>Name of Mortgagee:</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Address of Mortgagee: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Total amount of Mortgage: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DNB Bank ASA, New York Branch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30 Hudson Yards, 81</w:t>
      </w:r>
      <w:r>
        <w:rPr>
          <w:rFonts w:ascii="Arial" w:cs="Arial" w:eastAsia="Arial" w:hAnsi="Arial"/>
          <w:sz w:val="18"/>
          <w:szCs w:val="18"/>
          <w:color w:val="auto"/>
        </w:rPr>
        <w:t>st</w:t>
      </w:r>
      <w:r>
        <w:rPr>
          <w:rFonts w:ascii="Arial" w:cs="Arial" w:eastAsia="Arial" w:hAnsi="Arial"/>
          <w:sz w:val="22"/>
          <w:szCs w:val="22"/>
          <w:color w:val="auto"/>
        </w:rPr>
        <w:t xml:space="preserve"> Floor New York, New York 10001</w:t>
      </w:r>
    </w:p>
    <w:p>
      <w:pPr>
        <w:spacing w:after="0" w:line="200" w:lineRule="exact"/>
        <w:rPr>
          <w:sz w:val="20"/>
          <w:szCs w:val="20"/>
          <w:color w:val="auto"/>
        </w:rPr>
      </w:pPr>
    </w:p>
    <w:p>
      <w:pPr>
        <w:spacing w:after="0" w:line="27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Nineteen Million Five Hundred Fifty Two Thousand Three Hundred Eleven Dollars and Eighty Cents ($19,552,311.80) (exclusive of interest, expenses and fees) plus interest, expenses, fees and performance of mortgage covenants, of this amount of which (a) Eighteen Million Fifty Two Thousand Three Hundred Eleven Dollars and Eighty Cents ($18,052,311.80) is attributable to the outstanding principal amount of the Facility and (b) One Million Five Hundred Thousand Dollars ($1,500,000) is attributable to the Swap Liability under the Interest Rate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203200</wp:posOffset>
            </wp:positionV>
            <wp:extent cx="71748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3780" w:space="720"/>
            <w:col w:w="6640"/>
          </w:cols>
          <w:pgMar w:left="420" w:top="577" w:right="339" w:bottom="1440" w:gutter="0" w:footer="0" w:header="0"/>
        </w:sectPr>
      </w:pPr>
    </w:p>
    <w:bookmarkStart w:id="228" w:name="page229"/>
    <w:bookmarkEnd w:id="228"/>
    <w:p>
      <w:pPr>
        <w:ind w:firstLine="780"/>
        <w:spacing w:after="0" w:line="269" w:lineRule="auto"/>
        <w:rPr>
          <w:sz w:val="20"/>
          <w:szCs w:val="20"/>
          <w:color w:val="auto"/>
        </w:rPr>
      </w:pPr>
      <w:r>
        <w:rPr>
          <w:rFonts w:ascii="Arial" w:cs="Arial" w:eastAsia="Arial" w:hAnsi="Arial"/>
          <w:sz w:val="19"/>
          <w:szCs w:val="19"/>
          <w:color w:val="auto"/>
        </w:rPr>
        <w:t>THIS AMENDMENT NO. 8 TO FIRST PREFERRED MORTGAGE (this “Amendment”) is made and given this day of December, 2021, by and between SEACOR BRAVE LLC, a limited liability company organized under the laws of the State of Delaware, with offices at c/o SEACOR Marine Holdings Inc., 7910 Main St. 2nd Floor, Houma, Louisiana 70360 (the "Owner") and DNB BANK ASA, a banking corporation organized under the laws of the Kingdom of Norway, acting through its New York Branch with offices at 30 Hudson Yards, 81</w:t>
      </w:r>
      <w:r>
        <w:rPr>
          <w:rFonts w:ascii="Arial" w:cs="Arial" w:eastAsia="Arial" w:hAnsi="Arial"/>
          <w:sz w:val="16"/>
          <w:szCs w:val="16"/>
          <w:color w:val="auto"/>
        </w:rPr>
        <w:t>st</w:t>
      </w:r>
      <w:r>
        <w:rPr>
          <w:rFonts w:ascii="Arial" w:cs="Arial" w:eastAsia="Arial" w:hAnsi="Arial"/>
          <w:sz w:val="19"/>
          <w:szCs w:val="19"/>
          <w:color w:val="auto"/>
        </w:rPr>
        <w:t xml:space="preserve"> Floor , New York, New York 10001, as security trustee (hereinafter, in such capacity, called the "Mortgagee") for the Lenders (as such term is defined in the Second Amended and Restated Credit Facility Agreement (as hereinafter defined)), pursuant to the terms of the Second Amended and Restated Credit Facility Agreement, and amends that certain first preferred mortgage dated January 27, 2015, granted by the Owner to the Mortgagee and recorded at the National Vessel Documentation Center on January 27, 2015 at 3:20 PM, in Batch 25160500, Document ID Number 5, as amended by an amendment no. 1 to first preferred mortgage dated September 30, 2015 and recorded at the National Vessel Documentation Center on October 1, 2015 at 5:04 PM, in Batch 31039300, Document ID Number 3, as further amended by an amendment no. 2 to first preferred mortgage dated December 1, 2016 and recorded at the National Vessel Documentation Center on December 1, 2016 at 5:00 PM, in Batch 40537000, Document ID Number 6, as further amended by an amendment no. 3 to first preferred mortgage dated September 28, 2018 and recorded at the National Vessel Documentation Center on September 28, 2018 at 6:06 PM, in Batch 56733300, Document ID Number 3, as further amended by an amendment no. 4 to first preferred mortgage dated December 23, 2019 and recorded at the National Vessel Documentation Center on December 23, 2019 at 5:13 PM, in Batch 71590500, Document ID Number 3, as further amended by an amendment no.5 to first preferred mortgage dated March 25, 2021 and recorded at the National Vessel Documentation Center on March 25, 2021 at 7:17 PM in Batch 89163100 Document ID Number 7, as further amended by an amendment no. 6 to first preferred mortgage dated September 28, 2021 and recorded at the National Vessel Documentation Center on September 28, 2021 at 5:50 PM in Batch 97350300 Document ID Number 28 and as further amended by an amendment no. 7 to first preferred mortgage dated November 30, 2021 and recorded at the National Vessel Documentation Center on November 30, 2021 at 5:35 PM in Batch 99285500, Document ID Number 1 (the “Mortgage”) over the Vessel (as hereinafter defined), which Mortgage remains in full force and effect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6990715</wp:posOffset>
            </wp:positionH>
            <wp:positionV relativeFrom="paragraph">
              <wp:posOffset>-3433445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 H E R E A S:</w:t>
      </w:r>
    </w:p>
    <w:p>
      <w:pPr>
        <w:spacing w:after="0" w:line="206" w:lineRule="exact"/>
        <w:rPr>
          <w:sz w:val="20"/>
          <w:szCs w:val="20"/>
          <w:color w:val="auto"/>
        </w:rPr>
      </w:pPr>
    </w:p>
    <w:p>
      <w:pPr>
        <w:ind w:right="60" w:firstLine="1569"/>
        <w:spacing w:after="0" w:line="297" w:lineRule="auto"/>
        <w:tabs>
          <w:tab w:leader="none" w:pos="2417" w:val="left"/>
        </w:tabs>
        <w:numPr>
          <w:ilvl w:val="0"/>
          <w:numId w:val="221"/>
        </w:numPr>
        <w:rPr>
          <w:rFonts w:ascii="Arial" w:cs="Arial" w:eastAsia="Arial" w:hAnsi="Arial"/>
          <w:sz w:val="19"/>
          <w:szCs w:val="19"/>
          <w:color w:val="auto"/>
        </w:rPr>
      </w:pPr>
      <w:r>
        <w:rPr>
          <w:rFonts w:ascii="Arial" w:cs="Arial" w:eastAsia="Arial" w:hAnsi="Arial"/>
          <w:sz w:val="19"/>
          <w:szCs w:val="19"/>
          <w:color w:val="auto"/>
        </w:rPr>
        <w:t>The Owner is the sole owner of the whole of the offshore support vessel SEACOR BRAVE, built in 2015 by Master Boat Builders Inc. and registered and documented in the name of the Owner under the laws and flag of the United States of America at the National Vessel Documentation Center with Official No. 1255577 (the “Vessel”);</w:t>
      </w:r>
    </w:p>
    <w:p>
      <w:pPr>
        <w:spacing w:after="0" w:line="133" w:lineRule="exact"/>
        <w:rPr>
          <w:rFonts w:ascii="Arial" w:cs="Arial" w:eastAsia="Arial" w:hAnsi="Arial"/>
          <w:sz w:val="19"/>
          <w:szCs w:val="19"/>
          <w:color w:val="auto"/>
        </w:rPr>
      </w:pPr>
    </w:p>
    <w:p>
      <w:pPr>
        <w:ind w:right="60" w:firstLine="1569"/>
        <w:spacing w:after="0" w:line="246" w:lineRule="auto"/>
        <w:tabs>
          <w:tab w:leader="none" w:pos="2405" w:val="left"/>
        </w:tabs>
        <w:numPr>
          <w:ilvl w:val="0"/>
          <w:numId w:val="221"/>
        </w:numPr>
        <w:rPr>
          <w:rFonts w:ascii="Arial" w:cs="Arial" w:eastAsia="Arial" w:hAnsi="Arial"/>
          <w:sz w:val="21"/>
          <w:szCs w:val="21"/>
          <w:color w:val="auto"/>
        </w:rPr>
      </w:pPr>
      <w:r>
        <w:rPr>
          <w:rFonts w:ascii="Arial" w:cs="Arial" w:eastAsia="Arial" w:hAnsi="Arial"/>
          <w:sz w:val="21"/>
          <w:szCs w:val="21"/>
          <w:color w:val="auto"/>
        </w:rPr>
        <w:t>Pursuant to that certain amended and restated credit facility agreement dated as of September 28, 2018, as amended by that certain amendment no. 1 thereto dated as of February 14, 2019, as further amended by that certain amendment no. 2 thereto dated as of June 17, 2019, as further amended by that certain amendment no. 3 thereto dated as of December 23, 2019, as further amended by that certain amendment no. 4 thereto dated as of March 25, 2021, as further amended by that certain amendment no. 5 thereto dated as of September 28, 2021 and as further amended by that certain amendment no. 6 thereto dated as of November 30, 2021 (as amended, and as may be further amended, restated, modified, supplemented and varied from time to time,</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229" w:name="page230"/>
    <w:bookmarkEnd w:id="229"/>
    <w:p>
      <w:pPr>
        <w:ind w:firstLine="1561"/>
        <w:spacing w:after="0" w:line="244" w:lineRule="auto"/>
        <w:rPr>
          <w:sz w:val="20"/>
          <w:szCs w:val="20"/>
          <w:color w:val="auto"/>
        </w:rPr>
      </w:pPr>
      <w:r>
        <w:rPr>
          <w:rFonts w:ascii="Arial" w:cs="Arial" w:eastAsia="Arial" w:hAnsi="Arial"/>
          <w:sz w:val="21"/>
          <w:szCs w:val="21"/>
          <w:color w:val="auto"/>
        </w:rPr>
        <w:t>the “Original Amended and Restated Credit Facility Agreement”) by and among, inter alios, (1) the Owner, SEACOR OSV PARTNERS I LP, a limited partnership organized and existing under the laws of the State of Delaware (the “Partnership”), SEACOR CHIEF LLC, SEACOR COURAGEOUS LLC, SEACOR FEARLESS LLC, and SEACOR RESOLUTE LLC, as joint and several borrowers (the “Borrowers”), (2) the banks and financial institutions listed on Schedule I of the thereto, as lenders (together with any bank or financial institution which becomes a Lender pursuant to Section 10 thereto, the “Lenders”), (3) DNB MARKETS, INC., as bookrunner and mandated lead arranger, (4) DNB BANK ASA, NEW YORK BRANCH, as administrative agent (in such capacity, the “Administrative Agent”) and as security trustee (in such capacity, the “Security Trustee”), and (5) COMERICA BANK, as facility agent (the “Facility Agent”), the Lenders provided to the Borrowers, on a joint and several basis, a secured term loan facility in the amount of up to Twenty Seven Million Two Hundred Seventy One Thousand Seven Hundred Twelve Dollars and Fifty Nine Cents ($27,271,712.59) (the “Facility”), of which amount Eighteen Million Fifty Two Thousand Three Hundred Eleven Dollars and Eighty Cents ($18,052,311.80) remains outstanding as of the date hereof;</w:t>
      </w:r>
    </w:p>
    <w:p>
      <w:pPr>
        <w:spacing w:after="0" w:line="186" w:lineRule="exact"/>
        <w:rPr>
          <w:sz w:val="20"/>
          <w:szCs w:val="20"/>
          <w:color w:val="auto"/>
        </w:rPr>
      </w:pPr>
    </w:p>
    <w:p>
      <w:pPr>
        <w:ind w:right="60" w:firstLine="1569"/>
        <w:spacing w:after="0" w:line="287" w:lineRule="auto"/>
        <w:tabs>
          <w:tab w:leader="none" w:pos="2405" w:val="left"/>
        </w:tabs>
        <w:numPr>
          <w:ilvl w:val="0"/>
          <w:numId w:val="222"/>
        </w:numPr>
        <w:rPr>
          <w:rFonts w:ascii="Arial" w:cs="Arial" w:eastAsia="Arial" w:hAnsi="Arial"/>
          <w:sz w:val="19"/>
          <w:szCs w:val="19"/>
          <w:color w:val="auto"/>
        </w:rPr>
      </w:pPr>
      <w:r>
        <w:rPr>
          <w:rFonts w:ascii="Arial" w:cs="Arial" w:eastAsia="Arial" w:hAnsi="Arial"/>
          <w:sz w:val="19"/>
          <w:szCs w:val="19"/>
          <w:color w:val="auto"/>
        </w:rPr>
        <w:t>Pursuant to that certain ISDA Master Agreement together with the Schedule thereto dated as of January 13, 2014 (the “Interest Rate Agreement”) with DNB Bank ASA, as Hedging Bank, the obligations of the Borrowers to the Hedging Bank under the Interest Rate Agreement are to be paid as provided in said Interest Rate Agreement in a maximum aggregate amount of up to One Million Five Hundred Thousand Dollars ($1,500,000) (the “Swap Liability”);</w:t>
      </w:r>
    </w:p>
    <w:p>
      <w:pPr>
        <w:spacing w:after="0" w:line="142" w:lineRule="exact"/>
        <w:rPr>
          <w:rFonts w:ascii="Arial" w:cs="Arial" w:eastAsia="Arial" w:hAnsi="Arial"/>
          <w:sz w:val="19"/>
          <w:szCs w:val="19"/>
          <w:color w:val="auto"/>
        </w:rPr>
      </w:pPr>
    </w:p>
    <w:p>
      <w:pPr>
        <w:ind w:right="60" w:firstLine="1569"/>
        <w:spacing w:after="0" w:line="236" w:lineRule="auto"/>
        <w:tabs>
          <w:tab w:leader="none" w:pos="2417" w:val="left"/>
        </w:tabs>
        <w:numPr>
          <w:ilvl w:val="0"/>
          <w:numId w:val="222"/>
        </w:numPr>
        <w:rPr>
          <w:rFonts w:ascii="Arial" w:cs="Arial" w:eastAsia="Arial" w:hAnsi="Arial"/>
          <w:sz w:val="22"/>
          <w:szCs w:val="22"/>
          <w:color w:val="auto"/>
        </w:rPr>
      </w:pPr>
      <w:r>
        <w:rPr>
          <w:rFonts w:ascii="Arial" w:cs="Arial" w:eastAsia="Arial" w:hAnsi="Arial"/>
          <w:sz w:val="22"/>
          <w:szCs w:val="22"/>
          <w:color w:val="auto"/>
        </w:rPr>
        <w:t xml:space="preserve">Pursuant to that certain subordinated pik loan agreement dated as of September 28, 2018 (as the same may be amended, amended and restated, supplemented or otherwise modified from time to time, the “Subordinated PIK Loan Agreement”), made by and among, inter alios, the Partnership, </w:t>
      </w:r>
      <w:r>
        <w:rPr>
          <w:rFonts w:ascii="Arial" w:cs="Arial" w:eastAsia="Arial" w:hAnsi="Arial"/>
          <w:sz w:val="20"/>
          <w:szCs w:val="20"/>
          <w:color w:val="auto"/>
        </w:rPr>
        <w:t>SEACOR OSV Partners GP LLC</w:t>
      </w:r>
      <w:r>
        <w:rPr>
          <w:rFonts w:ascii="Arial" w:cs="Arial" w:eastAsia="Arial" w:hAnsi="Arial"/>
          <w:sz w:val="22"/>
          <w:szCs w:val="22"/>
          <w:color w:val="auto"/>
        </w:rPr>
        <w:t xml:space="preserve"> and each of the lenders identified on Schedule A thereto (collectively, the “Subordinated Lenders”), the Subordinated Lenders have provided the Partnership a secured loan in the amount of $5,000,000;</w:t>
      </w:r>
    </w:p>
    <w:p>
      <w:pPr>
        <w:spacing w:after="0" w:line="187" w:lineRule="exact"/>
        <w:rPr>
          <w:rFonts w:ascii="Arial" w:cs="Arial" w:eastAsia="Arial" w:hAnsi="Arial"/>
          <w:sz w:val="22"/>
          <w:szCs w:val="22"/>
          <w:color w:val="auto"/>
        </w:rPr>
      </w:pPr>
    </w:p>
    <w:p>
      <w:pPr>
        <w:ind w:right="100" w:firstLine="1569"/>
        <w:spacing w:after="0" w:line="245" w:lineRule="auto"/>
        <w:tabs>
          <w:tab w:leader="none" w:pos="2393" w:val="left"/>
        </w:tabs>
        <w:numPr>
          <w:ilvl w:val="0"/>
          <w:numId w:val="222"/>
        </w:numPr>
        <w:rPr>
          <w:rFonts w:ascii="Arial" w:cs="Arial" w:eastAsia="Arial" w:hAnsi="Arial"/>
          <w:sz w:val="21"/>
          <w:szCs w:val="21"/>
          <w:color w:val="auto"/>
        </w:rPr>
      </w:pPr>
      <w:r>
        <w:rPr>
          <w:rFonts w:ascii="Arial" w:cs="Arial" w:eastAsia="Arial" w:hAnsi="Arial"/>
          <w:sz w:val="21"/>
          <w:szCs w:val="21"/>
          <w:color w:val="auto"/>
        </w:rPr>
        <w:t xml:space="preserve">Pursuant to that certain Subordination and Intercreditor Agreement September 28, 2018 (as may be amended, restated, supplemented, modified and varied from time to time, the “Subordination Agreement”), by and among, </w:t>
      </w:r>
      <w:r>
        <w:rPr>
          <w:rFonts w:ascii="Arial" w:cs="Arial" w:eastAsia="Arial" w:hAnsi="Arial"/>
          <w:sz w:val="21"/>
          <w:szCs w:val="21"/>
          <w:i w:val="1"/>
          <w:iCs w:val="1"/>
          <w:color w:val="auto"/>
        </w:rPr>
        <w:t>inter</w:t>
      </w:r>
      <w:r>
        <w:rPr>
          <w:rFonts w:ascii="Arial" w:cs="Arial" w:eastAsia="Arial" w:hAnsi="Arial"/>
          <w:sz w:val="21"/>
          <w:szCs w:val="21"/>
          <w:color w:val="auto"/>
        </w:rPr>
        <w:t xml:space="preserve"> </w:t>
      </w:r>
      <w:r>
        <w:rPr>
          <w:rFonts w:ascii="Arial" w:cs="Arial" w:eastAsia="Arial" w:hAnsi="Arial"/>
          <w:sz w:val="21"/>
          <w:szCs w:val="21"/>
          <w:i w:val="1"/>
          <w:iCs w:val="1"/>
          <w:color w:val="auto"/>
        </w:rPr>
        <w:t>alios</w:t>
      </w:r>
      <w:r>
        <w:rPr>
          <w:rFonts w:ascii="Arial" w:cs="Arial" w:eastAsia="Arial" w:hAnsi="Arial"/>
          <w:sz w:val="21"/>
          <w:szCs w:val="21"/>
          <w:color w:val="auto"/>
        </w:rPr>
        <w:t>, (i) DNB Bank ASA, New York Branch (on behalf of itself and the other Senior Creditors (as defined therein), and (ii) the</w:t>
      </w:r>
      <w:r>
        <w:rPr>
          <w:rFonts w:ascii="Arial" w:cs="Arial" w:eastAsia="Arial" w:hAnsi="Arial"/>
          <w:sz w:val="21"/>
          <w:szCs w:val="21"/>
          <w:i w:val="1"/>
          <w:iCs w:val="1"/>
          <w:color w:val="auto"/>
        </w:rPr>
        <w:t xml:space="preserve"> </w:t>
      </w:r>
      <w:r>
        <w:rPr>
          <w:rFonts w:ascii="Arial" w:cs="Arial" w:eastAsia="Arial" w:hAnsi="Arial"/>
          <w:sz w:val="21"/>
          <w:szCs w:val="21"/>
          <w:color w:val="auto"/>
        </w:rPr>
        <w:t>Subordinated Lenders, and any other parties party thereto from time to time, and acknowledged by Borrowers, the parties thereto have agreed, among other things, to regulate the relative priority of the security interests granted in the Vessel by the Mortgage as amended hereby, and the second preferred mortgage dated as of the September 28, 2019 and granted by the Owner over the Vessel in favor of SEACOR OSV Partners GP LLC, a limited liability company organized and existing under the laws of Delaware, as security trustee, in order to secure, among other things, the repayment of the Subordinated PIK Loan Agreement (the “Second Mortgage”);</w:t>
      </w:r>
    </w:p>
    <w:p>
      <w:pPr>
        <w:spacing w:after="0" w:line="184" w:lineRule="exact"/>
        <w:rPr>
          <w:rFonts w:ascii="Arial" w:cs="Arial" w:eastAsia="Arial" w:hAnsi="Arial"/>
          <w:sz w:val="21"/>
          <w:szCs w:val="21"/>
          <w:color w:val="auto"/>
        </w:rPr>
      </w:pPr>
    </w:p>
    <w:p>
      <w:pPr>
        <w:ind w:firstLine="1569"/>
        <w:spacing w:after="0" w:line="249" w:lineRule="auto"/>
        <w:tabs>
          <w:tab w:leader="none" w:pos="2364" w:val="left"/>
        </w:tabs>
        <w:numPr>
          <w:ilvl w:val="0"/>
          <w:numId w:val="222"/>
        </w:numPr>
        <w:rPr>
          <w:rFonts w:ascii="Arial" w:cs="Arial" w:eastAsia="Arial" w:hAnsi="Arial"/>
          <w:sz w:val="21"/>
          <w:szCs w:val="21"/>
          <w:color w:val="auto"/>
        </w:rPr>
      </w:pPr>
      <w:r>
        <w:rPr>
          <w:rFonts w:ascii="Arial" w:cs="Arial" w:eastAsia="Arial" w:hAnsi="Arial"/>
          <w:sz w:val="21"/>
          <w:szCs w:val="21"/>
          <w:color w:val="auto"/>
        </w:rPr>
        <w:t>Pursuant to that certain Amendment No. 7 to Amended and Restated Credit Facility Agreement dated as of December , 2021 (“Amendment No. 7”; the Original Amended and Restated Credit Facility Agreement, as amended by Amendment No. 7, and as may be further amended, restated, supplemented, modified and varied from time to time, the “Second Amended and Restated Credit Facility Agreement”), made by and among, (i) the Partnership, (ii) the Borrowers, (iii) SEACOR Offshore OSV LLC (the “Incoming Borrower”), (iv) the Lenders,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-498475</wp:posOffset>
            </wp:positionV>
            <wp:extent cx="596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77" w:right="399" w:bottom="1440" w:gutter="0" w:footer="0" w:header="0"/>
        </w:sectPr>
      </w:pPr>
    </w:p>
    <w:bookmarkStart w:id="230" w:name="page231"/>
    <w:bookmarkEnd w:id="230"/>
    <w:p>
      <w:pPr>
        <w:ind w:right="20"/>
        <w:spacing w:after="0" w:line="272" w:lineRule="auto"/>
        <w:rPr>
          <w:sz w:val="20"/>
          <w:szCs w:val="20"/>
          <w:color w:val="auto"/>
        </w:rPr>
      </w:pPr>
      <w:r>
        <w:rPr>
          <w:rFonts w:ascii="Arial" w:cs="Arial" w:eastAsia="Arial" w:hAnsi="Arial"/>
          <w:sz w:val="19"/>
          <w:szCs w:val="19"/>
          <w:color w:val="auto"/>
        </w:rPr>
        <w:t>the Administrative Agent, (vi) the Security Trustee and (vii) the Facility Agent, the parties have agreed to amend and replace the Original Amended and Restated Credit Facility Agreement in its entirety with the form of Second Amended and Restated Credit Facility Agreement attached to the Amendment No. 7 as Annex A, to reflect, among other things, (i) the merger of the Partnership with and into the Incoming Borrower, (ii) the extension of the Final Payment Date, (iii) changes to the Applicable Rate and (iv) certain additional terms as set forth therein, including (i) the amendment and restatement of the Notes issued under the Original Amended and Restated Credit Facility Agreement by the Notes issued pursuant to the Second Amended and Restated Credit Facility Agreement and (ii) the repayment of the Subordinated Loan Agreement and the release of the security granted in accordance therewith, including the Second Mortgage. A copy of the form of Amendment No. 7, including Annex A thereto, being attached hereto as Exhibit A and made a part hereof. The obligations of the Borrowers and the Incoming Borrower to repay the Facility under the Second Amended and Restated Credit Facility Agreement is evidenced by an amended and restated promissory note from the Borrowers and the Incoming Borrower to the order of the various Lenders (the “Note”), a copy of the form of such Note being attached hereto as Exhibit B. The Facility, and interest, fees, expenses and commissions thereon are to be repaid or paid, as the case may be, as provided in the Second Amended and Restated Credit Facility Agreement; and</w:t>
      </w:r>
    </w:p>
    <w:p>
      <w:pPr>
        <w:spacing w:after="0" w:line="156" w:lineRule="exact"/>
        <w:rPr>
          <w:sz w:val="20"/>
          <w:szCs w:val="20"/>
          <w:color w:val="auto"/>
        </w:rPr>
      </w:pPr>
    </w:p>
    <w:p>
      <w:pPr>
        <w:ind w:left="2420" w:hanging="851"/>
        <w:spacing w:after="0"/>
        <w:tabs>
          <w:tab w:leader="none" w:pos="242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 xml:space="preserve">The Owner and the Mortgagee wish to amend the Mortgage as provided </w:t>
      </w:r>
      <w:r>
        <w:rPr>
          <w:rFonts w:ascii="Arial" w:cs="Arial" w:eastAsia="Arial" w:hAnsi="Arial"/>
          <w:sz w:val="19"/>
          <w:szCs w:val="19"/>
          <w:color w:val="auto"/>
        </w:rPr>
        <w:t>herein.</w:t>
      </w:r>
    </w:p>
    <w:p>
      <w:pPr>
        <w:spacing w:after="0" w:line="206" w:lineRule="exact"/>
        <w:rPr>
          <w:sz w:val="20"/>
          <w:szCs w:val="20"/>
          <w:color w:val="auto"/>
        </w:rPr>
      </w:pPr>
    </w:p>
    <w:p>
      <w:pPr>
        <w:ind w:right="320" w:firstLine="780"/>
        <w:spacing w:after="0" w:line="274" w:lineRule="auto"/>
        <w:rPr>
          <w:sz w:val="20"/>
          <w:szCs w:val="20"/>
          <w:color w:val="auto"/>
        </w:rPr>
      </w:pPr>
      <w:r>
        <w:rPr>
          <w:rFonts w:ascii="Arial" w:cs="Arial" w:eastAsia="Arial" w:hAnsi="Arial"/>
          <w:sz w:val="21"/>
          <w:szCs w:val="21"/>
          <w:color w:val="auto"/>
        </w:rPr>
        <w:t>NOW, THEREFORE, in consideration of the premises and of other good and valuable consideration, the receipt and sufficiency of which are hereby acknowledged, the Owner and the Mortgagee hereby agree as follows:</w:t>
      </w:r>
    </w:p>
    <w:p>
      <w:pPr>
        <w:spacing w:after="0" w:line="151" w:lineRule="exact"/>
        <w:rPr>
          <w:sz w:val="20"/>
          <w:szCs w:val="20"/>
          <w:color w:val="auto"/>
        </w:rPr>
      </w:pPr>
    </w:p>
    <w:p>
      <w:pPr>
        <w:ind w:right="440" w:firstLine="1569"/>
        <w:spacing w:after="0" w:line="328" w:lineRule="auto"/>
        <w:tabs>
          <w:tab w:leader="none" w:pos="2371" w:val="left"/>
        </w:tabs>
        <w:numPr>
          <w:ilvl w:val="0"/>
          <w:numId w:val="224"/>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Unless otherwise defined herein, terms defined in the Second Amended and Restated Credit Facility Agreement or incorporated therein by reference shall have the same meaning when used herein.</w:t>
      </w:r>
    </w:p>
    <w:p>
      <w:pPr>
        <w:spacing w:after="0" w:line="104" w:lineRule="exact"/>
        <w:rPr>
          <w:rFonts w:ascii="Arial" w:cs="Arial" w:eastAsia="Arial" w:hAnsi="Arial"/>
          <w:sz w:val="19"/>
          <w:szCs w:val="19"/>
          <w:color w:val="auto"/>
        </w:rPr>
      </w:pPr>
    </w:p>
    <w:p>
      <w:pPr>
        <w:ind w:right="40" w:firstLine="1569"/>
        <w:spacing w:after="0" w:line="274" w:lineRule="auto"/>
        <w:tabs>
          <w:tab w:leader="none" w:pos="2371" w:val="left"/>
        </w:tabs>
        <w:numPr>
          <w:ilvl w:val="0"/>
          <w:numId w:val="224"/>
        </w:numPr>
        <w:rPr>
          <w:rFonts w:ascii="Arial" w:cs="Arial" w:eastAsia="Arial" w:hAnsi="Arial"/>
          <w:sz w:val="19"/>
          <w:szCs w:val="19"/>
          <w:color w:val="auto"/>
        </w:rPr>
      </w:pPr>
      <w:r>
        <w:rPr>
          <w:rFonts w:ascii="Arial" w:cs="Arial" w:eastAsia="Arial" w:hAnsi="Arial"/>
          <w:sz w:val="19"/>
          <w:szCs w:val="19"/>
          <w:u w:val="single" w:color="auto"/>
          <w:color w:val="auto"/>
        </w:rPr>
        <w:t>Grant of Mortgage</w:t>
      </w:r>
      <w:r>
        <w:rPr>
          <w:rFonts w:ascii="Arial" w:cs="Arial" w:eastAsia="Arial" w:hAnsi="Arial"/>
          <w:sz w:val="19"/>
          <w:szCs w:val="19"/>
          <w:color w:val="auto"/>
        </w:rPr>
        <w:t xml:space="preserve">. In consideration of the premises and of other good and valuable consideration, the receipt and adequacy whereof are hereby acknowledged, and in order to secure the payment of the Obligations (as such term is defined in the Mortgage, as amended hereby) and to secure the performance and observance of and compliance with the covenants, terms and conditions in the Transaction Documents contained, the Owner has granted, conveyed and mortgaged and does by these presents grant, convey and mortgage to and in favor of the Mortgagee, its successors and assigns, the whole of the Vessel </w:t>
      </w:r>
      <w:r>
        <w:rPr>
          <w:rFonts w:ascii="Arial" w:cs="Arial" w:eastAsia="Arial" w:hAnsi="Arial"/>
          <w:sz w:val="19"/>
          <w:szCs w:val="19"/>
          <w:u w:val="single" w:color="auto"/>
          <w:color w:val="auto"/>
        </w:rPr>
        <w:t>TO HAVE AND TO HOLD</w:t>
      </w:r>
      <w:r>
        <w:rPr>
          <w:rFonts w:ascii="Arial" w:cs="Arial" w:eastAsia="Arial" w:hAnsi="Arial"/>
          <w:sz w:val="19"/>
          <w:szCs w:val="19"/>
          <w:color w:val="auto"/>
        </w:rPr>
        <w:t xml:space="preserve"> the same unto the Mortgagee, its successors and assigns, forever, upon the terms set forth in this Mortgage for the enforcement of the payment of the Obligations (as such term is defined in the Mortgage, as amended hereby) and to secure the performance and observance of and compliance with the covenants, terms and conditions in this Mortgage and the other Transaction Documents contained;</w:t>
      </w:r>
    </w:p>
    <w:p>
      <w:pPr>
        <w:spacing w:after="0" w:line="77" w:lineRule="exact"/>
        <w:rPr>
          <w:sz w:val="20"/>
          <w:szCs w:val="20"/>
          <w:color w:val="auto"/>
        </w:rPr>
      </w:pPr>
    </w:p>
    <w:p>
      <w:pPr>
        <w:ind w:firstLine="1561"/>
        <w:spacing w:after="0" w:line="287" w:lineRule="auto"/>
        <w:rPr>
          <w:sz w:val="20"/>
          <w:szCs w:val="20"/>
          <w:color w:val="auto"/>
        </w:rPr>
      </w:pPr>
      <w:r>
        <w:rPr>
          <w:rFonts w:ascii="Arial" w:cs="Arial" w:eastAsia="Arial" w:hAnsi="Arial"/>
          <w:sz w:val="19"/>
          <w:szCs w:val="19"/>
          <w:color w:val="auto"/>
        </w:rPr>
        <w:t>PROVIDED, ONLY, and the conditions of these presents are such that, if the Owner and/or its successors or assigns or any other Borrower or Borrowers shall pay or cause to be paid to the Lenders, their respective successors and assigns, the Obligations (as such term is defined in the Mortgage, as amended hereby) as and when the same shall become due and payable in accordance with the terms of this Mortgage and any other Transaction Document and shall</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231" w:name="page232"/>
    <w:bookmarkEnd w:id="231"/>
    <w:p>
      <w:pPr>
        <w:ind w:right="60"/>
        <w:spacing w:after="0" w:line="234" w:lineRule="auto"/>
        <w:rPr>
          <w:sz w:val="20"/>
          <w:szCs w:val="20"/>
          <w:color w:val="auto"/>
        </w:rPr>
      </w:pPr>
      <w:r>
        <w:rPr>
          <w:rFonts w:ascii="Arial" w:cs="Arial" w:eastAsia="Arial" w:hAnsi="Arial"/>
          <w:sz w:val="22"/>
          <w:szCs w:val="22"/>
          <w:color w:val="auto"/>
        </w:rPr>
        <w:t>perform, observe and comply with all and singular of the covenants, terms and conditions in this Mortgage and any other Transaction Document contained, expressed or implied, to be performed, observed or complied with by and on the part of the Owner or its successors or assigns, all without delay or fraud and according to the true intent and meaning hereof and thereof, then, these presents and the rights of the Mortgagee under this Mortgage shall cease and determine and, in such event, the Mortgagee agrees by accepting this Mortgage, at the expense of the Owner, to execute all such documents as the Owner may reasonably require to discharge this Mortgage under the laws of the United States of America; otherwise to be and remain in full force and effect.</w:t>
      </w:r>
    </w:p>
    <w:p>
      <w:pPr>
        <w:spacing w:after="0" w:line="245" w:lineRule="exact"/>
        <w:rPr>
          <w:sz w:val="20"/>
          <w:szCs w:val="20"/>
          <w:color w:val="auto"/>
        </w:rPr>
      </w:pPr>
    </w:p>
    <w:p>
      <w:pPr>
        <w:ind w:left="2380" w:hanging="811"/>
        <w:spacing w:after="0"/>
        <w:tabs>
          <w:tab w:leader="none" w:pos="2380" w:val="left"/>
        </w:tabs>
        <w:numPr>
          <w:ilvl w:val="0"/>
          <w:numId w:val="225"/>
        </w:numPr>
        <w:rPr>
          <w:rFonts w:ascii="Arial" w:cs="Arial" w:eastAsia="Arial" w:hAnsi="Arial"/>
          <w:sz w:val="22"/>
          <w:szCs w:val="22"/>
          <w:color w:val="auto"/>
        </w:rPr>
      </w:pPr>
      <w:r>
        <w:rPr>
          <w:rFonts w:ascii="Arial" w:cs="Arial" w:eastAsia="Arial" w:hAnsi="Arial"/>
          <w:sz w:val="22"/>
          <w:szCs w:val="22"/>
          <w:u w:val="single" w:color="auto"/>
          <w:color w:val="auto"/>
        </w:rPr>
        <w:t>Amendments to Mortgage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580" w:firstLine="2350"/>
        <w:spacing w:after="0" w:line="250" w:lineRule="auto"/>
        <w:tabs>
          <w:tab w:leader="none" w:pos="3227" w:val="left"/>
        </w:tabs>
        <w:numPr>
          <w:ilvl w:val="1"/>
          <w:numId w:val="225"/>
        </w:numPr>
        <w:rPr>
          <w:rFonts w:ascii="Arial" w:cs="Arial" w:eastAsia="Arial" w:hAnsi="Arial"/>
          <w:sz w:val="22"/>
          <w:szCs w:val="22"/>
          <w:color w:val="auto"/>
        </w:rPr>
      </w:pPr>
      <w:r>
        <w:rPr>
          <w:rFonts w:ascii="Arial" w:cs="Arial" w:eastAsia="Arial" w:hAnsi="Arial"/>
          <w:sz w:val="22"/>
          <w:szCs w:val="22"/>
          <w:color w:val="auto"/>
        </w:rPr>
        <w:t>The term “this Mortgage” or “the Mortgage” as used in the Mortgage shall be read and construed as references to the Mortgage, as amended hereby;</w:t>
      </w:r>
    </w:p>
    <w:p>
      <w:pPr>
        <w:spacing w:after="0" w:line="174" w:lineRule="exact"/>
        <w:rPr>
          <w:rFonts w:ascii="Arial" w:cs="Arial" w:eastAsia="Arial" w:hAnsi="Arial"/>
          <w:sz w:val="22"/>
          <w:szCs w:val="22"/>
          <w:color w:val="auto"/>
        </w:rPr>
      </w:pPr>
    </w:p>
    <w:p>
      <w:pPr>
        <w:ind w:firstLine="2350"/>
        <w:spacing w:after="0" w:line="250" w:lineRule="auto"/>
        <w:tabs>
          <w:tab w:leader="none" w:pos="3239" w:val="left"/>
        </w:tabs>
        <w:numPr>
          <w:ilvl w:val="1"/>
          <w:numId w:val="225"/>
        </w:numPr>
        <w:rPr>
          <w:rFonts w:ascii="Arial" w:cs="Arial" w:eastAsia="Arial" w:hAnsi="Arial"/>
          <w:sz w:val="22"/>
          <w:szCs w:val="22"/>
          <w:color w:val="auto"/>
        </w:rPr>
      </w:pPr>
      <w:r>
        <w:rPr>
          <w:rFonts w:ascii="Arial" w:cs="Arial" w:eastAsia="Arial" w:hAnsi="Arial"/>
          <w:sz w:val="22"/>
          <w:szCs w:val="22"/>
          <w:color w:val="auto"/>
        </w:rPr>
        <w:t>The term “Credit Facility Agreement” as used in the Mortgage shall be read and construed as references to the Second Amended and Restated Credit Facility Agreement;</w:t>
      </w:r>
    </w:p>
    <w:p>
      <w:pPr>
        <w:spacing w:after="0" w:line="93" w:lineRule="exact"/>
        <w:rPr>
          <w:rFonts w:ascii="Arial" w:cs="Arial" w:eastAsia="Arial" w:hAnsi="Arial"/>
          <w:sz w:val="22"/>
          <w:szCs w:val="22"/>
          <w:color w:val="auto"/>
        </w:rPr>
      </w:pPr>
    </w:p>
    <w:p>
      <w:pPr>
        <w:ind w:left="3240" w:hanging="890"/>
        <w:spacing w:after="0"/>
        <w:tabs>
          <w:tab w:leader="none" w:pos="3240" w:val="left"/>
        </w:tabs>
        <w:numPr>
          <w:ilvl w:val="1"/>
          <w:numId w:val="225"/>
        </w:numPr>
        <w:rPr>
          <w:rFonts w:ascii="Arial" w:cs="Arial" w:eastAsia="Arial" w:hAnsi="Arial"/>
          <w:sz w:val="19"/>
          <w:szCs w:val="19"/>
          <w:color w:val="auto"/>
        </w:rPr>
      </w:pPr>
      <w:r>
        <w:rPr>
          <w:rFonts w:ascii="Arial" w:cs="Arial" w:eastAsia="Arial" w:hAnsi="Arial"/>
          <w:sz w:val="19"/>
          <w:szCs w:val="19"/>
          <w:color w:val="auto"/>
        </w:rPr>
        <w:t>Exhibit A attached to the Mortgage shall be deleted in its entirety and replaced by Annex A</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Exhibit A attached hereto; and</w:t>
      </w:r>
    </w:p>
    <w:p>
      <w:pPr>
        <w:spacing w:after="0" w:line="188" w:lineRule="exact"/>
        <w:rPr>
          <w:rFonts w:ascii="Arial" w:cs="Arial" w:eastAsia="Arial" w:hAnsi="Arial"/>
          <w:sz w:val="19"/>
          <w:szCs w:val="19"/>
          <w:color w:val="auto"/>
        </w:rPr>
      </w:pPr>
    </w:p>
    <w:p>
      <w:pPr>
        <w:ind w:left="3240" w:hanging="890"/>
        <w:spacing w:after="0"/>
        <w:tabs>
          <w:tab w:leader="none" w:pos="3240" w:val="left"/>
        </w:tabs>
        <w:numPr>
          <w:ilvl w:val="1"/>
          <w:numId w:val="225"/>
        </w:numPr>
        <w:rPr>
          <w:rFonts w:ascii="Arial" w:cs="Arial" w:eastAsia="Arial" w:hAnsi="Arial"/>
          <w:sz w:val="19"/>
          <w:szCs w:val="19"/>
          <w:color w:val="auto"/>
        </w:rPr>
      </w:pPr>
      <w:r>
        <w:rPr>
          <w:rFonts w:ascii="Arial" w:cs="Arial" w:eastAsia="Arial" w:hAnsi="Arial"/>
          <w:sz w:val="19"/>
          <w:szCs w:val="19"/>
          <w:color w:val="auto"/>
        </w:rPr>
        <w:t>Exhibit B attached to the Mortgage shall be deleted in its entirety and replaced by Exhibit B</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attached hereto.</w:t>
      </w:r>
    </w:p>
    <w:p>
      <w:pPr>
        <w:spacing w:after="0" w:line="188" w:lineRule="exact"/>
        <w:rPr>
          <w:rFonts w:ascii="Arial" w:cs="Arial" w:eastAsia="Arial" w:hAnsi="Arial"/>
          <w:sz w:val="19"/>
          <w:szCs w:val="19"/>
          <w:color w:val="auto"/>
        </w:rPr>
      </w:pPr>
    </w:p>
    <w:p>
      <w:pPr>
        <w:ind w:right="500" w:firstLine="1569"/>
        <w:spacing w:after="0"/>
        <w:tabs>
          <w:tab w:leader="none" w:pos="2371" w:val="left"/>
        </w:tabs>
        <w:numPr>
          <w:ilvl w:val="0"/>
          <w:numId w:val="225"/>
        </w:numPr>
        <w:rPr>
          <w:rFonts w:ascii="Arial" w:cs="Arial" w:eastAsia="Arial" w:hAnsi="Arial"/>
          <w:sz w:val="22"/>
          <w:szCs w:val="22"/>
          <w:color w:val="auto"/>
        </w:rPr>
      </w:pPr>
      <w:r>
        <w:rPr>
          <w:rFonts w:ascii="Arial" w:cs="Arial" w:eastAsia="Arial" w:hAnsi="Arial"/>
          <w:sz w:val="22"/>
          <w:szCs w:val="22"/>
          <w:u w:val="single" w:color="auto"/>
          <w:color w:val="auto"/>
        </w:rPr>
        <w:t>Filing with NVDC</w:t>
      </w:r>
      <w:r>
        <w:rPr>
          <w:rFonts w:ascii="Arial" w:cs="Arial" w:eastAsia="Arial" w:hAnsi="Arial"/>
          <w:sz w:val="22"/>
          <w:szCs w:val="22"/>
          <w:color w:val="auto"/>
        </w:rPr>
        <w:t>. This Amendment shall be recorded with the National Vessel Documentation Center, at the expense of the Owner, and the Owner will cause to be placed on board the Vessel a duly certified copy of this Amendment.</w:t>
      </w:r>
    </w:p>
    <w:p>
      <w:pPr>
        <w:spacing w:after="0" w:line="186" w:lineRule="exact"/>
        <w:rPr>
          <w:rFonts w:ascii="Arial" w:cs="Arial" w:eastAsia="Arial" w:hAnsi="Arial"/>
          <w:sz w:val="22"/>
          <w:szCs w:val="22"/>
          <w:color w:val="auto"/>
        </w:rPr>
      </w:pPr>
    </w:p>
    <w:p>
      <w:pPr>
        <w:ind w:firstLine="1569"/>
        <w:spacing w:after="0" w:line="273" w:lineRule="auto"/>
        <w:tabs>
          <w:tab w:leader="none" w:pos="2371" w:val="left"/>
        </w:tabs>
        <w:numPr>
          <w:ilvl w:val="0"/>
          <w:numId w:val="225"/>
        </w:numPr>
        <w:rPr>
          <w:rFonts w:ascii="Arial" w:cs="Arial" w:eastAsia="Arial" w:hAnsi="Arial"/>
          <w:sz w:val="19"/>
          <w:szCs w:val="19"/>
          <w:color w:val="auto"/>
        </w:rPr>
      </w:pPr>
      <w:r>
        <w:rPr>
          <w:rFonts w:ascii="Arial" w:cs="Arial" w:eastAsia="Arial" w:hAnsi="Arial"/>
          <w:sz w:val="19"/>
          <w:szCs w:val="19"/>
          <w:u w:val="single" w:color="auto"/>
          <w:color w:val="auto"/>
        </w:rPr>
        <w:t>Recording of Amendment</w:t>
      </w:r>
      <w:r>
        <w:rPr>
          <w:rFonts w:ascii="Arial" w:cs="Arial" w:eastAsia="Arial" w:hAnsi="Arial"/>
          <w:sz w:val="19"/>
          <w:szCs w:val="19"/>
          <w:color w:val="auto"/>
        </w:rPr>
        <w:t>. For the purpose of recording this Amendment to First Preferred Mortgage the total amount is Nineteen Million Five Hundred Fifty Two Thousand Three Hundred Eleven Dollars and Eighty Cents ($19,552,311.80) (exclusive of interest, expenses and fees) plus interest, expenses, fees and performance of mortgage covenants, of this amount of which (i) Eighteen Million Fifty Two Thousand Three Hundred Eleven Dollars and Eighty Cents ($18,052,311.80) comprises the outstanding principal amount of the Facility and (ii) One Million Five Hundred Thousand Dollars ($1,500,000) comprises the Swap Liabilities, and interest, expenses, fees and performance of mortgage covenants. The discharge amount is the same as the total amount and there is no separate discharge amount for the Vessel. It is not intended that this Mortgage shall include property other than the Vessel, and it shall not include property other than the Vessel as the term "vessel" is used in Subsection (c)(2) of Section 31322 of Title 46 United States Code, as amended. Notwithstanding the foregoing, for property other than the Vessel, if any should be determined to be covered by this Mortgage, the discharge amount is zero point zero one percent (0.01%) of the total amount.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right="160" w:firstLine="1569"/>
        <w:spacing w:after="0"/>
        <w:tabs>
          <w:tab w:leader="none" w:pos="2371" w:val="left"/>
        </w:tabs>
        <w:numPr>
          <w:ilvl w:val="0"/>
          <w:numId w:val="225"/>
        </w:numPr>
        <w:rPr>
          <w:rFonts w:ascii="Arial" w:cs="Arial" w:eastAsia="Arial" w:hAnsi="Arial"/>
          <w:sz w:val="22"/>
          <w:szCs w:val="22"/>
          <w:color w:val="auto"/>
        </w:rPr>
      </w:pPr>
      <w:r>
        <w:rPr>
          <w:rFonts w:ascii="Arial" w:cs="Arial" w:eastAsia="Arial" w:hAnsi="Arial"/>
          <w:sz w:val="22"/>
          <w:szCs w:val="22"/>
          <w:u w:val="single" w:color="auto"/>
          <w:color w:val="auto"/>
        </w:rPr>
        <w:t>Other Terms Remain Unchanged</w:t>
      </w:r>
      <w:r>
        <w:rPr>
          <w:rFonts w:ascii="Arial" w:cs="Arial" w:eastAsia="Arial" w:hAnsi="Arial"/>
          <w:sz w:val="22"/>
          <w:szCs w:val="22"/>
          <w:color w:val="auto"/>
        </w:rPr>
        <w:t>. The Mortgage shall be deemed amended to the extent necessary to give effect to the foregoing. All other terms and provisions of the Mortgage shall remain unchanged and all of the terms and provisions of the Mortgage, including</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77" w:right="399" w:bottom="1440" w:gutter="0" w:footer="0" w:header="0"/>
        </w:sectPr>
      </w:pPr>
    </w:p>
    <w:bookmarkStart w:id="232" w:name="page233"/>
    <w:bookmarkEnd w:id="232"/>
    <w:p>
      <w:pPr>
        <w:spacing w:after="0" w:line="250" w:lineRule="auto"/>
        <w:rPr>
          <w:sz w:val="20"/>
          <w:szCs w:val="20"/>
          <w:color w:val="auto"/>
        </w:rPr>
      </w:pPr>
      <w:r>
        <w:rPr>
          <w:rFonts w:ascii="Arial" w:cs="Arial" w:eastAsia="Arial" w:hAnsi="Arial"/>
          <w:sz w:val="22"/>
          <w:szCs w:val="22"/>
          <w:color w:val="auto"/>
        </w:rPr>
        <w:t>those as amended by this Amendment, shall be deemed incorporated herein with the same effect as though set forth at length in this Amendment.</w:t>
      </w:r>
    </w:p>
    <w:p>
      <w:pPr>
        <w:spacing w:after="0" w:line="175" w:lineRule="exact"/>
        <w:rPr>
          <w:sz w:val="20"/>
          <w:szCs w:val="20"/>
          <w:color w:val="auto"/>
        </w:rPr>
      </w:pPr>
    </w:p>
    <w:p>
      <w:pPr>
        <w:ind w:right="100" w:firstLine="1569"/>
        <w:spacing w:after="0" w:line="297" w:lineRule="auto"/>
        <w:tabs>
          <w:tab w:leader="none" w:pos="2371" w:val="left"/>
        </w:tabs>
        <w:numPr>
          <w:ilvl w:val="0"/>
          <w:numId w:val="226"/>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in as many counterparts as may be deemed necessary or convenient, and by the different parties hereto on separate counterparts each of which, when so executed, shall be deemed to be an original but all such counterparts shall constitute but one and the same agreement.</w:t>
      </w:r>
    </w:p>
    <w:p>
      <w:pPr>
        <w:spacing w:after="0" w:line="133" w:lineRule="exact"/>
        <w:rPr>
          <w:rFonts w:ascii="Arial" w:cs="Arial" w:eastAsia="Arial" w:hAnsi="Arial"/>
          <w:sz w:val="19"/>
          <w:szCs w:val="19"/>
          <w:color w:val="auto"/>
        </w:rPr>
      </w:pPr>
    </w:p>
    <w:p>
      <w:pPr>
        <w:ind w:right="100" w:firstLine="1569"/>
        <w:spacing w:after="0" w:line="250" w:lineRule="auto"/>
        <w:tabs>
          <w:tab w:leader="none" w:pos="2371" w:val="left"/>
        </w:tabs>
        <w:numPr>
          <w:ilvl w:val="0"/>
          <w:numId w:val="226"/>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In this Amendment, Section headings are inserted for convenience of reference only and shall be ignored in the interpretation of this Amendment.</w:t>
      </w:r>
    </w:p>
    <w:p>
      <w:pPr>
        <w:spacing w:after="0" w:line="169"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Signature Page Follows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60"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40"/>
          </w:cols>
          <w:pgMar w:left="320" w:top="577" w:right="539" w:bottom="1440" w:gutter="0" w:footer="0" w:header="0"/>
        </w:sectPr>
      </w:pPr>
    </w:p>
    <w:bookmarkStart w:id="233" w:name="page234"/>
    <w:bookmarkEnd w:id="233"/>
    <w:p>
      <w:pPr>
        <w:ind w:firstLine="1561"/>
        <w:spacing w:after="0" w:line="250" w:lineRule="auto"/>
        <w:rPr>
          <w:sz w:val="20"/>
          <w:szCs w:val="20"/>
          <w:color w:val="auto"/>
        </w:rPr>
      </w:pPr>
      <w:r>
        <w:rPr>
          <w:rFonts w:ascii="Arial" w:cs="Arial" w:eastAsia="Arial" w:hAnsi="Arial"/>
          <w:sz w:val="22"/>
          <w:szCs w:val="22"/>
          <w:color w:val="auto"/>
        </w:rPr>
        <w:t>IN WITNESS WHEREOF, the parties hereto have caused this Amendment to be executed and delivered by their respective duly authorized officers or attorneys-in-fact on the date first above written.</w:t>
      </w:r>
    </w:p>
    <w:p>
      <w:pPr>
        <w:spacing w:after="0" w:line="169" w:lineRule="exact"/>
        <w:rPr>
          <w:sz w:val="20"/>
          <w:szCs w:val="20"/>
          <w:color w:val="auto"/>
        </w:rPr>
      </w:pPr>
    </w:p>
    <w:p>
      <w:pPr>
        <w:ind w:left="6200"/>
        <w:spacing w:after="0"/>
        <w:rPr>
          <w:sz w:val="20"/>
          <w:szCs w:val="20"/>
          <w:color w:val="auto"/>
        </w:rPr>
      </w:pPr>
      <w:r>
        <w:rPr>
          <w:rFonts w:ascii="Arial" w:cs="Arial" w:eastAsia="Arial" w:hAnsi="Arial"/>
          <w:sz w:val="22"/>
          <w:szCs w:val="22"/>
          <w:b w:val="1"/>
          <w:bCs w:val="1"/>
          <w:color w:val="auto"/>
        </w:rPr>
        <w:t>OWNER:</w:t>
      </w:r>
    </w:p>
    <w:p>
      <w:pPr>
        <w:spacing w:after="0" w:line="14" w:lineRule="exact"/>
        <w:rPr>
          <w:sz w:val="20"/>
          <w:szCs w:val="20"/>
          <w:color w:val="auto"/>
        </w:rPr>
      </w:pPr>
    </w:p>
    <w:p>
      <w:pPr>
        <w:ind w:left="6200"/>
        <w:spacing w:after="0"/>
        <w:rPr>
          <w:sz w:val="20"/>
          <w:szCs w:val="20"/>
          <w:color w:val="auto"/>
        </w:rPr>
      </w:pPr>
      <w:r>
        <w:rPr>
          <w:rFonts w:ascii="Arial" w:cs="Arial" w:eastAsia="Arial" w:hAnsi="Arial"/>
          <w:sz w:val="22"/>
          <w:szCs w:val="22"/>
          <w:b w:val="1"/>
          <w:bCs w:val="1"/>
          <w:color w:val="auto"/>
        </w:rPr>
        <w:t>SEACOR BRAVE LLC</w:t>
      </w:r>
    </w:p>
    <w:p>
      <w:pPr>
        <w:spacing w:after="0" w:line="215"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-157480</wp:posOffset>
            </wp:positionV>
            <wp:extent cx="278574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9">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2"/>
          <w:szCs w:val="22"/>
          <w:color w:val="auto"/>
        </w:rPr>
        <w:t>Title:</w:t>
      </w:r>
    </w:p>
    <w:p>
      <w:pPr>
        <w:spacing w:after="0" w:line="209" w:lineRule="exact"/>
        <w:rPr>
          <w:sz w:val="20"/>
          <w:szCs w:val="20"/>
          <w:color w:val="auto"/>
        </w:rPr>
      </w:pPr>
    </w:p>
    <w:p>
      <w:pPr>
        <w:ind w:left="6200"/>
        <w:spacing w:after="0"/>
        <w:rPr>
          <w:sz w:val="20"/>
          <w:szCs w:val="20"/>
          <w:color w:val="auto"/>
        </w:rPr>
      </w:pPr>
      <w:r>
        <w:rPr>
          <w:rFonts w:ascii="Arial" w:cs="Arial" w:eastAsia="Arial" w:hAnsi="Arial"/>
          <w:sz w:val="22"/>
          <w:szCs w:val="22"/>
          <w:b w:val="1"/>
          <w:bCs w:val="1"/>
          <w:color w:val="auto"/>
        </w:rPr>
        <w:t>MORTGAGEE:</w:t>
      </w:r>
    </w:p>
    <w:p>
      <w:pPr>
        <w:spacing w:after="0" w:line="14" w:lineRule="exact"/>
        <w:rPr>
          <w:sz w:val="20"/>
          <w:szCs w:val="20"/>
          <w:color w:val="auto"/>
        </w:rPr>
      </w:pPr>
    </w:p>
    <w:p>
      <w:pPr>
        <w:ind w:left="6200"/>
        <w:spacing w:after="0"/>
        <w:rPr>
          <w:sz w:val="20"/>
          <w:szCs w:val="20"/>
          <w:color w:val="auto"/>
        </w:rPr>
      </w:pPr>
      <w:r>
        <w:rPr>
          <w:rFonts w:ascii="Arial" w:cs="Arial" w:eastAsia="Arial" w:hAnsi="Arial"/>
          <w:sz w:val="19"/>
          <w:szCs w:val="19"/>
          <w:b w:val="1"/>
          <w:bCs w:val="1"/>
          <w:color w:val="auto"/>
        </w:rPr>
        <w:t>DNB BANK ASA, New York Branch, as Security</w:t>
      </w:r>
    </w:p>
    <w:p>
      <w:pPr>
        <w:spacing w:after="0" w:line="25" w:lineRule="exact"/>
        <w:rPr>
          <w:sz w:val="20"/>
          <w:szCs w:val="20"/>
          <w:color w:val="auto"/>
        </w:rPr>
      </w:pPr>
    </w:p>
    <w:p>
      <w:pPr>
        <w:ind w:left="6200"/>
        <w:spacing w:after="0"/>
        <w:rPr>
          <w:sz w:val="20"/>
          <w:szCs w:val="20"/>
          <w:color w:val="auto"/>
        </w:rPr>
      </w:pPr>
      <w:r>
        <w:rPr>
          <w:rFonts w:ascii="Arial" w:cs="Arial" w:eastAsia="Arial" w:hAnsi="Arial"/>
          <w:sz w:val="22"/>
          <w:szCs w:val="22"/>
          <w:b w:val="1"/>
          <w:bCs w:val="1"/>
          <w:color w:val="auto"/>
        </w:rPr>
        <w:t>Trustee</w:t>
      </w:r>
    </w:p>
    <w:p>
      <w:pPr>
        <w:spacing w:after="0" w:line="215"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-157480</wp:posOffset>
            </wp:positionV>
            <wp:extent cx="278574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0">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2"/>
          <w:szCs w:val="22"/>
          <w:color w:val="auto"/>
        </w:rPr>
        <w:t>Title: Attorney-in-fact</w:t>
      </w:r>
    </w:p>
    <w:p>
      <w:pPr>
        <w:spacing w:after="0" w:line="200" w:lineRule="exact"/>
        <w:rPr>
          <w:sz w:val="20"/>
          <w:szCs w:val="20"/>
          <w:color w:val="auto"/>
        </w:rPr>
      </w:pPr>
    </w:p>
    <w:p>
      <w:pPr>
        <w:spacing w:after="0" w:line="328" w:lineRule="exact"/>
        <w:rPr>
          <w:sz w:val="20"/>
          <w:szCs w:val="20"/>
          <w:color w:val="auto"/>
        </w:rPr>
      </w:pPr>
    </w:p>
    <w:p>
      <w:pPr>
        <w:ind w:left="3160"/>
        <w:spacing w:after="0"/>
        <w:rPr>
          <w:sz w:val="20"/>
          <w:szCs w:val="20"/>
          <w:color w:val="auto"/>
        </w:rPr>
      </w:pPr>
      <w:r>
        <w:rPr>
          <w:rFonts w:ascii="Arial" w:cs="Arial" w:eastAsia="Arial" w:hAnsi="Arial"/>
          <w:sz w:val="14"/>
          <w:szCs w:val="14"/>
          <w:i w:val="1"/>
          <w:iCs w:val="1"/>
          <w:color w:val="auto"/>
        </w:rPr>
        <w:t>[Signature Page – Amendment No. 8 to First Preferred Mortgage – SEACOR BRAVE]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748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40"/>
          </w:cols>
          <w:pgMar w:left="320" w:top="577" w:right="7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22"/>
          <w:szCs w:val="22"/>
          <w:u w:val="single" w:color="auto"/>
          <w:color w:val="auto"/>
        </w:rPr>
        <w:t>ACKNOWLEDGMENT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STATE OF NEW YORK )</w:t>
      </w:r>
    </w:p>
    <w:p>
      <w:pPr>
        <w:spacing w:after="0" w:line="206"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 ss: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COUNTY OF NEW YORK )</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ind w:left="780"/>
              <w:spacing w:after="0"/>
              <w:rPr>
                <w:sz w:val="20"/>
                <w:szCs w:val="20"/>
                <w:color w:val="auto"/>
              </w:rPr>
            </w:pPr>
            <w:r>
              <w:rPr>
                <w:rFonts w:ascii="Arial" w:cs="Arial" w:eastAsia="Arial" w:hAnsi="Arial"/>
                <w:sz w:val="22"/>
                <w:szCs w:val="22"/>
                <w:color w:val="auto"/>
                <w:w w:val="87"/>
              </w:rPr>
              <w:t>On the</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560" w:type="dxa"/>
            <w:vAlign w:val="bottom"/>
          </w:tcPr>
          <w:p>
            <w:pPr>
              <w:spacing w:after="0"/>
              <w:rPr>
                <w:sz w:val="20"/>
                <w:szCs w:val="20"/>
                <w:color w:val="auto"/>
              </w:rPr>
            </w:pPr>
            <w:r>
              <w:rPr>
                <w:rFonts w:ascii="Arial" w:cs="Arial" w:eastAsia="Arial" w:hAnsi="Arial"/>
                <w:sz w:val="22"/>
                <w:szCs w:val="22"/>
                <w:color w:val="auto"/>
                <w:w w:val="87"/>
              </w:rPr>
              <w:t>day of December, in the year 2021, before me, the undersigned, a Notary Public in and for said State, personally</w:t>
            </w:r>
          </w:p>
        </w:tc>
      </w:tr>
      <w:tr>
        <w:trPr>
          <w:trHeight w:val="260"/>
        </w:trPr>
        <w:tc>
          <w:tcPr>
            <w:tcW w:w="1400" w:type="dxa"/>
            <w:vAlign w:val="bottom"/>
            <w:gridSpan w:val="2"/>
          </w:tcPr>
          <w:p>
            <w:pPr>
              <w:spacing w:after="0"/>
              <w:rPr>
                <w:sz w:val="20"/>
                <w:szCs w:val="20"/>
                <w:color w:val="auto"/>
              </w:rPr>
            </w:pPr>
            <w:r>
              <w:rPr>
                <w:rFonts w:ascii="Arial" w:cs="Arial" w:eastAsia="Arial" w:hAnsi="Arial"/>
                <w:sz w:val="22"/>
                <w:szCs w:val="22"/>
                <w:color w:val="auto"/>
              </w:rPr>
              <w:t>appeared</w:t>
            </w:r>
          </w:p>
        </w:tc>
        <w:tc>
          <w:tcPr>
            <w:tcW w:w="9800" w:type="dxa"/>
            <w:vAlign w:val="bottom"/>
            <w:gridSpan w:val="2"/>
          </w:tcPr>
          <w:p>
            <w:pPr>
              <w:ind w:left="40"/>
              <w:spacing w:after="0"/>
              <w:rPr>
                <w:sz w:val="20"/>
                <w:szCs w:val="20"/>
                <w:color w:val="auto"/>
              </w:rPr>
            </w:pPr>
            <w:r>
              <w:rPr>
                <w:rFonts w:ascii="Arial" w:cs="Arial" w:eastAsia="Arial" w:hAnsi="Arial"/>
                <w:sz w:val="22"/>
                <w:szCs w:val="22"/>
                <w:color w:val="auto"/>
                <w:w w:val="92"/>
              </w:rPr>
              <w:t>, personally known to me or proved to me on the basis of satisfactory evidence to be the individual(s) whose</w:t>
            </w:r>
          </w:p>
        </w:tc>
      </w:tr>
    </w:tbl>
    <w:p>
      <w:pPr>
        <w:ind w:right="200"/>
        <w:spacing w:after="0" w:line="234" w:lineRule="auto"/>
        <w:rPr>
          <w:sz w:val="20"/>
          <w:szCs w:val="20"/>
          <w:color w:val="auto"/>
        </w:rPr>
      </w:pPr>
      <w:r>
        <w:rPr>
          <w:rFonts w:ascii="Arial" w:cs="Arial" w:eastAsia="Arial" w:hAnsi="Arial"/>
          <w:sz w:val="22"/>
          <w:szCs w:val="22"/>
          <w:color w:val="auto"/>
        </w:rPr>
        <w:t>name(s) is (are) subscribed to the within instrument and acknowledged to me that he/she/they executed the same in his/her/their capacity(ies) as his/her/their free act and deed, and that by his/her/their signature(s) on the instrument, the individual(s), or the person upon behalf of which the individual(s) acted, executed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312420</wp:posOffset>
            </wp:positionV>
            <wp:extent cx="17741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2">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346075</wp:posOffset>
            </wp:positionV>
            <wp:extent cx="71748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35" w:name="page236"/>
    <w:bookmarkEnd w:id="235"/>
    <w:p>
      <w:pPr>
        <w:jc w:val="center"/>
        <w:spacing w:after="0"/>
        <w:rPr>
          <w:sz w:val="20"/>
          <w:szCs w:val="20"/>
          <w:color w:val="auto"/>
        </w:rPr>
      </w:pPr>
      <w:r>
        <w:rPr>
          <w:rFonts w:ascii="Arial" w:cs="Arial" w:eastAsia="Arial" w:hAnsi="Arial"/>
          <w:sz w:val="22"/>
          <w:szCs w:val="22"/>
          <w:u w:val="single" w:color="auto"/>
          <w:color w:val="auto"/>
        </w:rPr>
        <w:t>ACKNOWLEDGMENT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 OF NEW YORK )</w:t>
      </w:r>
    </w:p>
    <w:p>
      <w:pPr>
        <w:spacing w:after="0" w:line="206"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 ss: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COUNTY OF NEW YORK )</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ind w:left="780"/>
              <w:spacing w:after="0"/>
              <w:rPr>
                <w:sz w:val="20"/>
                <w:szCs w:val="20"/>
                <w:color w:val="auto"/>
              </w:rPr>
            </w:pPr>
            <w:r>
              <w:rPr>
                <w:rFonts w:ascii="Arial" w:cs="Arial" w:eastAsia="Arial" w:hAnsi="Arial"/>
                <w:sz w:val="22"/>
                <w:szCs w:val="22"/>
                <w:color w:val="auto"/>
                <w:w w:val="87"/>
              </w:rPr>
              <w:t>On the</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0" w:type="dxa"/>
            <w:vAlign w:val="bottom"/>
          </w:tcPr>
          <w:p>
            <w:pPr>
              <w:spacing w:after="0"/>
              <w:rPr>
                <w:sz w:val="20"/>
                <w:szCs w:val="20"/>
                <w:color w:val="auto"/>
              </w:rPr>
            </w:pPr>
            <w:r>
              <w:rPr>
                <w:rFonts w:ascii="Arial" w:cs="Arial" w:eastAsia="Arial" w:hAnsi="Arial"/>
                <w:sz w:val="22"/>
                <w:szCs w:val="22"/>
                <w:color w:val="auto"/>
                <w:w w:val="87"/>
              </w:rPr>
              <w:t>day of December, in the year 2021, before me, the undersigned, a Notary Public in and for said State, personally</w:t>
            </w:r>
          </w:p>
        </w:tc>
      </w:tr>
      <w:tr>
        <w:trPr>
          <w:trHeight w:val="260"/>
        </w:trPr>
        <w:tc>
          <w:tcPr>
            <w:tcW w:w="1400" w:type="dxa"/>
            <w:vAlign w:val="bottom"/>
            <w:gridSpan w:val="2"/>
          </w:tcPr>
          <w:p>
            <w:pPr>
              <w:spacing w:after="0"/>
              <w:rPr>
                <w:sz w:val="20"/>
                <w:szCs w:val="20"/>
                <w:color w:val="auto"/>
              </w:rPr>
            </w:pPr>
            <w:r>
              <w:rPr>
                <w:rFonts w:ascii="Arial" w:cs="Arial" w:eastAsia="Arial" w:hAnsi="Arial"/>
                <w:sz w:val="22"/>
                <w:szCs w:val="22"/>
                <w:color w:val="auto"/>
              </w:rPr>
              <w:t>appeared</w:t>
            </w:r>
          </w:p>
        </w:tc>
        <w:tc>
          <w:tcPr>
            <w:tcW w:w="9840" w:type="dxa"/>
            <w:vAlign w:val="bottom"/>
            <w:gridSpan w:val="2"/>
          </w:tcPr>
          <w:p>
            <w:pPr>
              <w:ind w:left="40"/>
              <w:spacing w:after="0"/>
              <w:rPr>
                <w:sz w:val="20"/>
                <w:szCs w:val="20"/>
                <w:color w:val="auto"/>
              </w:rPr>
            </w:pPr>
            <w:r>
              <w:rPr>
                <w:rFonts w:ascii="Arial" w:cs="Arial" w:eastAsia="Arial" w:hAnsi="Arial"/>
                <w:sz w:val="22"/>
                <w:szCs w:val="22"/>
                <w:color w:val="auto"/>
                <w:w w:val="93"/>
              </w:rPr>
              <w:t>, personally known to me or proved to me on the basis of satisfactory evidence to be the individual(s) whose</w:t>
            </w:r>
          </w:p>
        </w:tc>
      </w:tr>
    </w:tbl>
    <w:p>
      <w:pPr>
        <w:jc w:val="both"/>
        <w:spacing w:after="0" w:line="234" w:lineRule="auto"/>
        <w:rPr>
          <w:sz w:val="20"/>
          <w:szCs w:val="20"/>
          <w:color w:val="auto"/>
        </w:rPr>
      </w:pPr>
      <w:r>
        <w:rPr>
          <w:rFonts w:ascii="Arial" w:cs="Arial" w:eastAsia="Arial" w:hAnsi="Arial"/>
          <w:sz w:val="22"/>
          <w:szCs w:val="22"/>
          <w:color w:val="auto"/>
        </w:rPr>
        <w:t>name(s) is (are) subscribed to the within instrument and acknowledged to me that he/she/they executed the same in his/her/their capacity(ies) as his/her/their free act and deed, and that by his/her/their signature(s) on the instrument, the individual(s), or the person upon behalf of which the individual(s) acted, executed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312420</wp:posOffset>
            </wp:positionV>
            <wp:extent cx="17741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4">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346075</wp:posOffset>
            </wp:positionV>
            <wp:extent cx="71748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36" w:name="page237"/>
    <w:bookmarkEnd w:id="236"/>
    <w:p>
      <w:pPr>
        <w:jc w:val="right"/>
        <w:spacing w:after="0"/>
        <w:rPr>
          <w:sz w:val="20"/>
          <w:szCs w:val="20"/>
          <w:color w:val="auto"/>
        </w:rPr>
      </w:pPr>
      <w:r>
        <w:rPr>
          <w:rFonts w:ascii="Arial" w:cs="Arial" w:eastAsia="Arial" w:hAnsi="Arial"/>
          <w:sz w:val="22"/>
          <w:szCs w:val="22"/>
          <w:b w:val="1"/>
          <w:bCs w:val="1"/>
          <w:color w:val="auto"/>
        </w:rPr>
        <w:t>EXHIBIT A</w:t>
      </w:r>
    </w:p>
    <w:p>
      <w:pPr>
        <w:spacing w:after="0" w:line="266"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Amendment No. 7 to Original Amended and Restated Credit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354330</wp:posOffset>
            </wp:positionV>
            <wp:extent cx="71748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71" w:right="339" w:bottom="1440" w:gutter="0" w:footer="0" w:header="0"/>
        </w:sectPr>
      </w:pPr>
    </w:p>
    <w:bookmarkStart w:id="237" w:name="page238"/>
    <w:bookmarkEnd w:id="237"/>
    <w:p>
      <w:pPr>
        <w:jc w:val="right"/>
        <w:spacing w:after="0"/>
        <w:rPr>
          <w:sz w:val="20"/>
          <w:szCs w:val="20"/>
          <w:color w:val="auto"/>
        </w:rPr>
      </w:pPr>
      <w:r>
        <w:rPr>
          <w:rFonts w:ascii="Arial" w:cs="Arial" w:eastAsia="Arial" w:hAnsi="Arial"/>
          <w:sz w:val="22"/>
          <w:szCs w:val="22"/>
          <w:b w:val="1"/>
          <w:bCs w:val="1"/>
          <w:color w:val="auto"/>
        </w:rPr>
        <w:t>EXHIBIT B</w:t>
      </w:r>
    </w:p>
    <w:p>
      <w:pPr>
        <w:spacing w:after="0" w:line="226"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Amended and Restated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354330</wp:posOffset>
            </wp:positionV>
            <wp:extent cx="71748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71" w:right="339" w:bottom="1440" w:gutter="0" w:footer="0" w:header="0"/>
        </w:sectPr>
      </w:pPr>
    </w:p>
    <w:bookmarkStart w:id="238" w:name="page239"/>
    <w:bookmarkEnd w:id="238"/>
    <w:p>
      <w:pPr>
        <w:jc w:val="right"/>
        <w:spacing w:after="0"/>
        <w:rPr>
          <w:sz w:val="20"/>
          <w:szCs w:val="20"/>
          <w:color w:val="auto"/>
        </w:rPr>
      </w:pPr>
      <w:r>
        <w:rPr>
          <w:rFonts w:ascii="Arial" w:cs="Arial" w:eastAsia="Arial" w:hAnsi="Arial"/>
          <w:sz w:val="20"/>
          <w:szCs w:val="20"/>
          <w:b w:val="1"/>
          <w:bCs w:val="1"/>
          <w:color w:val="auto"/>
        </w:rPr>
        <w:t>Annex F</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Exhibit H</w:t>
      </w:r>
    </w:p>
    <w:p>
      <w:pPr>
        <w:spacing w:after="0" w:line="243"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Form of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567055</wp:posOffset>
            </wp:positionV>
            <wp:extent cx="71748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76"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22"/>
          <w:szCs w:val="22"/>
          <w:color w:val="auto"/>
        </w:rPr>
        <w:t>Annex F</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1336040</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80"/>
        <w:spacing w:after="0"/>
        <w:rPr>
          <w:sz w:val="20"/>
          <w:szCs w:val="20"/>
          <w:color w:val="auto"/>
        </w:rPr>
      </w:pPr>
      <w:r>
        <w:rPr>
          <w:rFonts w:ascii="Arial" w:cs="Arial" w:eastAsia="Arial" w:hAnsi="Arial"/>
          <w:sz w:val="19"/>
          <w:szCs w:val="19"/>
          <w:color w:val="auto"/>
        </w:rPr>
        <w:t>SECOND AMENDED AND RESTATED MEMBERSHIP</w:t>
      </w:r>
    </w:p>
    <w:p>
      <w:pPr>
        <w:spacing w:after="0" w:line="43" w:lineRule="exact"/>
        <w:rPr>
          <w:sz w:val="20"/>
          <w:szCs w:val="20"/>
          <w:color w:val="auto"/>
        </w:rPr>
      </w:pPr>
    </w:p>
    <w:p>
      <w:pPr>
        <w:jc w:val="center"/>
        <w:ind w:right="1380"/>
        <w:spacing w:after="0"/>
        <w:rPr>
          <w:sz w:val="20"/>
          <w:szCs w:val="20"/>
          <w:color w:val="auto"/>
        </w:rPr>
      </w:pPr>
      <w:r>
        <w:rPr>
          <w:rFonts w:ascii="Arial" w:cs="Arial" w:eastAsia="Arial" w:hAnsi="Arial"/>
          <w:sz w:val="22"/>
          <w:szCs w:val="22"/>
          <w:color w:val="auto"/>
        </w:rPr>
        <w:t>INTEREST PLEDGE AGREEMENT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between</w:t>
      </w:r>
    </w:p>
    <w:p>
      <w:pPr>
        <w:spacing w:after="0" w:line="200" w:lineRule="exact"/>
        <w:rPr>
          <w:sz w:val="20"/>
          <w:szCs w:val="20"/>
          <w:color w:val="auto"/>
        </w:rPr>
      </w:pPr>
    </w:p>
    <w:p>
      <w:pPr>
        <w:spacing w:after="0" w:line="222"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SEACOR OFFSHORE OSV LLC,</w:t>
      </w:r>
    </w:p>
    <w:p>
      <w:pPr>
        <w:ind w:left="3920"/>
        <w:spacing w:after="0" w:line="238" w:lineRule="auto"/>
        <w:rPr>
          <w:sz w:val="20"/>
          <w:szCs w:val="20"/>
          <w:color w:val="auto"/>
        </w:rPr>
      </w:pPr>
      <w:r>
        <w:rPr>
          <w:rFonts w:ascii="Arial" w:cs="Arial" w:eastAsia="Arial" w:hAnsi="Arial"/>
          <w:sz w:val="22"/>
          <w:szCs w:val="22"/>
          <w:color w:val="auto"/>
        </w:rPr>
        <w:t>as Pledgor</w:t>
      </w:r>
    </w:p>
    <w:p>
      <w:pPr>
        <w:ind w:left="4220"/>
        <w:spacing w:after="0" w:line="230" w:lineRule="auto"/>
        <w:rPr>
          <w:sz w:val="20"/>
          <w:szCs w:val="20"/>
          <w:color w:val="auto"/>
        </w:rPr>
      </w:pPr>
      <w:r>
        <w:rPr>
          <w:rFonts w:ascii="Arial" w:cs="Arial" w:eastAsia="Arial" w:hAnsi="Arial"/>
          <w:sz w:val="22"/>
          <w:szCs w:val="22"/>
          <w:color w:val="auto"/>
        </w:rPr>
        <w:t>and</w:t>
      </w:r>
    </w:p>
    <w:p>
      <w:pPr>
        <w:ind w:left="2440"/>
        <w:spacing w:after="0" w:line="218" w:lineRule="auto"/>
        <w:rPr>
          <w:sz w:val="20"/>
          <w:szCs w:val="20"/>
          <w:color w:val="auto"/>
        </w:rPr>
      </w:pPr>
      <w:r>
        <w:rPr>
          <w:rFonts w:ascii="Arial" w:cs="Arial" w:eastAsia="Arial" w:hAnsi="Arial"/>
          <w:sz w:val="22"/>
          <w:szCs w:val="22"/>
          <w:color w:val="auto"/>
        </w:rPr>
        <w:t>DNB BANK ASA, NEW YORK BRANCH,</w:t>
      </w:r>
    </w:p>
    <w:p>
      <w:pPr>
        <w:jc w:val="center"/>
        <w:ind w:right="1360"/>
        <w:spacing w:after="0" w:line="230" w:lineRule="auto"/>
        <w:rPr>
          <w:sz w:val="20"/>
          <w:szCs w:val="20"/>
          <w:color w:val="auto"/>
        </w:rPr>
      </w:pPr>
      <w:r>
        <w:rPr>
          <w:rFonts w:ascii="Arial" w:cs="Arial" w:eastAsia="Arial" w:hAnsi="Arial"/>
          <w:sz w:val="22"/>
          <w:szCs w:val="22"/>
          <w:color w:val="auto"/>
        </w:rPr>
        <w:t>as Security Trustee, as</w:t>
      </w:r>
    </w:p>
    <w:p>
      <w:pPr>
        <w:spacing w:after="0" w:line="1" w:lineRule="exact"/>
        <w:rPr>
          <w:sz w:val="20"/>
          <w:szCs w:val="20"/>
          <w:color w:val="auto"/>
        </w:rPr>
      </w:pPr>
    </w:p>
    <w:p>
      <w:pPr>
        <w:jc w:val="center"/>
        <w:ind w:right="1360"/>
        <w:spacing w:after="0"/>
        <w:rPr>
          <w:sz w:val="20"/>
          <w:szCs w:val="20"/>
          <w:color w:val="auto"/>
        </w:rPr>
      </w:pPr>
      <w:r>
        <w:rPr>
          <w:rFonts w:ascii="Arial" w:cs="Arial" w:eastAsia="Arial" w:hAnsi="Arial"/>
          <w:sz w:val="22"/>
          <w:szCs w:val="22"/>
          <w:color w:val="auto"/>
        </w:rPr>
        <w:t>Pledgee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560070</wp:posOffset>
            </wp:positionV>
            <wp:extent cx="71748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77" w:right="339" w:bottom="1440" w:gutter="0" w:footer="0" w:header="0"/>
        </w:sectPr>
      </w:pPr>
    </w:p>
    <w:bookmarkStart w:id="240" w:name="page241"/>
    <w:bookmarkEnd w:id="240"/>
    <w:p>
      <w:pPr>
        <w:jc w:val="center"/>
        <w:ind w:right="-19"/>
        <w:spacing w:after="0"/>
        <w:rPr>
          <w:sz w:val="20"/>
          <w:szCs w:val="20"/>
          <w:color w:val="auto"/>
        </w:rPr>
      </w:pPr>
      <w:r>
        <w:rPr>
          <w:rFonts w:ascii="Arial" w:cs="Arial" w:eastAsia="Arial" w:hAnsi="Arial"/>
          <w:sz w:val="22"/>
          <w:szCs w:val="22"/>
          <w:color w:val="auto"/>
        </w:rPr>
        <w:t>SECOND AMENDED AND RESTATED MEMBERSHIP INTEREST PLEDGE AGREEMENT</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THIS SECOND AMENDED AND RESTATED MEMBERSHIP INTEREST PLEDGE</w:t>
      </w:r>
    </w:p>
    <w:p>
      <w:pPr>
        <w:spacing w:after="0" w:line="227" w:lineRule="exact"/>
        <w:rPr>
          <w:sz w:val="20"/>
          <w:szCs w:val="20"/>
          <w:color w:val="auto"/>
        </w:rPr>
      </w:pPr>
    </w:p>
    <w:p>
      <w:pPr>
        <w:spacing w:after="0" w:line="237" w:lineRule="auto"/>
        <w:rPr>
          <w:sz w:val="20"/>
          <w:szCs w:val="20"/>
          <w:color w:val="auto"/>
        </w:rPr>
      </w:pPr>
      <w:r>
        <w:rPr>
          <w:rFonts w:ascii="Arial" w:cs="Arial" w:eastAsia="Arial" w:hAnsi="Arial"/>
          <w:sz w:val="22"/>
          <w:szCs w:val="22"/>
          <w:color w:val="auto"/>
        </w:rPr>
        <w:t>AGREEMENT (this “</w:t>
      </w:r>
      <w:r>
        <w:rPr>
          <w:rFonts w:ascii="Arial" w:cs="Arial" w:eastAsia="Arial" w:hAnsi="Arial"/>
          <w:sz w:val="22"/>
          <w:szCs w:val="22"/>
          <w:b w:val="1"/>
          <w:bCs w:val="1"/>
          <w:color w:val="auto"/>
        </w:rPr>
        <w:t>Pledge Agreement</w:t>
      </w:r>
      <w:r>
        <w:rPr>
          <w:rFonts w:ascii="Arial" w:cs="Arial" w:eastAsia="Arial" w:hAnsi="Arial"/>
          <w:sz w:val="22"/>
          <w:szCs w:val="22"/>
          <w:color w:val="auto"/>
        </w:rPr>
        <w:t>”) is made as of this 31st day of December, 2021 between SEACOR OFFSHORE OSV LLC, a limited liability company organized and existing under the laws of the State of Delaware (herein called the “</w:t>
      </w:r>
      <w:r>
        <w:rPr>
          <w:rFonts w:ascii="Arial" w:cs="Arial" w:eastAsia="Arial" w:hAnsi="Arial"/>
          <w:sz w:val="22"/>
          <w:szCs w:val="22"/>
          <w:b w:val="1"/>
          <w:bCs w:val="1"/>
          <w:color w:val="auto"/>
        </w:rPr>
        <w:t>Pledgor</w:t>
      </w:r>
      <w:r>
        <w:rPr>
          <w:rFonts w:ascii="Arial" w:cs="Arial" w:eastAsia="Arial" w:hAnsi="Arial"/>
          <w:sz w:val="22"/>
          <w:szCs w:val="22"/>
          <w:color w:val="auto"/>
        </w:rPr>
        <w:t>”), and DNB BANK ASA, a banking corporation organized under the laws of the Kingdom of Norway, acting through its New York Branch (“</w:t>
      </w:r>
      <w:r>
        <w:rPr>
          <w:rFonts w:ascii="Arial" w:cs="Arial" w:eastAsia="Arial" w:hAnsi="Arial"/>
          <w:sz w:val="22"/>
          <w:szCs w:val="22"/>
          <w:b w:val="1"/>
          <w:bCs w:val="1"/>
          <w:color w:val="auto"/>
        </w:rPr>
        <w:t>DNB</w:t>
      </w:r>
      <w:r>
        <w:rPr>
          <w:rFonts w:ascii="Arial" w:cs="Arial" w:eastAsia="Arial" w:hAnsi="Arial"/>
          <w:sz w:val="22"/>
          <w:szCs w:val="22"/>
          <w:color w:val="auto"/>
        </w:rPr>
        <w:t>”), as Security Trustee (as such term is hereinafter defined), as pledgee (together with its successors and permitted assigns, herein called the “</w:t>
      </w:r>
      <w:r>
        <w:rPr>
          <w:rFonts w:ascii="Arial" w:cs="Arial" w:eastAsia="Arial" w:hAnsi="Arial"/>
          <w:sz w:val="22"/>
          <w:szCs w:val="22"/>
          <w:b w:val="1"/>
          <w:bCs w:val="1"/>
          <w:color w:val="auto"/>
        </w:rPr>
        <w:t>Pledgee</w:t>
      </w:r>
      <w:r>
        <w:rPr>
          <w:rFonts w:ascii="Arial" w:cs="Arial" w:eastAsia="Arial" w:hAnsi="Arial"/>
          <w:sz w:val="22"/>
          <w:szCs w:val="22"/>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W I T N E S S E T H T H A T</w:t>
      </w:r>
      <w:r>
        <w:rPr>
          <w:rFonts w:ascii="Arial" w:cs="Arial" w:eastAsia="Arial" w:hAnsi="Arial"/>
          <w:sz w:val="22"/>
          <w:szCs w:val="22"/>
          <w:color w:val="auto"/>
        </w:rPr>
        <w:t>:</w:t>
      </w:r>
    </w:p>
    <w:p>
      <w:pPr>
        <w:spacing w:after="0" w:line="119" w:lineRule="exact"/>
        <w:rPr>
          <w:sz w:val="20"/>
          <w:szCs w:val="20"/>
          <w:color w:val="auto"/>
        </w:rPr>
      </w:pPr>
    </w:p>
    <w:p>
      <w:pPr>
        <w:ind w:left="78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w:t>
      </w:r>
    </w:p>
    <w:p>
      <w:pPr>
        <w:spacing w:after="0" w:line="212" w:lineRule="exact"/>
        <w:rPr>
          <w:sz w:val="20"/>
          <w:szCs w:val="20"/>
          <w:color w:val="auto"/>
        </w:rPr>
      </w:pPr>
    </w:p>
    <w:p>
      <w:pPr>
        <w:ind w:left="1640" w:hanging="852"/>
        <w:spacing w:after="0"/>
        <w:tabs>
          <w:tab w:leader="none" w:pos="1640" w:val="left"/>
        </w:tabs>
        <w:numPr>
          <w:ilvl w:val="0"/>
          <w:numId w:val="227"/>
        </w:numPr>
        <w:rPr>
          <w:rFonts w:ascii="Arial" w:cs="Arial" w:eastAsia="Arial" w:hAnsi="Arial"/>
          <w:sz w:val="19"/>
          <w:szCs w:val="19"/>
          <w:color w:val="auto"/>
        </w:rPr>
      </w:pPr>
      <w:r>
        <w:rPr>
          <w:rFonts w:ascii="Arial" w:cs="Arial" w:eastAsia="Arial" w:hAnsi="Arial"/>
          <w:sz w:val="19"/>
          <w:szCs w:val="19"/>
          <w:color w:val="auto"/>
        </w:rPr>
        <w:t>The Pledgor is the registered owner of the one hundred percent (100%) of the membership interests (the</w:t>
      </w:r>
    </w:p>
    <w:p>
      <w:pPr>
        <w:spacing w:after="0" w:line="43"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Membership Interests</w:t>
      </w:r>
      <w:r>
        <w:rPr>
          <w:rFonts w:ascii="Arial" w:cs="Arial" w:eastAsia="Arial" w:hAnsi="Arial"/>
          <w:sz w:val="22"/>
          <w:szCs w:val="22"/>
          <w:color w:val="auto"/>
        </w:rPr>
        <w:t>”) in each of the limited liability companies more particularly described on Schedule I hereto (collectively, the “</w:t>
      </w:r>
      <w:r>
        <w:rPr>
          <w:rFonts w:ascii="Arial" w:cs="Arial" w:eastAsia="Arial" w:hAnsi="Arial"/>
          <w:sz w:val="22"/>
          <w:szCs w:val="22"/>
          <w:b w:val="1"/>
          <w:bCs w:val="1"/>
          <w:color w:val="auto"/>
        </w:rPr>
        <w:t>Pledged Companies</w:t>
      </w:r>
      <w:r>
        <w:rPr>
          <w:rFonts w:ascii="Arial" w:cs="Arial" w:eastAsia="Arial" w:hAnsi="Arial"/>
          <w:sz w:val="22"/>
          <w:szCs w:val="22"/>
          <w:color w:val="auto"/>
        </w:rPr>
        <w:t>” and each a “</w:t>
      </w:r>
      <w:r>
        <w:rPr>
          <w:rFonts w:ascii="Arial" w:cs="Arial" w:eastAsia="Arial" w:hAnsi="Arial"/>
          <w:sz w:val="22"/>
          <w:szCs w:val="22"/>
          <w:b w:val="1"/>
          <w:bCs w:val="1"/>
          <w:color w:val="auto"/>
        </w:rPr>
        <w:t>Pledged Company</w:t>
      </w:r>
      <w:r>
        <w:rPr>
          <w:rFonts w:ascii="Arial" w:cs="Arial" w:eastAsia="Arial" w:hAnsi="Arial"/>
          <w:sz w:val="22"/>
          <w:szCs w:val="22"/>
          <w:color w:val="auto"/>
        </w:rPr>
        <w:t>”), each of which Pledged Company has such authorized, issued and outstanding membership interests as is set forth on Schedule I;</w:t>
      </w:r>
    </w:p>
    <w:p>
      <w:pPr>
        <w:spacing w:after="0" w:line="187" w:lineRule="exact"/>
        <w:rPr>
          <w:sz w:val="20"/>
          <w:szCs w:val="20"/>
          <w:color w:val="auto"/>
        </w:rPr>
      </w:pPr>
    </w:p>
    <w:p>
      <w:pPr>
        <w:ind w:right="60" w:firstLine="788"/>
        <w:spacing w:after="0" w:line="271" w:lineRule="auto"/>
        <w:tabs>
          <w:tab w:leader="none" w:pos="1625" w:val="left"/>
        </w:tabs>
        <w:numPr>
          <w:ilvl w:val="0"/>
          <w:numId w:val="228"/>
        </w:numPr>
        <w:rPr>
          <w:rFonts w:ascii="Arial" w:cs="Arial" w:eastAsia="Arial" w:hAnsi="Arial"/>
          <w:sz w:val="19"/>
          <w:szCs w:val="19"/>
          <w:color w:val="auto"/>
        </w:rPr>
      </w:pPr>
      <w:r>
        <w:rPr>
          <w:rFonts w:ascii="Arial" w:cs="Arial" w:eastAsia="Arial" w:hAnsi="Arial"/>
          <w:sz w:val="19"/>
          <w:szCs w:val="19"/>
          <w:color w:val="auto"/>
        </w:rPr>
        <w:t>Reference is made to that certain amended and restated senior secured term loan credit facility agreement dated as of September 28, 2018, as amended by that certain amendment no. 1 thereto dated as of February 14, 2019, as further amended by that certain amendment no. 2 thereto dated as of June 17, 2019, as further amended by that certain amendment no. 3 thereto dated as of December 23, 2019, as further amended by that certain amendment no. 4 thereto dated as of March 25, 2021, as further amended by that certain amendment no. 5 thereto dated as of September 28, 2021 and as further amended by that certain amendment no. 6 thereto dated as of November 30, 2021 (as amended, the "</w:t>
      </w:r>
      <w:r>
        <w:rPr>
          <w:rFonts w:ascii="Arial" w:cs="Arial" w:eastAsia="Arial" w:hAnsi="Arial"/>
          <w:sz w:val="19"/>
          <w:szCs w:val="19"/>
          <w:b w:val="1"/>
          <w:bCs w:val="1"/>
          <w:color w:val="auto"/>
        </w:rPr>
        <w:t>Original Credit Facility Agreement</w:t>
      </w:r>
      <w:r>
        <w:rPr>
          <w:rFonts w:ascii="Arial" w:cs="Arial" w:eastAsia="Arial" w:hAnsi="Arial"/>
          <w:sz w:val="19"/>
          <w:szCs w:val="19"/>
          <w:color w:val="auto"/>
        </w:rPr>
        <w:t xml:space="preserve">"), made by and among, inter alios, (1) </w:t>
      </w:r>
      <w:r>
        <w:rPr>
          <w:rFonts w:ascii="Arial" w:cs="Arial" w:eastAsia="Arial" w:hAnsi="Arial"/>
          <w:sz w:val="17"/>
          <w:szCs w:val="17"/>
          <w:color w:val="auto"/>
        </w:rPr>
        <w:t>SEACOR OSV PARTNERS I LP, a Delaware limited partnership (the “Original Pledgor”)</w:t>
      </w:r>
      <w:r>
        <w:rPr>
          <w:rFonts w:ascii="Arial" w:cs="Arial" w:eastAsia="Arial" w:hAnsi="Arial"/>
          <w:sz w:val="19"/>
          <w:szCs w:val="19"/>
          <w:color w:val="auto"/>
        </w:rPr>
        <w:t xml:space="preserve"> and each of the Pledged Companies, as joint and several borrowers (the “</w:t>
      </w:r>
      <w:r>
        <w:rPr>
          <w:rFonts w:ascii="Arial" w:cs="Arial" w:eastAsia="Arial" w:hAnsi="Arial"/>
          <w:sz w:val="19"/>
          <w:szCs w:val="19"/>
          <w:b w:val="1"/>
          <w:bCs w:val="1"/>
          <w:color w:val="auto"/>
        </w:rPr>
        <w:t>Original Borrowers</w:t>
      </w:r>
      <w:r>
        <w:rPr>
          <w:rFonts w:ascii="Arial" w:cs="Arial" w:eastAsia="Arial" w:hAnsi="Arial"/>
          <w:sz w:val="19"/>
          <w:szCs w:val="19"/>
          <w:color w:val="auto"/>
        </w:rPr>
        <w:t>”), (2) the banks and financial institutions listed on Schedule I of the Original Credit Facility Agreement, as lenders (together with any bank or financial institution which becomes a Lender pursuant to Section 10 of the Original Credit Facility Agreement, the “</w:t>
      </w:r>
      <w:r>
        <w:rPr>
          <w:rFonts w:ascii="Arial" w:cs="Arial" w:eastAsia="Arial" w:hAnsi="Arial"/>
          <w:sz w:val="19"/>
          <w:szCs w:val="19"/>
          <w:b w:val="1"/>
          <w:bCs w:val="1"/>
          <w:color w:val="auto"/>
        </w:rPr>
        <w:t>Lenders</w:t>
      </w:r>
      <w:r>
        <w:rPr>
          <w:rFonts w:ascii="Arial" w:cs="Arial" w:eastAsia="Arial" w:hAnsi="Arial"/>
          <w:sz w:val="19"/>
          <w:szCs w:val="19"/>
          <w:color w:val="auto"/>
        </w:rPr>
        <w:t>”), (3) DNB MARKETS, INC., as bookrunner and mandated lead arranger, (4) DNB BANK ASA, NEW YORK BRANCH, as administrative agent (in such capacity, the “</w:t>
      </w:r>
      <w:r>
        <w:rPr>
          <w:rFonts w:ascii="Arial" w:cs="Arial" w:eastAsia="Arial" w:hAnsi="Arial"/>
          <w:sz w:val="19"/>
          <w:szCs w:val="19"/>
          <w:b w:val="1"/>
          <w:bCs w:val="1"/>
          <w:color w:val="auto"/>
        </w:rPr>
        <w:t>Administrative Agent</w:t>
      </w:r>
      <w:r>
        <w:rPr>
          <w:rFonts w:ascii="Arial" w:cs="Arial" w:eastAsia="Arial" w:hAnsi="Arial"/>
          <w:sz w:val="19"/>
          <w:szCs w:val="19"/>
          <w:color w:val="auto"/>
        </w:rPr>
        <w:t>”) and as security trustee (in such capacity, the “</w:t>
      </w:r>
      <w:r>
        <w:rPr>
          <w:rFonts w:ascii="Arial" w:cs="Arial" w:eastAsia="Arial" w:hAnsi="Arial"/>
          <w:sz w:val="19"/>
          <w:szCs w:val="19"/>
          <w:b w:val="1"/>
          <w:bCs w:val="1"/>
          <w:color w:val="auto"/>
        </w:rPr>
        <w:t>Security Trustee</w:t>
      </w:r>
      <w:r>
        <w:rPr>
          <w:rFonts w:ascii="Arial" w:cs="Arial" w:eastAsia="Arial" w:hAnsi="Arial"/>
          <w:sz w:val="19"/>
          <w:szCs w:val="19"/>
          <w:color w:val="auto"/>
        </w:rPr>
        <w:t>”), and (5) COMERICA BANK, as facility agent, the Lenders agreed to provide to the Borrowers, on a joint and several basis, a secured term loan facility in the amount of up to Twenty Seven Million Two Hundred Seventy One Thousand Seven Hundred Twelve Dollars and 59 Hundredths ($27,271,712.59) (the “</w:t>
      </w:r>
      <w:r>
        <w:rPr>
          <w:rFonts w:ascii="Arial" w:cs="Arial" w:eastAsia="Arial" w:hAnsi="Arial"/>
          <w:sz w:val="19"/>
          <w:szCs w:val="19"/>
          <w:b w:val="1"/>
          <w:bCs w:val="1"/>
          <w:color w:val="auto"/>
        </w:rPr>
        <w:t>Facility</w:t>
      </w:r>
      <w:r>
        <w:rPr>
          <w:rFonts w:ascii="Arial" w:cs="Arial" w:eastAsia="Arial" w:hAnsi="Arial"/>
          <w:sz w:val="19"/>
          <w:szCs w:val="19"/>
          <w:color w:val="auto"/>
        </w:rPr>
        <w:t>”), of which amount Eighteen Million Fifty Two Thousand Three Hundred Eleven Dollars and Eighty Hundredths ($18,052,311.80) remains outstanding as of the date hereof;</w:t>
      </w:r>
    </w:p>
    <w:p>
      <w:pPr>
        <w:spacing w:after="0" w:line="156" w:lineRule="exact"/>
        <w:rPr>
          <w:rFonts w:ascii="Arial" w:cs="Arial" w:eastAsia="Arial" w:hAnsi="Arial"/>
          <w:sz w:val="19"/>
          <w:szCs w:val="19"/>
          <w:color w:val="auto"/>
        </w:rPr>
      </w:pPr>
    </w:p>
    <w:p>
      <w:pPr>
        <w:ind w:left="1640" w:hanging="852"/>
        <w:spacing w:after="0"/>
        <w:tabs>
          <w:tab w:leader="none" w:pos="164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The Pledgor is the successor-in-interest to the Original Pledgor by merger of the Original Pledgor into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Pledgor.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748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72" w:right="359" w:bottom="1440" w:gutter="0" w:footer="0" w:header="0"/>
        </w:sectPr>
      </w:pPr>
    </w:p>
    <w:bookmarkStart w:id="241" w:name="page242"/>
    <w:bookmarkEnd w:id="241"/>
    <w:p>
      <w:pPr>
        <w:jc w:val="both"/>
        <w:ind w:right="460" w:firstLine="788"/>
        <w:spacing w:after="0"/>
        <w:tabs>
          <w:tab w:leader="none" w:pos="1636" w:val="left"/>
        </w:tabs>
        <w:numPr>
          <w:ilvl w:val="0"/>
          <w:numId w:val="229"/>
        </w:numPr>
        <w:rPr>
          <w:rFonts w:ascii="Arial" w:cs="Arial" w:eastAsia="Arial" w:hAnsi="Arial"/>
          <w:sz w:val="22"/>
          <w:szCs w:val="22"/>
          <w:color w:val="auto"/>
        </w:rPr>
      </w:pPr>
      <w:r>
        <w:rPr>
          <w:rFonts w:ascii="Arial" w:cs="Arial" w:eastAsia="Arial" w:hAnsi="Arial"/>
          <w:sz w:val="22"/>
          <w:szCs w:val="22"/>
          <w:color w:val="auto"/>
        </w:rPr>
        <w:t>The Original Pledgor has previously entered into that certain Pledge Agreement, dated as of November 18, 2013, as amended and restated on September 28, 2018 (as amended and restated, the “</w:t>
      </w:r>
      <w:r>
        <w:rPr>
          <w:rFonts w:ascii="Arial" w:cs="Arial" w:eastAsia="Arial" w:hAnsi="Arial"/>
          <w:sz w:val="22"/>
          <w:szCs w:val="22"/>
          <w:b w:val="1"/>
          <w:bCs w:val="1"/>
          <w:color w:val="auto"/>
        </w:rPr>
        <w:t>Original Membership Interest Pledge</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right="120" w:firstLine="788"/>
        <w:spacing w:after="0" w:line="246" w:lineRule="auto"/>
        <w:tabs>
          <w:tab w:leader="none" w:pos="1612" w:val="left"/>
        </w:tabs>
        <w:numPr>
          <w:ilvl w:val="0"/>
          <w:numId w:val="229"/>
        </w:numPr>
        <w:rPr>
          <w:rFonts w:ascii="Arial" w:cs="Arial" w:eastAsia="Arial" w:hAnsi="Arial"/>
          <w:sz w:val="21"/>
          <w:szCs w:val="21"/>
          <w:color w:val="auto"/>
        </w:rPr>
      </w:pPr>
      <w:r>
        <w:rPr>
          <w:rFonts w:ascii="Arial" w:cs="Arial" w:eastAsia="Arial" w:hAnsi="Arial"/>
          <w:sz w:val="21"/>
          <w:szCs w:val="21"/>
          <w:color w:val="auto"/>
        </w:rPr>
        <w:t>Pursuant to that certain Amendment No. 7 to Amended and Restated Credit Facility Agreement dated as of December 31, 2021 (“</w:t>
      </w:r>
      <w:r>
        <w:rPr>
          <w:rFonts w:ascii="Arial" w:cs="Arial" w:eastAsia="Arial" w:hAnsi="Arial"/>
          <w:sz w:val="21"/>
          <w:szCs w:val="21"/>
          <w:b w:val="1"/>
          <w:bCs w:val="1"/>
          <w:color w:val="auto"/>
        </w:rPr>
        <w:t>Amendment No. 7</w:t>
      </w:r>
      <w:r>
        <w:rPr>
          <w:rFonts w:ascii="Arial" w:cs="Arial" w:eastAsia="Arial" w:hAnsi="Arial"/>
          <w:sz w:val="21"/>
          <w:szCs w:val="21"/>
          <w:color w:val="auto"/>
        </w:rPr>
        <w:t>”; the Original Credit Facility Agreement, as amended and restated by Amendment No. 7, and as may be further amended, restated, supplemented, modified and varied from time to time, the “</w:t>
      </w:r>
      <w:r>
        <w:rPr>
          <w:rFonts w:ascii="Arial" w:cs="Arial" w:eastAsia="Arial" w:hAnsi="Arial"/>
          <w:sz w:val="21"/>
          <w:szCs w:val="21"/>
          <w:b w:val="1"/>
          <w:bCs w:val="1"/>
          <w:color w:val="auto"/>
        </w:rPr>
        <w:t>Credit Facility</w:t>
      </w:r>
      <w:r>
        <w:rPr>
          <w:rFonts w:ascii="Arial" w:cs="Arial" w:eastAsia="Arial" w:hAnsi="Arial"/>
          <w:sz w:val="21"/>
          <w:szCs w:val="21"/>
          <w:color w:val="auto"/>
        </w:rPr>
        <w:t xml:space="preserve"> </w:t>
      </w:r>
      <w:r>
        <w:rPr>
          <w:rFonts w:ascii="Arial" w:cs="Arial" w:eastAsia="Arial" w:hAnsi="Arial"/>
          <w:sz w:val="21"/>
          <w:szCs w:val="21"/>
          <w:b w:val="1"/>
          <w:bCs w:val="1"/>
          <w:color w:val="auto"/>
        </w:rPr>
        <w:t>Agreement</w:t>
      </w:r>
      <w:r>
        <w:rPr>
          <w:rFonts w:ascii="Arial" w:cs="Arial" w:eastAsia="Arial" w:hAnsi="Arial"/>
          <w:sz w:val="21"/>
          <w:szCs w:val="21"/>
          <w:color w:val="auto"/>
        </w:rPr>
        <w:t>”), made by and among, (i) the Original Pledgor, (ii) the Pledged Companies, (iii) the Pledgor, (iv) the Lenders, (v) the</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Administrative Agent, (vi) the Security Trustee and (vii) the Facility Agent, the parties have agreed to amend and restate the Original Credit Facility Agreement, to reflect, among other things, (i) the merger of the Partnership with and into the Incoming Borrower (ii) the addition of Seacor Marine Holdings Inc. as guarantor, (iii) the extension of the Final Payment Date, and (iv) certain additional terms as set forth therein;</w:t>
      </w:r>
    </w:p>
    <w:p>
      <w:pPr>
        <w:spacing w:after="0" w:line="179" w:lineRule="exact"/>
        <w:rPr>
          <w:rFonts w:ascii="Arial" w:cs="Arial" w:eastAsia="Arial" w:hAnsi="Arial"/>
          <w:sz w:val="21"/>
          <w:szCs w:val="21"/>
          <w:color w:val="auto"/>
        </w:rPr>
      </w:pPr>
    </w:p>
    <w:p>
      <w:pPr>
        <w:ind w:right="140" w:firstLine="788"/>
        <w:spacing w:after="0" w:line="279" w:lineRule="auto"/>
        <w:tabs>
          <w:tab w:leader="none" w:pos="1583" w:val="left"/>
        </w:tabs>
        <w:numPr>
          <w:ilvl w:val="0"/>
          <w:numId w:val="229"/>
        </w:numPr>
        <w:rPr>
          <w:rFonts w:ascii="Arial" w:cs="Arial" w:eastAsia="Arial" w:hAnsi="Arial"/>
          <w:sz w:val="19"/>
          <w:szCs w:val="19"/>
          <w:color w:val="auto"/>
        </w:rPr>
      </w:pPr>
      <w:r>
        <w:rPr>
          <w:rFonts w:ascii="Arial" w:cs="Arial" w:eastAsia="Arial" w:hAnsi="Arial"/>
          <w:sz w:val="19"/>
          <w:szCs w:val="19"/>
          <w:color w:val="auto"/>
        </w:rPr>
        <w:t>It is a condition precedent to the Lenders maintaining the availability of the Facility to the Borrowers under the Credit Facility Agreement and the Effective Date under Amendment No. 7 that the Pledgor execute and deliver to the Pledgee, as security for the obligations of the Borrowers under or in connection with the Credit Facility Agreement and the other Transaction Documents (including but not limited to the obligations to repay the Facility when due, the “</w:t>
      </w:r>
      <w:r>
        <w:rPr>
          <w:rFonts w:ascii="Arial" w:cs="Arial" w:eastAsia="Arial" w:hAnsi="Arial"/>
          <w:sz w:val="19"/>
          <w:szCs w:val="19"/>
          <w:b w:val="1"/>
          <w:bCs w:val="1"/>
          <w:color w:val="auto"/>
        </w:rPr>
        <w:t>Obligations</w:t>
      </w:r>
      <w:r>
        <w:rPr>
          <w:rFonts w:ascii="Arial" w:cs="Arial" w:eastAsia="Arial" w:hAnsi="Arial"/>
          <w:sz w:val="19"/>
          <w:szCs w:val="19"/>
          <w:color w:val="auto"/>
        </w:rPr>
        <w:t>”) to the Agents and the Lenders, a pledge of all of the Pledgor’s right, title and interest in and to the Membership Interests by amending and restating the Original Membership Interest Pledge Agreement and entering into this Second Amended and Restated Pledge Agreement.</w:t>
      </w:r>
    </w:p>
    <w:p>
      <w:pPr>
        <w:spacing w:after="0" w:line="150" w:lineRule="exact"/>
        <w:rPr>
          <w:sz w:val="20"/>
          <w:szCs w:val="20"/>
          <w:color w:val="auto"/>
        </w:rPr>
      </w:pPr>
    </w:p>
    <w:p>
      <w:pPr>
        <w:jc w:val="both"/>
        <w:ind w:right="300" w:firstLine="780"/>
        <w:spacing w:after="0"/>
        <w:rPr>
          <w:sz w:val="20"/>
          <w:szCs w:val="20"/>
          <w:color w:val="auto"/>
        </w:rPr>
      </w:pPr>
      <w:r>
        <w:rPr>
          <w:rFonts w:ascii="Arial" w:cs="Arial" w:eastAsia="Arial" w:hAnsi="Arial"/>
          <w:sz w:val="22"/>
          <w:szCs w:val="22"/>
          <w:color w:val="auto"/>
        </w:rPr>
        <w:t>NOW, THEREFORE, in consideration of the premises and of other good and valuable consideration, the receipt and sufficiency of which is hereby acknowledged by the Pledgor, the Pledgor agrees with the Pledgee that the Original Membership Interest Pledge Agreement is hereby amended and restated to read as follows:</w:t>
      </w:r>
    </w:p>
    <w:p>
      <w:pPr>
        <w:spacing w:after="0" w:line="186" w:lineRule="exact"/>
        <w:rPr>
          <w:sz w:val="20"/>
          <w:szCs w:val="20"/>
          <w:color w:val="auto"/>
        </w:rPr>
      </w:pPr>
    </w:p>
    <w:p>
      <w:pPr>
        <w:ind w:right="60" w:firstLine="788"/>
        <w:spacing w:after="0" w:line="250" w:lineRule="auto"/>
        <w:tabs>
          <w:tab w:leader="none" w:pos="1590" w:val="left"/>
        </w:tabs>
        <w:numPr>
          <w:ilvl w:val="0"/>
          <w:numId w:val="230"/>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Unless otherwise defined herein, terms defined in the Credit Facility Agreement shall have the same meanings when used herein.</w:t>
      </w:r>
    </w:p>
    <w:p>
      <w:pPr>
        <w:spacing w:after="0" w:line="174" w:lineRule="exact"/>
        <w:rPr>
          <w:rFonts w:ascii="Arial" w:cs="Arial" w:eastAsia="Arial" w:hAnsi="Arial"/>
          <w:sz w:val="22"/>
          <w:szCs w:val="22"/>
          <w:color w:val="auto"/>
        </w:rPr>
      </w:pPr>
    </w:p>
    <w:p>
      <w:pPr>
        <w:ind w:right="40" w:firstLine="788"/>
        <w:spacing w:after="0" w:line="248" w:lineRule="auto"/>
        <w:tabs>
          <w:tab w:leader="none" w:pos="1590" w:val="left"/>
        </w:tabs>
        <w:numPr>
          <w:ilvl w:val="0"/>
          <w:numId w:val="230"/>
        </w:numPr>
        <w:rPr>
          <w:rFonts w:ascii="Arial" w:cs="Arial" w:eastAsia="Arial" w:hAnsi="Arial"/>
          <w:sz w:val="21"/>
          <w:szCs w:val="21"/>
          <w:color w:val="auto"/>
        </w:rPr>
      </w:pPr>
      <w:r>
        <w:rPr>
          <w:rFonts w:ascii="Arial" w:cs="Arial" w:eastAsia="Arial" w:hAnsi="Arial"/>
          <w:sz w:val="21"/>
          <w:szCs w:val="21"/>
          <w:u w:val="single" w:color="auto"/>
          <w:color w:val="auto"/>
        </w:rPr>
        <w:t>Grant of Security</w:t>
      </w:r>
      <w:r>
        <w:rPr>
          <w:rFonts w:ascii="Arial" w:cs="Arial" w:eastAsia="Arial" w:hAnsi="Arial"/>
          <w:sz w:val="21"/>
          <w:szCs w:val="21"/>
          <w:color w:val="auto"/>
        </w:rPr>
        <w:t>. As security for the complete payment to the Administrative Agent and the Lenders of all sums owing by the Borrowers to the Lenders whether for principal, interest, fees, expenses or otherwise, under and in connection with the Credit Facility Agreement and the other Transaction Documents and the due and punctual performance by the Pledged Company and the other Borrowers of all other Obligations under the Credit Facility Agreement and the other Transaction Documents, the Pledgor hereby pledges, assigns and transfers to the Pledgee and hereby grants to the Pledgee a first lien on, and first security interest in the following (the “</w:t>
      </w:r>
      <w:r>
        <w:rPr>
          <w:rFonts w:ascii="Arial" w:cs="Arial" w:eastAsia="Arial" w:hAnsi="Arial"/>
          <w:sz w:val="21"/>
          <w:szCs w:val="21"/>
          <w:b w:val="1"/>
          <w:bCs w:val="1"/>
          <w:color w:val="auto"/>
        </w:rPr>
        <w:t>Collateral</w:t>
      </w:r>
      <w:r>
        <w:rPr>
          <w:rFonts w:ascii="Arial" w:cs="Arial" w:eastAsia="Arial" w:hAnsi="Arial"/>
          <w:sz w:val="21"/>
          <w:szCs w:val="21"/>
          <w:color w:val="auto"/>
        </w:rPr>
        <w:t>”):</w:t>
      </w:r>
    </w:p>
    <w:p>
      <w:pPr>
        <w:spacing w:after="0" w:line="176" w:lineRule="exact"/>
        <w:rPr>
          <w:rFonts w:ascii="Arial" w:cs="Arial" w:eastAsia="Arial" w:hAnsi="Arial"/>
          <w:sz w:val="21"/>
          <w:szCs w:val="21"/>
          <w:color w:val="auto"/>
        </w:rPr>
      </w:pPr>
    </w:p>
    <w:p>
      <w:pPr>
        <w:ind w:right="40" w:firstLine="1569"/>
        <w:spacing w:after="0"/>
        <w:tabs>
          <w:tab w:leader="none" w:pos="2410" w:val="left"/>
        </w:tabs>
        <w:numPr>
          <w:ilvl w:val="1"/>
          <w:numId w:val="230"/>
        </w:numPr>
        <w:rPr>
          <w:rFonts w:ascii="Arial" w:cs="Arial" w:eastAsia="Arial" w:hAnsi="Arial"/>
          <w:sz w:val="22"/>
          <w:szCs w:val="22"/>
          <w:color w:val="auto"/>
        </w:rPr>
      </w:pPr>
      <w:r>
        <w:rPr>
          <w:rFonts w:ascii="Arial" w:cs="Arial" w:eastAsia="Arial" w:hAnsi="Arial"/>
          <w:sz w:val="22"/>
          <w:szCs w:val="22"/>
          <w:color w:val="auto"/>
        </w:rPr>
        <w:t>with respect to each Pledged Company, the Membership Interests of such Pledged Company, and all distributions, cash, instruments and other property from time to time received, receivable or otherwise distributed in respect of or in exchange for any or all of said Membership Interests;</w:t>
      </w:r>
    </w:p>
    <w:p>
      <w:pPr>
        <w:spacing w:after="0" w:line="145" w:lineRule="exact"/>
        <w:rPr>
          <w:rFonts w:ascii="Arial" w:cs="Arial" w:eastAsia="Arial" w:hAnsi="Arial"/>
          <w:sz w:val="22"/>
          <w:szCs w:val="22"/>
          <w:color w:val="auto"/>
        </w:rPr>
      </w:pPr>
    </w:p>
    <w:p>
      <w:pPr>
        <w:ind w:firstLine="1569"/>
        <w:spacing w:after="0" w:line="297" w:lineRule="auto"/>
        <w:tabs>
          <w:tab w:leader="none" w:pos="2469" w:val="left"/>
        </w:tabs>
        <w:numPr>
          <w:ilvl w:val="1"/>
          <w:numId w:val="230"/>
        </w:numPr>
        <w:rPr>
          <w:rFonts w:ascii="Arial" w:cs="Arial" w:eastAsia="Arial" w:hAnsi="Arial"/>
          <w:sz w:val="19"/>
          <w:szCs w:val="19"/>
          <w:color w:val="auto"/>
        </w:rPr>
      </w:pPr>
      <w:r>
        <w:rPr>
          <w:rFonts w:ascii="Arial" w:cs="Arial" w:eastAsia="Arial" w:hAnsi="Arial"/>
          <w:sz w:val="19"/>
          <w:szCs w:val="19"/>
          <w:color w:val="auto"/>
        </w:rPr>
        <w:t>all additional Membership Interests of each Pledged Company that may from time to time be acquired by the Pledgor in any manner and all cash, instruments and other property from time to time received, receivable or otherwise distributed in respect of or in exchange for any or all of such additional Membership Interests; and</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242" w:name="page243"/>
    <w:bookmarkEnd w:id="242"/>
    <w:p>
      <w:pPr>
        <w:ind w:left="2520" w:hanging="971"/>
        <w:spacing w:after="0"/>
        <w:tabs>
          <w:tab w:leader="none" w:pos="2520" w:val="left"/>
        </w:tabs>
        <w:numPr>
          <w:ilvl w:val="1"/>
          <w:numId w:val="231"/>
        </w:numPr>
        <w:rPr>
          <w:rFonts w:ascii="Arial" w:cs="Arial" w:eastAsia="Arial" w:hAnsi="Arial"/>
          <w:sz w:val="22"/>
          <w:szCs w:val="22"/>
          <w:color w:val="auto"/>
        </w:rPr>
      </w:pPr>
      <w:r>
        <w:rPr>
          <w:rFonts w:ascii="Arial" w:cs="Arial" w:eastAsia="Arial" w:hAnsi="Arial"/>
          <w:sz w:val="22"/>
          <w:szCs w:val="22"/>
          <w:color w:val="auto"/>
        </w:rPr>
        <w:t>any proceeds of any of the foregoing.</w:t>
      </w:r>
    </w:p>
    <w:p>
      <w:pPr>
        <w:spacing w:after="0" w:line="206" w:lineRule="exact"/>
        <w:rPr>
          <w:rFonts w:ascii="Arial" w:cs="Arial" w:eastAsia="Arial" w:hAnsi="Arial"/>
          <w:sz w:val="22"/>
          <w:szCs w:val="22"/>
          <w:color w:val="auto"/>
        </w:rPr>
      </w:pPr>
    </w:p>
    <w:p>
      <w:pPr>
        <w:ind w:left="-20" w:firstLine="788"/>
        <w:spacing w:after="0" w:line="248" w:lineRule="auto"/>
        <w:tabs>
          <w:tab w:leader="none" w:pos="1570" w:val="left"/>
        </w:tabs>
        <w:numPr>
          <w:ilvl w:val="0"/>
          <w:numId w:val="232"/>
        </w:numPr>
        <w:rPr>
          <w:rFonts w:ascii="Arial" w:cs="Arial" w:eastAsia="Arial" w:hAnsi="Arial"/>
          <w:sz w:val="21"/>
          <w:szCs w:val="21"/>
          <w:color w:val="auto"/>
        </w:rPr>
      </w:pPr>
      <w:r>
        <w:rPr>
          <w:rFonts w:ascii="Arial" w:cs="Arial" w:eastAsia="Arial" w:hAnsi="Arial"/>
          <w:sz w:val="21"/>
          <w:szCs w:val="21"/>
          <w:u w:val="single" w:color="auto"/>
          <w:color w:val="auto"/>
        </w:rPr>
        <w:t>Delivery of Irrevocable Proxies</w:t>
      </w:r>
      <w:r>
        <w:rPr>
          <w:rFonts w:ascii="Arial" w:cs="Arial" w:eastAsia="Arial" w:hAnsi="Arial"/>
          <w:sz w:val="21"/>
          <w:szCs w:val="21"/>
          <w:color w:val="auto"/>
        </w:rPr>
        <w:t>. Concurrently with the execution of this Pledge Agreement, the Pledgor shall deliver to the Pledgee (i) a fully executed irrevocable proxy with respect to each Pledged Company in favor of the Pledgee, in substantially the form of Schedule II (the “</w:t>
      </w:r>
      <w:r>
        <w:rPr>
          <w:rFonts w:ascii="Arial" w:cs="Arial" w:eastAsia="Arial" w:hAnsi="Arial"/>
          <w:sz w:val="21"/>
          <w:szCs w:val="21"/>
          <w:b w:val="1"/>
          <w:bCs w:val="1"/>
          <w:color w:val="auto"/>
        </w:rPr>
        <w:t>Irrevocable Proxies</w:t>
      </w:r>
      <w:r>
        <w:rPr>
          <w:rFonts w:ascii="Arial" w:cs="Arial" w:eastAsia="Arial" w:hAnsi="Arial"/>
          <w:sz w:val="21"/>
          <w:szCs w:val="21"/>
          <w:color w:val="auto"/>
        </w:rPr>
        <w:t>”), and (ii) an undated instrument of transfer of limited liability company interests duly executed in blank, which the Pledgee is permitted to date upon an Event of Default, in substantially the form set out in Schedule III hereto. The exercise by the Pledgee of voting rights evidenced by Irrevocable Proxies shall be subject to the limitations thereon set forth in Section 8 hereof.</w:t>
      </w:r>
    </w:p>
    <w:p>
      <w:pPr>
        <w:spacing w:after="0" w:line="176" w:lineRule="exact"/>
        <w:rPr>
          <w:rFonts w:ascii="Arial" w:cs="Arial" w:eastAsia="Arial" w:hAnsi="Arial"/>
          <w:sz w:val="21"/>
          <w:szCs w:val="21"/>
          <w:color w:val="auto"/>
        </w:rPr>
      </w:pPr>
    </w:p>
    <w:p>
      <w:pPr>
        <w:ind w:left="1580" w:hanging="812"/>
        <w:spacing w:after="0"/>
        <w:tabs>
          <w:tab w:leader="none" w:pos="1580" w:val="left"/>
        </w:tabs>
        <w:numPr>
          <w:ilvl w:val="0"/>
          <w:numId w:val="232"/>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Pledgor represents and warrants that:</w:t>
      </w:r>
    </w:p>
    <w:p>
      <w:pPr>
        <w:spacing w:after="0" w:line="206" w:lineRule="exact"/>
        <w:rPr>
          <w:rFonts w:ascii="Arial" w:cs="Arial" w:eastAsia="Arial" w:hAnsi="Arial"/>
          <w:sz w:val="22"/>
          <w:szCs w:val="22"/>
          <w:color w:val="auto"/>
        </w:rPr>
      </w:pPr>
    </w:p>
    <w:p>
      <w:pPr>
        <w:jc w:val="both"/>
        <w:ind w:left="-20" w:right="180" w:firstLine="1569"/>
        <w:spacing w:after="0"/>
        <w:tabs>
          <w:tab w:leader="none" w:pos="2390" w:val="left"/>
        </w:tabs>
        <w:numPr>
          <w:ilvl w:val="1"/>
          <w:numId w:val="232"/>
        </w:numPr>
        <w:rPr>
          <w:rFonts w:ascii="Arial" w:cs="Arial" w:eastAsia="Arial" w:hAnsi="Arial"/>
          <w:sz w:val="22"/>
          <w:szCs w:val="22"/>
          <w:color w:val="auto"/>
        </w:rPr>
      </w:pPr>
      <w:r>
        <w:rPr>
          <w:rFonts w:ascii="Arial" w:cs="Arial" w:eastAsia="Arial" w:hAnsi="Arial"/>
          <w:sz w:val="22"/>
          <w:szCs w:val="22"/>
          <w:color w:val="auto"/>
        </w:rPr>
        <w:t>it is the legal and beneficial owner of, and has good and marketable title to, the Membership Interests, subject to no pledge, lien, mortgage, hypothecation, security interest, charge, option or other encumbrance whatsoever except for the lien and security interest created by this Pledge Agreement;</w:t>
      </w:r>
    </w:p>
    <w:p>
      <w:pPr>
        <w:spacing w:after="0" w:line="186" w:lineRule="exact"/>
        <w:rPr>
          <w:rFonts w:ascii="Arial" w:cs="Arial" w:eastAsia="Arial" w:hAnsi="Arial"/>
          <w:sz w:val="22"/>
          <w:szCs w:val="22"/>
          <w:color w:val="auto"/>
        </w:rPr>
      </w:pPr>
    </w:p>
    <w:p>
      <w:pPr>
        <w:ind w:left="-20" w:right="100" w:firstLine="1569"/>
        <w:spacing w:after="0" w:line="250" w:lineRule="auto"/>
        <w:tabs>
          <w:tab w:leader="none" w:pos="2449" w:val="left"/>
        </w:tabs>
        <w:numPr>
          <w:ilvl w:val="1"/>
          <w:numId w:val="232"/>
        </w:numPr>
        <w:rPr>
          <w:rFonts w:ascii="Arial" w:cs="Arial" w:eastAsia="Arial" w:hAnsi="Arial"/>
          <w:sz w:val="22"/>
          <w:szCs w:val="22"/>
          <w:color w:val="auto"/>
        </w:rPr>
      </w:pPr>
      <w:r>
        <w:rPr>
          <w:rFonts w:ascii="Arial" w:cs="Arial" w:eastAsia="Arial" w:hAnsi="Arial"/>
          <w:sz w:val="22"/>
          <w:szCs w:val="22"/>
          <w:color w:val="auto"/>
        </w:rPr>
        <w:t>it has full power, authority and legal right to execute, deliver and perform this Pledge Agreement and to create the security interest for which this Pledge Agreement provides;</w:t>
      </w:r>
    </w:p>
    <w:p>
      <w:pPr>
        <w:spacing w:after="0" w:line="174" w:lineRule="exact"/>
        <w:rPr>
          <w:rFonts w:ascii="Arial" w:cs="Arial" w:eastAsia="Arial" w:hAnsi="Arial"/>
          <w:sz w:val="22"/>
          <w:szCs w:val="22"/>
          <w:color w:val="auto"/>
        </w:rPr>
      </w:pPr>
    </w:p>
    <w:p>
      <w:pPr>
        <w:ind w:left="-20" w:right="200" w:firstLine="1569"/>
        <w:spacing w:after="0"/>
        <w:tabs>
          <w:tab w:leader="none" w:pos="2509" w:val="left"/>
        </w:tabs>
        <w:numPr>
          <w:ilvl w:val="1"/>
          <w:numId w:val="232"/>
        </w:numPr>
        <w:rPr>
          <w:rFonts w:ascii="Arial" w:cs="Arial" w:eastAsia="Arial" w:hAnsi="Arial"/>
          <w:sz w:val="22"/>
          <w:szCs w:val="22"/>
          <w:color w:val="auto"/>
        </w:rPr>
      </w:pPr>
      <w:r>
        <w:rPr>
          <w:rFonts w:ascii="Arial" w:cs="Arial" w:eastAsia="Arial" w:hAnsi="Arial"/>
          <w:sz w:val="22"/>
          <w:szCs w:val="22"/>
          <w:color w:val="auto"/>
        </w:rPr>
        <w:t>the Membership Interests of each of the Pledged Companies (a) have been duly and validly created pursuant to the limited liability company agreement of each such Pledged Company and (b) constitute 100% of the legal and beneficial ownership interests of each such Pledged Company;</w:t>
      </w:r>
    </w:p>
    <w:p>
      <w:pPr>
        <w:spacing w:after="0" w:line="186" w:lineRule="exact"/>
        <w:rPr>
          <w:rFonts w:ascii="Arial" w:cs="Arial" w:eastAsia="Arial" w:hAnsi="Arial"/>
          <w:sz w:val="22"/>
          <w:szCs w:val="22"/>
          <w:color w:val="auto"/>
        </w:rPr>
      </w:pPr>
    </w:p>
    <w:p>
      <w:pPr>
        <w:ind w:left="-20" w:right="60" w:firstLine="1569"/>
        <w:spacing w:after="0" w:line="279" w:lineRule="auto"/>
        <w:tabs>
          <w:tab w:leader="none" w:pos="2497" w:val="left"/>
        </w:tabs>
        <w:numPr>
          <w:ilvl w:val="1"/>
          <w:numId w:val="232"/>
        </w:numPr>
        <w:rPr>
          <w:rFonts w:ascii="Arial" w:cs="Arial" w:eastAsia="Arial" w:hAnsi="Arial"/>
          <w:sz w:val="19"/>
          <w:szCs w:val="19"/>
          <w:color w:val="auto"/>
        </w:rPr>
      </w:pPr>
      <w:r>
        <w:rPr>
          <w:rFonts w:ascii="Arial" w:cs="Arial" w:eastAsia="Arial" w:hAnsi="Arial"/>
          <w:sz w:val="19"/>
          <w:szCs w:val="19"/>
          <w:color w:val="auto"/>
        </w:rPr>
        <w:t>as of the date hereof, the Pledgor has not entered into any options, warrants or other agreements to acquire additional membership interests in the Pledged Companies and there are no voting trusts or other member agreements or arrangements relating to any Membership Interests to which Pledgor is a party other than the limited liability company agreements for each of the Pledged Companies, except to the extent that grantees of any such interests at the same time pledge any and all such membership interests to the Pledgee at the time of issuance and that any options, warrants or other agreements with respect thereto are made subject to the foregoing requirements;</w:t>
      </w:r>
    </w:p>
    <w:p>
      <w:pPr>
        <w:spacing w:after="0" w:line="150" w:lineRule="exact"/>
        <w:rPr>
          <w:rFonts w:ascii="Arial" w:cs="Arial" w:eastAsia="Arial" w:hAnsi="Arial"/>
          <w:sz w:val="19"/>
          <w:szCs w:val="19"/>
          <w:color w:val="auto"/>
        </w:rPr>
      </w:pPr>
    </w:p>
    <w:p>
      <w:pPr>
        <w:ind w:left="-20" w:right="120" w:firstLine="1569"/>
        <w:spacing w:after="0" w:line="238" w:lineRule="auto"/>
        <w:tabs>
          <w:tab w:leader="none" w:pos="2438" w:val="left"/>
        </w:tabs>
        <w:numPr>
          <w:ilvl w:val="1"/>
          <w:numId w:val="232"/>
        </w:numPr>
        <w:rPr>
          <w:rFonts w:ascii="Arial" w:cs="Arial" w:eastAsia="Arial" w:hAnsi="Arial"/>
          <w:sz w:val="22"/>
          <w:szCs w:val="22"/>
          <w:color w:val="auto"/>
        </w:rPr>
      </w:pPr>
      <w:r>
        <w:rPr>
          <w:rFonts w:ascii="Arial" w:cs="Arial" w:eastAsia="Arial" w:hAnsi="Arial"/>
          <w:sz w:val="22"/>
          <w:szCs w:val="22"/>
          <w:color w:val="auto"/>
        </w:rPr>
        <w:t>this Pledge Agreement constitutes a valid obligation of the Pledgor, legally binding upon it and enforceable in accordance with its terms, except to the extent such enforcement may be limited by equitable principles, principles of public policy or applicable bankruptcy, insolvency, reorganization, moratorium or other laws affecting generally the enforcement of creditor’s rights;</w:t>
      </w:r>
    </w:p>
    <w:p>
      <w:pPr>
        <w:spacing w:after="0" w:line="144" w:lineRule="exact"/>
        <w:rPr>
          <w:rFonts w:ascii="Arial" w:cs="Arial" w:eastAsia="Arial" w:hAnsi="Arial"/>
          <w:sz w:val="22"/>
          <w:szCs w:val="22"/>
          <w:color w:val="auto"/>
        </w:rPr>
      </w:pPr>
    </w:p>
    <w:p>
      <w:pPr>
        <w:ind w:left="-20" w:right="180" w:firstLine="1569"/>
        <w:spacing w:after="0"/>
        <w:tabs>
          <w:tab w:leader="none" w:pos="2497" w:val="left"/>
        </w:tabs>
        <w:numPr>
          <w:ilvl w:val="1"/>
          <w:numId w:val="232"/>
        </w:numPr>
        <w:rPr>
          <w:rFonts w:ascii="Arial" w:cs="Arial" w:eastAsia="Arial" w:hAnsi="Arial"/>
          <w:sz w:val="22"/>
          <w:szCs w:val="22"/>
          <w:color w:val="auto"/>
        </w:rPr>
      </w:pPr>
      <w:r>
        <w:rPr>
          <w:rFonts w:ascii="Arial" w:cs="Arial" w:eastAsia="Arial" w:hAnsi="Arial"/>
          <w:sz w:val="22"/>
          <w:szCs w:val="22"/>
          <w:color w:val="auto"/>
        </w:rPr>
        <w:t>the pledge, hypothecation and assignment of the Membership Interests pursuant to and/or described in this Pledge Agreement creates a valid first perfected security interest in each of the Membership Interests and the proceeds thereof;</w:t>
      </w:r>
    </w:p>
    <w:p>
      <w:pPr>
        <w:spacing w:after="0" w:line="186" w:lineRule="exact"/>
        <w:rPr>
          <w:rFonts w:ascii="Arial" w:cs="Arial" w:eastAsia="Arial" w:hAnsi="Arial"/>
          <w:sz w:val="22"/>
          <w:szCs w:val="22"/>
          <w:color w:val="auto"/>
        </w:rPr>
      </w:pPr>
    </w:p>
    <w:p>
      <w:pPr>
        <w:ind w:left="-20" w:right="40" w:firstLine="1569"/>
        <w:spacing w:after="0" w:line="236" w:lineRule="auto"/>
        <w:tabs>
          <w:tab w:leader="none" w:pos="2556" w:val="left"/>
        </w:tabs>
        <w:numPr>
          <w:ilvl w:val="1"/>
          <w:numId w:val="232"/>
        </w:numPr>
        <w:rPr>
          <w:rFonts w:ascii="Arial" w:cs="Arial" w:eastAsia="Arial" w:hAnsi="Arial"/>
          <w:sz w:val="22"/>
          <w:szCs w:val="22"/>
          <w:color w:val="auto"/>
        </w:rPr>
      </w:pPr>
      <w:r>
        <w:rPr>
          <w:rFonts w:ascii="Arial" w:cs="Arial" w:eastAsia="Arial" w:hAnsi="Arial"/>
          <w:sz w:val="22"/>
          <w:szCs w:val="22"/>
          <w:color w:val="auto"/>
        </w:rPr>
        <w:t>no consent of any other party (including the general or limited partners of the Pledgor) which has not already been given is required in connection with the execution, delivery, performance, validity, enforceability or enforcement of this Pledge Agreement, and no consent, license, approval or authorization of, or registration or declaration with, any governmental authority, bureau or agency is required in connection with the execution, delivery, performance, validity, enforceability or enforcement of this Pledge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203200</wp:posOffset>
            </wp:positionV>
            <wp:extent cx="71748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40" w:top="577" w:right="359" w:bottom="1440" w:gutter="0" w:footer="0" w:header="0"/>
        </w:sectPr>
      </w:pPr>
    </w:p>
    <w:bookmarkStart w:id="243" w:name="page244"/>
    <w:bookmarkEnd w:id="243"/>
    <w:p>
      <w:pPr>
        <w:ind w:left="-40" w:firstLine="1569"/>
        <w:spacing w:after="0" w:line="277" w:lineRule="auto"/>
        <w:tabs>
          <w:tab w:leader="none" w:pos="2595" w:val="left"/>
        </w:tabs>
        <w:numPr>
          <w:ilvl w:val="1"/>
          <w:numId w:val="233"/>
        </w:numPr>
        <w:rPr>
          <w:rFonts w:ascii="Arial" w:cs="Arial" w:eastAsia="Arial" w:hAnsi="Arial"/>
          <w:sz w:val="19"/>
          <w:szCs w:val="19"/>
          <w:color w:val="auto"/>
        </w:rPr>
      </w:pPr>
      <w:r>
        <w:rPr>
          <w:rFonts w:ascii="Arial" w:cs="Arial" w:eastAsia="Arial" w:hAnsi="Arial"/>
          <w:sz w:val="19"/>
          <w:szCs w:val="19"/>
          <w:color w:val="auto"/>
        </w:rPr>
        <w:t>the execution, delivery and performance of this Pledge Agreement will not materially violate or contravene any provision of any existing law or regulation or decree of any court, governmental authority, bureau or agency having jurisdiction in the premises or of the certificate of limited partnership, partnership agreement or other constituent documents of the Pledgor or of any mortgage, indenture, security agreement, contract, undertaking or other agreement to which the Pledgor is a party or which purports to be binding upon it or any of its properties or assets and will not result in the creation or imposition of any lien, charge or encumbrance on, or security interest in, any of its properties or assets pursuant to the provisions of any such mortgage, indenture, security agreement, contract, undertaking or other agreement; and</w:t>
      </w:r>
    </w:p>
    <w:p>
      <w:pPr>
        <w:spacing w:after="0" w:line="151" w:lineRule="exact"/>
        <w:rPr>
          <w:rFonts w:ascii="Arial" w:cs="Arial" w:eastAsia="Arial" w:hAnsi="Arial"/>
          <w:sz w:val="19"/>
          <w:szCs w:val="19"/>
          <w:color w:val="auto"/>
        </w:rPr>
      </w:pPr>
    </w:p>
    <w:p>
      <w:pPr>
        <w:ind w:left="2480" w:hanging="951"/>
        <w:spacing w:after="0"/>
        <w:tabs>
          <w:tab w:leader="none" w:pos="2480" w:val="left"/>
        </w:tabs>
        <w:numPr>
          <w:ilvl w:val="1"/>
          <w:numId w:val="233"/>
        </w:numPr>
        <w:rPr>
          <w:rFonts w:ascii="Arial" w:cs="Arial" w:eastAsia="Arial" w:hAnsi="Arial"/>
          <w:sz w:val="21"/>
          <w:szCs w:val="21"/>
          <w:color w:val="auto"/>
        </w:rPr>
      </w:pPr>
      <w:r>
        <w:rPr>
          <w:rFonts w:ascii="Arial" w:cs="Arial" w:eastAsia="Arial" w:hAnsi="Arial"/>
          <w:sz w:val="21"/>
          <w:szCs w:val="21"/>
          <w:color w:val="auto"/>
        </w:rPr>
        <w:t>Pledgor owns no interest in the Pledged Companies other than the Membership Interests.</w:t>
      </w:r>
    </w:p>
    <w:p>
      <w:pPr>
        <w:spacing w:after="0" w:line="217" w:lineRule="exact"/>
        <w:rPr>
          <w:rFonts w:ascii="Arial" w:cs="Arial" w:eastAsia="Arial" w:hAnsi="Arial"/>
          <w:sz w:val="21"/>
          <w:szCs w:val="21"/>
          <w:color w:val="auto"/>
        </w:rPr>
      </w:pPr>
    </w:p>
    <w:p>
      <w:pPr>
        <w:ind w:left="1560" w:hanging="812"/>
        <w:spacing w:after="0"/>
        <w:tabs>
          <w:tab w:leader="none" w:pos="1560" w:val="left"/>
        </w:tabs>
        <w:numPr>
          <w:ilvl w:val="0"/>
          <w:numId w:val="234"/>
        </w:numPr>
        <w:rPr>
          <w:rFonts w:ascii="Arial" w:cs="Arial" w:eastAsia="Arial" w:hAnsi="Arial"/>
          <w:sz w:val="22"/>
          <w:szCs w:val="22"/>
          <w:color w:val="auto"/>
        </w:rPr>
      </w:pPr>
      <w:r>
        <w:rPr>
          <w:rFonts w:ascii="Arial" w:cs="Arial" w:eastAsia="Arial" w:hAnsi="Arial"/>
          <w:sz w:val="22"/>
          <w:szCs w:val="22"/>
          <w:u w:val="single" w:color="auto"/>
          <w:color w:val="auto"/>
        </w:rPr>
        <w:t>Covenants</w:t>
      </w:r>
      <w:r>
        <w:rPr>
          <w:rFonts w:ascii="Arial" w:cs="Arial" w:eastAsia="Arial" w:hAnsi="Arial"/>
          <w:sz w:val="22"/>
          <w:szCs w:val="22"/>
          <w:color w:val="auto"/>
        </w:rPr>
        <w:t>.</w:t>
      </w:r>
      <w:r>
        <w:rPr>
          <w:rFonts w:ascii="Arial" w:cs="Arial" w:eastAsia="Arial" w:hAnsi="Arial"/>
          <w:sz w:val="19"/>
          <w:szCs w:val="19"/>
          <w:color w:val="auto"/>
        </w:rPr>
        <w:t>The Pledgor hereby covenants that during the continuance of this Pledge Agreement:</w:t>
      </w:r>
    </w:p>
    <w:p>
      <w:pPr>
        <w:spacing w:after="0" w:line="206" w:lineRule="exact"/>
        <w:rPr>
          <w:rFonts w:ascii="Arial" w:cs="Arial" w:eastAsia="Arial" w:hAnsi="Arial"/>
          <w:sz w:val="22"/>
          <w:szCs w:val="22"/>
          <w:color w:val="auto"/>
        </w:rPr>
      </w:pPr>
    </w:p>
    <w:p>
      <w:pPr>
        <w:ind w:left="-40" w:right="40" w:firstLine="1569"/>
        <w:spacing w:after="0" w:line="328" w:lineRule="auto"/>
        <w:tabs>
          <w:tab w:leader="none" w:pos="2370" w:val="left"/>
        </w:tabs>
        <w:numPr>
          <w:ilvl w:val="1"/>
          <w:numId w:val="234"/>
        </w:numPr>
        <w:rPr>
          <w:rFonts w:ascii="Arial" w:cs="Arial" w:eastAsia="Arial" w:hAnsi="Arial"/>
          <w:sz w:val="19"/>
          <w:szCs w:val="19"/>
          <w:color w:val="auto"/>
        </w:rPr>
      </w:pPr>
      <w:r>
        <w:rPr>
          <w:rFonts w:ascii="Arial" w:cs="Arial" w:eastAsia="Arial" w:hAnsi="Arial"/>
          <w:sz w:val="19"/>
          <w:szCs w:val="19"/>
          <w:color w:val="auto"/>
        </w:rPr>
        <w:t>it shall warrant and defend the right and title of the Pledgee conferred by this Pledge Agreement in and to the Membership Interests at the cost of the Pledgor against the claims and demands of all persons whomsoever;</w:t>
      </w:r>
    </w:p>
    <w:p>
      <w:pPr>
        <w:spacing w:after="0" w:line="104" w:lineRule="exact"/>
        <w:rPr>
          <w:rFonts w:ascii="Arial" w:cs="Arial" w:eastAsia="Arial" w:hAnsi="Arial"/>
          <w:sz w:val="19"/>
          <w:szCs w:val="19"/>
          <w:color w:val="auto"/>
        </w:rPr>
      </w:pPr>
    </w:p>
    <w:p>
      <w:pPr>
        <w:ind w:left="-40" w:firstLine="1569"/>
        <w:spacing w:after="0" w:line="274" w:lineRule="auto"/>
        <w:tabs>
          <w:tab w:leader="none" w:pos="2429" w:val="left"/>
        </w:tabs>
        <w:numPr>
          <w:ilvl w:val="1"/>
          <w:numId w:val="234"/>
        </w:numPr>
        <w:rPr>
          <w:rFonts w:ascii="Arial" w:cs="Arial" w:eastAsia="Arial" w:hAnsi="Arial"/>
          <w:sz w:val="21"/>
          <w:szCs w:val="21"/>
          <w:color w:val="auto"/>
        </w:rPr>
      </w:pPr>
      <w:r>
        <w:rPr>
          <w:rFonts w:ascii="Arial" w:cs="Arial" w:eastAsia="Arial" w:hAnsi="Arial"/>
          <w:sz w:val="21"/>
          <w:szCs w:val="21"/>
          <w:color w:val="auto"/>
        </w:rPr>
        <w:t>except as herein provided, it shall not sell, assign, transfer, change, pledge or encumber in any manner any part of the Membership Interests or suffer to exist any encumbrance on the Membership Interests;</w:t>
      </w:r>
    </w:p>
    <w:p>
      <w:pPr>
        <w:spacing w:after="0" w:line="150" w:lineRule="exact"/>
        <w:rPr>
          <w:rFonts w:ascii="Arial" w:cs="Arial" w:eastAsia="Arial" w:hAnsi="Arial"/>
          <w:sz w:val="21"/>
          <w:szCs w:val="21"/>
          <w:color w:val="auto"/>
        </w:rPr>
      </w:pPr>
    </w:p>
    <w:p>
      <w:pPr>
        <w:ind w:left="-40" w:right="40" w:firstLine="1569"/>
        <w:spacing w:after="0"/>
        <w:tabs>
          <w:tab w:leader="none" w:pos="2489" w:val="left"/>
        </w:tabs>
        <w:numPr>
          <w:ilvl w:val="1"/>
          <w:numId w:val="234"/>
        </w:numPr>
        <w:rPr>
          <w:rFonts w:ascii="Arial" w:cs="Arial" w:eastAsia="Arial" w:hAnsi="Arial"/>
          <w:sz w:val="22"/>
          <w:szCs w:val="22"/>
          <w:color w:val="auto"/>
        </w:rPr>
      </w:pPr>
      <w:r>
        <w:rPr>
          <w:rFonts w:ascii="Arial" w:cs="Arial" w:eastAsia="Arial" w:hAnsi="Arial"/>
          <w:sz w:val="22"/>
          <w:szCs w:val="22"/>
          <w:color w:val="auto"/>
        </w:rPr>
        <w:t>without the prior written consent of the Pledgee, it will not amend or modify any limited liability company agreement relating to any Pledged Company including, without limitation, any amendment or modification which would cause the Membership Interests to constitute a security under Article 8 of the UCC;</w:t>
      </w:r>
    </w:p>
    <w:p>
      <w:pPr>
        <w:spacing w:after="0" w:line="186" w:lineRule="exact"/>
        <w:rPr>
          <w:rFonts w:ascii="Arial" w:cs="Arial" w:eastAsia="Arial" w:hAnsi="Arial"/>
          <w:sz w:val="22"/>
          <w:szCs w:val="22"/>
          <w:color w:val="auto"/>
        </w:rPr>
      </w:pPr>
    </w:p>
    <w:p>
      <w:pPr>
        <w:ind w:left="-40" w:right="540" w:firstLine="1569"/>
        <w:spacing w:after="0" w:line="274" w:lineRule="auto"/>
        <w:tabs>
          <w:tab w:leader="none" w:pos="2477" w:val="left"/>
        </w:tabs>
        <w:numPr>
          <w:ilvl w:val="1"/>
          <w:numId w:val="234"/>
        </w:numPr>
        <w:rPr>
          <w:rFonts w:ascii="Arial" w:cs="Arial" w:eastAsia="Arial" w:hAnsi="Arial"/>
          <w:sz w:val="21"/>
          <w:szCs w:val="21"/>
          <w:color w:val="auto"/>
        </w:rPr>
      </w:pPr>
      <w:r>
        <w:rPr>
          <w:rFonts w:ascii="Arial" w:cs="Arial" w:eastAsia="Arial" w:hAnsi="Arial"/>
          <w:sz w:val="21"/>
          <w:szCs w:val="21"/>
          <w:color w:val="auto"/>
        </w:rPr>
        <w:t>it shall not vote the Membership Interests of any Pledged Company in favor of the consolidation, merger, dissolution, liquidation or any other corporate reorganization of such Pledged Company;</w:t>
      </w:r>
    </w:p>
    <w:p>
      <w:pPr>
        <w:spacing w:after="0" w:line="150" w:lineRule="exact"/>
        <w:rPr>
          <w:rFonts w:ascii="Arial" w:cs="Arial" w:eastAsia="Arial" w:hAnsi="Arial"/>
          <w:sz w:val="21"/>
          <w:szCs w:val="21"/>
          <w:color w:val="auto"/>
        </w:rPr>
      </w:pPr>
    </w:p>
    <w:p>
      <w:pPr>
        <w:ind w:left="-40" w:right="160" w:firstLine="1569"/>
        <w:spacing w:after="0" w:line="245" w:lineRule="auto"/>
        <w:tabs>
          <w:tab w:leader="none" w:pos="2418" w:val="left"/>
        </w:tabs>
        <w:numPr>
          <w:ilvl w:val="1"/>
          <w:numId w:val="234"/>
        </w:numPr>
        <w:rPr>
          <w:rFonts w:ascii="Arial" w:cs="Arial" w:eastAsia="Arial" w:hAnsi="Arial"/>
          <w:sz w:val="21"/>
          <w:szCs w:val="21"/>
          <w:color w:val="auto"/>
        </w:rPr>
      </w:pPr>
      <w:r>
        <w:rPr>
          <w:rFonts w:ascii="Arial" w:cs="Arial" w:eastAsia="Arial" w:hAnsi="Arial"/>
          <w:sz w:val="21"/>
          <w:szCs w:val="21"/>
          <w:color w:val="auto"/>
        </w:rPr>
        <w:t xml:space="preserve">it shall not take from any Pledged Company any undertaking or security in respect of its liability hereunder or in respect of any other liability of such Pledged Company to the Pledgor and the Pledgor shall not prove nor have the right of proof, in </w:t>
      </w:r>
      <w:r>
        <w:rPr>
          <w:rFonts w:ascii="Arial" w:cs="Arial" w:eastAsia="Arial" w:hAnsi="Arial"/>
          <w:sz w:val="18"/>
          <w:szCs w:val="18"/>
          <w:color w:val="auto"/>
        </w:rPr>
        <w:t>competition with the Pledgee, for any monies whatsoever owing from any PledgedCompany to the Pledgor, in any</w:t>
      </w:r>
      <w:r>
        <w:rPr>
          <w:rFonts w:ascii="Arial" w:cs="Arial" w:eastAsia="Arial" w:hAnsi="Arial"/>
          <w:sz w:val="21"/>
          <w:szCs w:val="21"/>
          <w:color w:val="auto"/>
        </w:rPr>
        <w:t xml:space="preserve"> </w:t>
      </w:r>
      <w:r>
        <w:rPr>
          <w:rFonts w:ascii="Arial" w:cs="Arial" w:eastAsia="Arial" w:hAnsi="Arial"/>
          <w:sz w:val="18"/>
          <w:szCs w:val="18"/>
          <w:color w:val="auto"/>
        </w:rPr>
        <w:t>insolvency or liquidation, or analogous proceedings underany applicable law, of the Pledgor; and</w:t>
      </w:r>
    </w:p>
    <w:p>
      <w:pPr>
        <w:spacing w:after="0" w:line="188" w:lineRule="exact"/>
        <w:rPr>
          <w:rFonts w:ascii="Arial" w:cs="Arial" w:eastAsia="Arial" w:hAnsi="Arial"/>
          <w:sz w:val="21"/>
          <w:szCs w:val="21"/>
          <w:color w:val="auto"/>
        </w:rPr>
      </w:pPr>
    </w:p>
    <w:p>
      <w:pPr>
        <w:jc w:val="both"/>
        <w:ind w:left="-40" w:right="80" w:firstLine="1569"/>
        <w:spacing w:after="0" w:line="287" w:lineRule="auto"/>
        <w:tabs>
          <w:tab w:leader="none" w:pos="2477" w:val="left"/>
        </w:tabs>
        <w:numPr>
          <w:ilvl w:val="1"/>
          <w:numId w:val="234"/>
        </w:numPr>
        <w:rPr>
          <w:rFonts w:ascii="Arial" w:cs="Arial" w:eastAsia="Arial" w:hAnsi="Arial"/>
          <w:sz w:val="19"/>
          <w:szCs w:val="19"/>
          <w:color w:val="auto"/>
        </w:rPr>
      </w:pPr>
      <w:r>
        <w:rPr>
          <w:rFonts w:ascii="Arial" w:cs="Arial" w:eastAsia="Arial" w:hAnsi="Arial"/>
          <w:sz w:val="19"/>
          <w:szCs w:val="19"/>
          <w:color w:val="auto"/>
        </w:rPr>
        <w:t>the Pledgor shall not cause any Pledged Company to transfer or issue any additional membership interests in such Pledged Company nor any options, warrants or other agreements to do so issued or entered into, except to the extent that grantees of any such interests at the same time pledge any and all such membership interests to the Pledgee at the time of issuance and that any options, warrants or other agreements with respect thereto are made subject to the foregoing requirements.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203200</wp:posOffset>
            </wp:positionV>
            <wp:extent cx="71748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60" w:top="577" w:right="359" w:bottom="1440" w:gutter="0" w:footer="0" w:header="0"/>
        </w:sectPr>
      </w:pPr>
    </w:p>
    <w:bookmarkStart w:id="244" w:name="page245"/>
    <w:bookmarkEnd w:id="244"/>
    <w:p>
      <w:pPr>
        <w:ind w:right="20" w:firstLine="788"/>
        <w:spacing w:after="0" w:line="275" w:lineRule="auto"/>
        <w:tabs>
          <w:tab w:leader="none" w:pos="1590" w:val="left"/>
        </w:tabs>
        <w:numPr>
          <w:ilvl w:val="0"/>
          <w:numId w:val="235"/>
        </w:numPr>
        <w:rPr>
          <w:rFonts w:ascii="Arial" w:cs="Arial" w:eastAsia="Arial" w:hAnsi="Arial"/>
          <w:sz w:val="19"/>
          <w:szCs w:val="19"/>
          <w:color w:val="auto"/>
        </w:rPr>
      </w:pPr>
      <w:r>
        <w:rPr>
          <w:rFonts w:ascii="Arial" w:cs="Arial" w:eastAsia="Arial" w:hAnsi="Arial"/>
          <w:sz w:val="19"/>
          <w:szCs w:val="19"/>
          <w:u w:val="single" w:color="auto"/>
          <w:color w:val="auto"/>
        </w:rPr>
        <w:t>Delivery of Additional Membership Interests</w:t>
      </w:r>
      <w:r>
        <w:rPr>
          <w:rFonts w:ascii="Arial" w:cs="Arial" w:eastAsia="Arial" w:hAnsi="Arial"/>
          <w:sz w:val="19"/>
          <w:szCs w:val="19"/>
          <w:color w:val="auto"/>
        </w:rPr>
        <w:t>. If the Pledgor shall become entitled to receive or shall receive any membership certificates, option or rights, whether as an addition to, in substitution of, or in exchange for any of the Membership Interests, the Pledgor agrees to accept the same as the agent of the Pledgee and to hold the same in trust for the benefit of the Pledgee and to deliver the same forthwith to the Pledgee in the exact form received, with the endorsement of the Pledgor when necessary and/or appropriate instruments of transfer duly executed in blank, and Irrevocable Proxies for any membership certificates so received, to be held by the Pledgee, subject to the terms hereof, as additional collateral security for the Obligations. Any sums paid upon or in respect of the Membership Interests on the liquidation or dissolution of the Pledged Company shall be paid over to the Pledgee to be held by it as additional collateral security for the Obligations.</w:t>
      </w:r>
    </w:p>
    <w:p>
      <w:pPr>
        <w:spacing w:after="0" w:line="157" w:lineRule="exact"/>
        <w:rPr>
          <w:rFonts w:ascii="Arial" w:cs="Arial" w:eastAsia="Arial" w:hAnsi="Arial"/>
          <w:sz w:val="19"/>
          <w:szCs w:val="19"/>
          <w:color w:val="auto"/>
        </w:rPr>
      </w:pPr>
    </w:p>
    <w:p>
      <w:pPr>
        <w:ind w:firstLine="788"/>
        <w:spacing w:after="0" w:line="270" w:lineRule="auto"/>
        <w:tabs>
          <w:tab w:leader="none" w:pos="1590" w:val="left"/>
        </w:tabs>
        <w:numPr>
          <w:ilvl w:val="0"/>
          <w:numId w:val="235"/>
        </w:numPr>
        <w:rPr>
          <w:rFonts w:ascii="Arial" w:cs="Arial" w:eastAsia="Arial" w:hAnsi="Arial"/>
          <w:sz w:val="19"/>
          <w:szCs w:val="19"/>
          <w:color w:val="auto"/>
        </w:rPr>
      </w:pPr>
      <w:r>
        <w:rPr>
          <w:rFonts w:ascii="Arial" w:cs="Arial" w:eastAsia="Arial" w:hAnsi="Arial"/>
          <w:sz w:val="19"/>
          <w:szCs w:val="19"/>
          <w:u w:val="single" w:color="auto"/>
          <w:color w:val="auto"/>
        </w:rPr>
        <w:t>General Authority</w:t>
      </w:r>
      <w:r>
        <w:rPr>
          <w:rFonts w:ascii="Arial" w:cs="Arial" w:eastAsia="Arial" w:hAnsi="Arial"/>
          <w:sz w:val="19"/>
          <w:szCs w:val="19"/>
          <w:color w:val="auto"/>
        </w:rPr>
        <w:t xml:space="preserve">. The Pledgor hereby consents that, without the necessity of any reservation of rights against the Pledgor, and without notice to or further assent by the Pledgor, any demand for payment of any of the Obligations made by any of the Creditors in connection with an Event of Default may be rescinded by the relevant Creditor(s) and any of the Obligations continued, and the Obligations, or the liability of any Pledged Company upon or for any part thereof, or any other collateral security (including, without limitation, any collateral security held pursuant to any of the other Transaction Documents executed and delivered pursuant to the Credit Facility Agreement) or right of offset with respect thereto, may, from time to time, in whole or in part, be renewed, extended, modified, accelerated, compromised, waived, surrendered, or released by the Pledgee, and the Transaction Documents, any guarantees and any other collateral security documents executed and delivered by any other Security Party and/or the Pledged Company or any other obligors in respect of the Obligations may be amended, modified, supplemented or terminated, in whole or in part, as the Pledgee may deem advisable, from time to time, and any other collateral security at any time held by the Pledgee for the payment of the Obligations (including, without limitation, any collateral security held pursuant to any other collateral security document executed and delivered pursuant to the Credit Facility Agreement and the Transaction Documents) may be sold, exchanged, waived, surrendered or released, all without notice to or further assent by the Pledgor or the Pledged Company, which will remain bound hereunder, notwithstanding any such renewal, extension, modification, acceleration, compromise, amendment, supplement, termination, sale, exchange, waiver, surrender or release. The Pledgor waives any and all notices of the creation, renewal, extension or accrual of any of the Obligations and notice of or proof of reliance by the Pledgee upon this Pledge Agreement, and the Obligations, and any of them, shall conclusively be deemed to have been created, contracted or incurred in reliance upon this Pledge Agreement, and all dealings between the Pledged Company and the </w:t>
      </w:r>
      <w:r>
        <w:rPr>
          <w:rFonts w:ascii="Arial" w:cs="Arial" w:eastAsia="Arial" w:hAnsi="Arial"/>
          <w:sz w:val="17"/>
          <w:szCs w:val="17"/>
          <w:color w:val="auto"/>
        </w:rPr>
        <w:t>Pledgee shall likewise be conclusively presumed to have been had or consummated in reliance upon this Pledge Agreement. The</w:t>
      </w:r>
      <w:r>
        <w:rPr>
          <w:rFonts w:ascii="Arial" w:cs="Arial" w:eastAsia="Arial" w:hAnsi="Arial"/>
          <w:sz w:val="19"/>
          <w:szCs w:val="19"/>
          <w:color w:val="auto"/>
        </w:rPr>
        <w:t xml:space="preserve"> </w:t>
      </w:r>
      <w:r>
        <w:rPr>
          <w:rFonts w:ascii="Arial" w:cs="Arial" w:eastAsia="Arial" w:hAnsi="Arial"/>
          <w:sz w:val="17"/>
          <w:szCs w:val="17"/>
          <w:color w:val="auto"/>
        </w:rPr>
        <w:t>Pledgor waives diligence, presentment, protest, demand for payment and notice of default or non-payment to or upon the Pledgor, the Pledged Companies or any other Security Party with respect to the Obligations. Pledgor waives any defense based on theinvalidity or unenforceability of any other pledge in favor of Pledgee of membership interests in the Pledged Companies or any failure of Pledgee to demand or receive a pledge of any other membership interest in the Pledged Companies.</w:t>
      </w: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ind w:firstLine="788"/>
        <w:spacing w:after="0" w:line="279" w:lineRule="auto"/>
        <w:tabs>
          <w:tab w:leader="none" w:pos="1590" w:val="left"/>
        </w:tabs>
        <w:numPr>
          <w:ilvl w:val="0"/>
          <w:numId w:val="235"/>
        </w:numPr>
        <w:rPr>
          <w:rFonts w:ascii="Arial" w:cs="Arial" w:eastAsia="Arial" w:hAnsi="Arial"/>
          <w:sz w:val="19"/>
          <w:szCs w:val="19"/>
          <w:color w:val="auto"/>
        </w:rPr>
      </w:pPr>
      <w:r>
        <w:rPr>
          <w:rFonts w:ascii="Arial" w:cs="Arial" w:eastAsia="Arial" w:hAnsi="Arial"/>
          <w:sz w:val="19"/>
          <w:szCs w:val="19"/>
          <w:u w:val="single" w:color="auto"/>
          <w:color w:val="auto"/>
        </w:rPr>
        <w:t>Voting Rights</w:t>
      </w:r>
      <w:r>
        <w:rPr>
          <w:rFonts w:ascii="Arial" w:cs="Arial" w:eastAsia="Arial" w:hAnsi="Arial"/>
          <w:sz w:val="19"/>
          <w:szCs w:val="19"/>
          <w:color w:val="auto"/>
        </w:rPr>
        <w:t xml:space="preserve">. (i) The Pledgor shall provide to the Pledgee, as the holder of the Irrevocable Proxy, notice (if the Pledgee has requested to be provided with such notice) and the Pledgee shall have the right (but not the obligation) to vote the Membership Interests at its own discretion at, any annual or special meeting, as the case may be, of the members of each Pledged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Pledgee shall not exercise such right to vote until such time that an Event of Default shall have occurred and be continuing under the Credit Facility Agreement in the payment or performance of the Obligations and shall not have been remedied to the Pledgee’s satisfaction or waived in writing and, provided, further, that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45" w:name="page246"/>
    <w:bookmarkEnd w:id="245"/>
    <w:p>
      <w:pPr>
        <w:ind w:right="300"/>
        <w:spacing w:after="0" w:line="250" w:lineRule="auto"/>
        <w:rPr>
          <w:sz w:val="20"/>
          <w:szCs w:val="20"/>
          <w:color w:val="auto"/>
        </w:rPr>
      </w:pPr>
      <w:r>
        <w:rPr>
          <w:rFonts w:ascii="Arial" w:cs="Arial" w:eastAsia="Arial" w:hAnsi="Arial"/>
          <w:sz w:val="22"/>
          <w:szCs w:val="22"/>
          <w:color w:val="auto"/>
        </w:rPr>
        <w:t>if an event described in Section 8(i) (bankruptcy) or Section 8(j) (inability to pay debts) of the Credit Facility Agreement shall have occurred, the Pledgee may exercise any or all its rights hereunder.</w:t>
      </w:r>
    </w:p>
    <w:p>
      <w:pPr>
        <w:spacing w:after="0" w:line="175" w:lineRule="exact"/>
        <w:rPr>
          <w:sz w:val="20"/>
          <w:szCs w:val="20"/>
          <w:color w:val="auto"/>
        </w:rPr>
      </w:pPr>
    </w:p>
    <w:p>
      <w:pPr>
        <w:ind w:firstLine="1569"/>
        <w:spacing w:after="0" w:line="246" w:lineRule="auto"/>
        <w:tabs>
          <w:tab w:leader="none" w:pos="1880" w:val="left"/>
        </w:tabs>
        <w:numPr>
          <w:ilvl w:val="1"/>
          <w:numId w:val="236"/>
        </w:numPr>
        <w:rPr>
          <w:rFonts w:ascii="Arial" w:cs="Arial" w:eastAsia="Arial" w:hAnsi="Arial"/>
          <w:sz w:val="21"/>
          <w:szCs w:val="21"/>
          <w:color w:val="auto"/>
        </w:rPr>
      </w:pPr>
      <w:r>
        <w:rPr>
          <w:rFonts w:ascii="Arial" w:cs="Arial" w:eastAsia="Arial" w:hAnsi="Arial"/>
          <w:sz w:val="21"/>
          <w:szCs w:val="21"/>
          <w:color w:val="auto"/>
        </w:rPr>
        <w:t>Unless and until there shall have occurred and be continuing an Event of Default, the Pledgor shall be entitled to exercise any and all voting and other consensual rights pertaining to the Collateral owned by it, and to give consents, waivers and ratifications in respect thereof; provided that, in each case, no vote shall be cast or any consent, waiver or ratification given or any action taken or omitted to be taken which would violate or be inconsistent with the terms of any Transaction Document, or which could be reasonably be expected to have the effect of impairing the value of the Collateral or any part thereof or the position or interests of the Pledgee in the Collateral (including, without limitation, any action or inaction which would cause any of the Membership Interests to constitute a security under Article 8 of the UCC) unless expressly permitted by the terms of the Transaction Documents.</w:t>
      </w:r>
    </w:p>
    <w:p>
      <w:pPr>
        <w:spacing w:after="0" w:line="179" w:lineRule="exact"/>
        <w:rPr>
          <w:rFonts w:ascii="Arial" w:cs="Arial" w:eastAsia="Arial" w:hAnsi="Arial"/>
          <w:sz w:val="21"/>
          <w:szCs w:val="21"/>
          <w:color w:val="auto"/>
        </w:rPr>
      </w:pPr>
    </w:p>
    <w:p>
      <w:pPr>
        <w:ind w:right="520" w:firstLine="788"/>
        <w:spacing w:after="0" w:line="250" w:lineRule="auto"/>
        <w:tabs>
          <w:tab w:leader="none" w:pos="1590" w:val="left"/>
        </w:tabs>
        <w:numPr>
          <w:ilvl w:val="0"/>
          <w:numId w:val="237"/>
        </w:numPr>
        <w:rPr>
          <w:rFonts w:ascii="Arial" w:cs="Arial" w:eastAsia="Arial" w:hAnsi="Arial"/>
          <w:sz w:val="22"/>
          <w:szCs w:val="22"/>
          <w:color w:val="auto"/>
        </w:rPr>
      </w:pPr>
      <w:r>
        <w:rPr>
          <w:rFonts w:ascii="Arial" w:cs="Arial" w:eastAsia="Arial" w:hAnsi="Arial"/>
          <w:sz w:val="22"/>
          <w:szCs w:val="22"/>
          <w:u w:val="single" w:color="auto"/>
          <w:color w:val="auto"/>
        </w:rPr>
        <w:t>Default</w:t>
      </w:r>
      <w:r>
        <w:rPr>
          <w:rFonts w:ascii="Arial" w:cs="Arial" w:eastAsia="Arial" w:hAnsi="Arial"/>
          <w:sz w:val="22"/>
          <w:szCs w:val="22"/>
          <w:color w:val="auto"/>
        </w:rPr>
        <w:t>. The security constituted by this Pledge Agreement shall become immediately enforceable on the occurrence of an Event of Default under the Credit Facility Agreement.</w:t>
      </w:r>
    </w:p>
    <w:p>
      <w:pPr>
        <w:spacing w:after="0" w:line="174" w:lineRule="exact"/>
        <w:rPr>
          <w:rFonts w:ascii="Arial" w:cs="Arial" w:eastAsia="Arial" w:hAnsi="Arial"/>
          <w:sz w:val="22"/>
          <w:szCs w:val="22"/>
          <w:color w:val="auto"/>
        </w:rPr>
      </w:pPr>
    </w:p>
    <w:p>
      <w:pPr>
        <w:jc w:val="both"/>
        <w:ind w:right="20" w:firstLine="788"/>
        <w:spacing w:after="0" w:line="252" w:lineRule="auto"/>
        <w:tabs>
          <w:tab w:leader="none" w:pos="1698" w:val="left"/>
        </w:tabs>
        <w:numPr>
          <w:ilvl w:val="0"/>
          <w:numId w:val="237"/>
        </w:numPr>
        <w:rPr>
          <w:rFonts w:ascii="Arial" w:cs="Arial" w:eastAsia="Arial" w:hAnsi="Arial"/>
          <w:sz w:val="21"/>
          <w:szCs w:val="21"/>
          <w:color w:val="auto"/>
        </w:rPr>
      </w:pPr>
      <w:r>
        <w:rPr>
          <w:rFonts w:ascii="Arial" w:cs="Arial" w:eastAsia="Arial" w:hAnsi="Arial"/>
          <w:sz w:val="21"/>
          <w:szCs w:val="21"/>
          <w:u w:val="single" w:color="auto"/>
          <w:color w:val="auto"/>
        </w:rPr>
        <w:t>Remedies</w:t>
      </w:r>
      <w:r>
        <w:rPr>
          <w:rFonts w:ascii="Arial" w:cs="Arial" w:eastAsia="Arial" w:hAnsi="Arial"/>
          <w:sz w:val="21"/>
          <w:szCs w:val="21"/>
          <w:color w:val="auto"/>
        </w:rPr>
        <w:t>. At any time after the security constituted by this Pledge Agreement shall have become enforceable as aforesaid, or in the event any of the security created by or pursuant to this Pledge Agreement shall be imperiled or jeopardized in a manner deemed material by the Pledgee, whereupon the security constituted by this Pledge Agreement shall become enforceable, the Pledgee shall be entitled, without further notice to the Pledgor:</w:t>
      </w:r>
    </w:p>
    <w:p>
      <w:pPr>
        <w:spacing w:after="0" w:line="173" w:lineRule="exact"/>
        <w:rPr>
          <w:rFonts w:ascii="Arial" w:cs="Arial" w:eastAsia="Arial" w:hAnsi="Arial"/>
          <w:sz w:val="21"/>
          <w:szCs w:val="21"/>
          <w:color w:val="auto"/>
        </w:rPr>
      </w:pPr>
    </w:p>
    <w:p>
      <w:pPr>
        <w:ind w:firstLine="1569"/>
        <w:spacing w:after="0" w:line="258" w:lineRule="auto"/>
        <w:tabs>
          <w:tab w:leader="none" w:pos="2410" w:val="left"/>
        </w:tabs>
        <w:numPr>
          <w:ilvl w:val="1"/>
          <w:numId w:val="237"/>
        </w:numPr>
        <w:rPr>
          <w:rFonts w:ascii="Arial" w:cs="Arial" w:eastAsia="Arial" w:hAnsi="Arial"/>
          <w:sz w:val="21"/>
          <w:szCs w:val="21"/>
          <w:color w:val="auto"/>
        </w:rPr>
      </w:pPr>
      <w:r>
        <w:rPr>
          <w:rFonts w:ascii="Arial" w:cs="Arial" w:eastAsia="Arial" w:hAnsi="Arial"/>
          <w:sz w:val="21"/>
          <w:szCs w:val="21"/>
          <w:color w:val="auto"/>
        </w:rPr>
        <w:t xml:space="preserve">subject to the limitations of Sections 9-610 and 9-615 of the Uniform Commercial Code of the State of New York (if applicable), to sell, assign, transfer and deliver at any time the whole, or from time to time any part, of the Collateral or any rights or interests therein, at public or private sale or in any other manner, at such price or prices and on such terms as the Pledgee may deem appropriate, and either for cash, on credit, for other property or for future delivery, at the option of the Pledgee, upon not less than 10 </w:t>
      </w:r>
      <w:r>
        <w:rPr>
          <w:rFonts w:ascii="Arial" w:cs="Arial" w:eastAsia="Arial" w:hAnsi="Arial"/>
          <w:sz w:val="18"/>
          <w:szCs w:val="18"/>
          <w:color w:val="auto"/>
        </w:rPr>
        <w:t>days’ written notice (which 10 day notice is hereby acknowledged by the Pledgor to be reasonable)</w:t>
      </w:r>
      <w:r>
        <w:rPr>
          <w:rFonts w:ascii="Arial" w:cs="Arial" w:eastAsia="Arial" w:hAnsi="Arial"/>
          <w:sz w:val="21"/>
          <w:szCs w:val="21"/>
          <w:color w:val="auto"/>
        </w:rPr>
        <w:t xml:space="preserve"> </w:t>
      </w:r>
      <w:r>
        <w:rPr>
          <w:rFonts w:ascii="Arial" w:cs="Arial" w:eastAsia="Arial" w:hAnsi="Arial"/>
          <w:sz w:val="18"/>
          <w:szCs w:val="18"/>
          <w:color w:val="auto"/>
        </w:rPr>
        <w:t>addressed to the Pledgor at its last address on file with the Pledgee, but withoutdemand, advertisement or other notice of any kind (all of which are hereby expressly waived by the Pledgor). If any of the Collateral or any rights or interests thereon are to bedisposed of at a public sale, the Pledgee may, without notice or publication, adjourn any such sale or cause the same to be adjourned from time to time by announcement at the timeand place fixed for sale, and such sale may, without further notice, occur at the time and place identified in such announcement. If any of the Collateral or any rights or interests therein shall be disposed of at a private sale, the Pledgee shall be relieved from all liabilityor claim for inadequacy of price, provided that the Pledgee has acted in good faith. At anysuch public sale the Pledgee may purchase the whole or any part of the Collateral or any rights or interests therein so sold. Each purchaser, including the Pledgee should it acquirethe Collateral, at any public or private sale shall hold the property sold free from any claimor right of redemption, stay, appraisal or reclamation on the part of the Pledgor which are hereby expressly waived and released to the extent permitted by applicable law. If any ofthe Collateral or any rights or interests therein shall be sold on credit or for future delivery,the Collateral or rights or interests so sold may be retained by the Pledgee until the selling price thereof shall be paid by the purchaser, but the Pledgee shall not incur any liability incase of failure of the purchaser to take up and pay for the Collateral or rights or interests therein so sold. In case of any such failure, such Collateral or rights or interests therein may again be sold on not less than 10 days’ written notice as aforesaid;</w:t>
      </w:r>
    </w:p>
    <w:p>
      <w:pPr>
        <w:spacing w:after="0" w:line="186" w:lineRule="exact"/>
        <w:rPr>
          <w:rFonts w:ascii="Arial" w:cs="Arial" w:eastAsia="Arial" w:hAnsi="Arial"/>
          <w:sz w:val="21"/>
          <w:szCs w:val="21"/>
          <w:color w:val="auto"/>
        </w:rPr>
      </w:pPr>
    </w:p>
    <w:p>
      <w:pPr>
        <w:ind w:right="180" w:firstLine="1569"/>
        <w:spacing w:after="0"/>
        <w:tabs>
          <w:tab w:leader="none" w:pos="2469" w:val="left"/>
        </w:tabs>
        <w:numPr>
          <w:ilvl w:val="1"/>
          <w:numId w:val="237"/>
        </w:numPr>
        <w:rPr>
          <w:rFonts w:ascii="Arial" w:cs="Arial" w:eastAsia="Arial" w:hAnsi="Arial"/>
          <w:sz w:val="22"/>
          <w:szCs w:val="22"/>
          <w:color w:val="auto"/>
        </w:rPr>
      </w:pPr>
      <w:r>
        <w:rPr>
          <w:rFonts w:ascii="Arial" w:cs="Arial" w:eastAsia="Arial" w:hAnsi="Arial"/>
          <w:sz w:val="22"/>
          <w:szCs w:val="22"/>
          <w:color w:val="auto"/>
        </w:rPr>
        <w:t>to exercise all voting and other limited liability company rights at any meeting of each Pledged Company and exercise any and all rights of conversion, exchange, subscription or any other rights, privileges or options pertaining to the Membership Interests of such Pledged Company as if it was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246" w:name="page247"/>
    <w:bookmarkEnd w:id="246"/>
    <w:p>
      <w:pPr>
        <w:spacing w:after="0" w:line="235" w:lineRule="auto"/>
        <w:rPr>
          <w:sz w:val="20"/>
          <w:szCs w:val="20"/>
          <w:color w:val="auto"/>
        </w:rPr>
      </w:pPr>
      <w:r>
        <w:rPr>
          <w:rFonts w:ascii="Arial" w:cs="Arial" w:eastAsia="Arial" w:hAnsi="Arial"/>
          <w:sz w:val="22"/>
          <w:szCs w:val="22"/>
          <w:color w:val="auto"/>
        </w:rPr>
        <w:t>the absolute owner thereof, including, without limitation, the right to exchange at its discretion, such Membership Interests upon the merger, consolidation, reorganization, recapitalization or other readjustment of such Pledged Company or, upon the exercise by such Pledged Company or the Pledgee of any right, privilege or option pertaining to such Membership Interests, and in connection therewith, to deposit and deliver such Membership Interests with any committee, depository, transfer agent, registrar or other designated agency upon such terms and conditions as it may determine, all without liability except to account for property actually received by it.</w:t>
      </w:r>
    </w:p>
    <w:p>
      <w:pPr>
        <w:spacing w:after="0" w:line="188" w:lineRule="exact"/>
        <w:rPr>
          <w:sz w:val="20"/>
          <w:szCs w:val="20"/>
          <w:color w:val="auto"/>
        </w:rPr>
      </w:pPr>
    </w:p>
    <w:p>
      <w:pPr>
        <w:ind w:right="20" w:firstLine="1561"/>
        <w:spacing w:after="0"/>
        <w:rPr>
          <w:sz w:val="20"/>
          <w:szCs w:val="20"/>
          <w:color w:val="auto"/>
        </w:rPr>
      </w:pPr>
      <w:r>
        <w:rPr>
          <w:rFonts w:ascii="Arial" w:cs="Arial" w:eastAsia="Arial" w:hAnsi="Arial"/>
          <w:sz w:val="22"/>
          <w:szCs w:val="22"/>
          <w:color w:val="auto"/>
        </w:rPr>
        <w:t>In addition to the rights and remedies granted to it in this Pledge Agreement and in any other instrument or agreement securing, evidencing or relating to any of the Obligations, the Pledgee shall have rights and remedies of a secured party under the Uniform Commercial Code of the State of New York.</w:t>
      </w:r>
    </w:p>
    <w:p>
      <w:pPr>
        <w:spacing w:after="0" w:line="186" w:lineRule="exact"/>
        <w:rPr>
          <w:sz w:val="20"/>
          <w:szCs w:val="20"/>
          <w:color w:val="auto"/>
        </w:rPr>
      </w:pPr>
    </w:p>
    <w:p>
      <w:pPr>
        <w:ind w:right="480" w:firstLine="788"/>
        <w:spacing w:after="0" w:line="250" w:lineRule="auto"/>
        <w:tabs>
          <w:tab w:leader="none" w:pos="1690" w:val="left"/>
        </w:tabs>
        <w:numPr>
          <w:ilvl w:val="0"/>
          <w:numId w:val="238"/>
        </w:numPr>
        <w:rPr>
          <w:rFonts w:ascii="Arial" w:cs="Arial" w:eastAsia="Arial" w:hAnsi="Arial"/>
          <w:sz w:val="22"/>
          <w:szCs w:val="22"/>
          <w:color w:val="auto"/>
        </w:rPr>
      </w:pPr>
      <w:r>
        <w:rPr>
          <w:rFonts w:ascii="Arial" w:cs="Arial" w:eastAsia="Arial" w:hAnsi="Arial"/>
          <w:sz w:val="22"/>
          <w:szCs w:val="22"/>
          <w:u w:val="single" w:color="auto"/>
          <w:color w:val="auto"/>
        </w:rPr>
        <w:t>No Duty on Pledgee</w:t>
      </w:r>
      <w:r>
        <w:rPr>
          <w:rFonts w:ascii="Arial" w:cs="Arial" w:eastAsia="Arial" w:hAnsi="Arial"/>
          <w:sz w:val="22"/>
          <w:szCs w:val="22"/>
          <w:color w:val="auto"/>
        </w:rPr>
        <w:t>. The Pledgee shall have no duty to exercise any of the aforesaid rights, privileges or options and shall not be responsible for any failure to do so or delay in so doing.</w:t>
      </w:r>
    </w:p>
    <w:p>
      <w:pPr>
        <w:spacing w:after="0" w:line="174" w:lineRule="exact"/>
        <w:rPr>
          <w:rFonts w:ascii="Arial" w:cs="Arial" w:eastAsia="Arial" w:hAnsi="Arial"/>
          <w:sz w:val="22"/>
          <w:szCs w:val="22"/>
          <w:color w:val="auto"/>
        </w:rPr>
      </w:pPr>
    </w:p>
    <w:p>
      <w:pPr>
        <w:ind w:right="220" w:firstLine="788"/>
        <w:spacing w:after="0" w:line="250" w:lineRule="auto"/>
        <w:tabs>
          <w:tab w:leader="none" w:pos="1698" w:val="left"/>
        </w:tabs>
        <w:numPr>
          <w:ilvl w:val="0"/>
          <w:numId w:val="238"/>
        </w:numPr>
        <w:rPr>
          <w:rFonts w:ascii="Arial" w:cs="Arial" w:eastAsia="Arial" w:hAnsi="Arial"/>
          <w:sz w:val="22"/>
          <w:szCs w:val="22"/>
          <w:color w:val="auto"/>
        </w:rPr>
      </w:pPr>
      <w:r>
        <w:rPr>
          <w:rFonts w:ascii="Arial" w:cs="Arial" w:eastAsia="Arial" w:hAnsi="Arial"/>
          <w:sz w:val="22"/>
          <w:szCs w:val="22"/>
          <w:u w:val="single" w:color="auto"/>
          <w:color w:val="auto"/>
        </w:rPr>
        <w:t>Application of Proceeds</w:t>
      </w:r>
      <w:r>
        <w:rPr>
          <w:rFonts w:ascii="Arial" w:cs="Arial" w:eastAsia="Arial" w:hAnsi="Arial"/>
          <w:sz w:val="22"/>
          <w:szCs w:val="22"/>
          <w:color w:val="auto"/>
        </w:rPr>
        <w:t>. All moneys collected or received by the Pledgee pursuant to this Pledge Agreement shall be dealt with as provided in Section 8.3 of the Credit Facility Agreement.</w:t>
      </w:r>
    </w:p>
    <w:p>
      <w:pPr>
        <w:spacing w:after="0" w:line="134" w:lineRule="exact"/>
        <w:rPr>
          <w:rFonts w:ascii="Arial" w:cs="Arial" w:eastAsia="Arial" w:hAnsi="Arial"/>
          <w:sz w:val="22"/>
          <w:szCs w:val="22"/>
          <w:color w:val="auto"/>
        </w:rPr>
      </w:pPr>
    </w:p>
    <w:p>
      <w:pPr>
        <w:jc w:val="both"/>
        <w:ind w:right="100" w:firstLine="788"/>
        <w:spacing w:after="0" w:line="249" w:lineRule="auto"/>
        <w:tabs>
          <w:tab w:leader="none" w:pos="1698" w:val="left"/>
        </w:tabs>
        <w:numPr>
          <w:ilvl w:val="0"/>
          <w:numId w:val="238"/>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When all of the Obligations shall have been fully satisfied, the Pledgee agrees that it shall forthwith release the Pledgor from its obligations hereunder and the Pledgee, at the request and expense of the Pledgor, will promptly execute and deliver to the Pledgor a proper instrument or instruments acknowledging the satisfaction and termination of this Agreement, and the Irrevocable Proxies shall terminate forthwith and be delivered to the Pledgor forthwith together with the other items furnished to the Pledgee pursuant to Section 2 hereof.</w:t>
      </w:r>
    </w:p>
    <w:p>
      <w:pPr>
        <w:spacing w:after="0" w:line="178" w:lineRule="exact"/>
        <w:rPr>
          <w:rFonts w:ascii="Arial" w:cs="Arial" w:eastAsia="Arial" w:hAnsi="Arial"/>
          <w:sz w:val="21"/>
          <w:szCs w:val="21"/>
          <w:color w:val="auto"/>
        </w:rPr>
      </w:pPr>
    </w:p>
    <w:p>
      <w:pPr>
        <w:ind w:firstLine="788"/>
        <w:spacing w:after="0" w:line="272" w:lineRule="auto"/>
        <w:tabs>
          <w:tab w:leader="none" w:pos="1698" w:val="left"/>
        </w:tabs>
        <w:numPr>
          <w:ilvl w:val="0"/>
          <w:numId w:val="238"/>
        </w:numPr>
        <w:rPr>
          <w:rFonts w:ascii="Arial" w:cs="Arial" w:eastAsia="Arial" w:hAnsi="Arial"/>
          <w:sz w:val="19"/>
          <w:szCs w:val="19"/>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The Pledgor shall from time to time, and at all times after the security constituted by this Pledge Agreement shall have become enforceable, execute all such further instruments and documents, make any filings, including, without limitation, UCC-1 filings and do all such things as the Pledgee may reasonably deem desirable for the purpose of obtaining the full benefit of this Pledge Agreement and of the rights, title, interest, powers, authorities and discretions conferred on the Pledgee by this Pledge Agreement including (without limitation) causing each of the Pledged Companies to execute any such instruments and documents as aforesaid. The Pledgor hereby irrevocably appoints the Pledgee its attorney-in-fact for him and in its name and on its behalf and as its act and deed to (i) to file any and all Uniform Commercial Code financing statements or renewals thereof in connection with this Pledge without the signature of the Pledgor which the Pledgee may deem to be necessary or advisable in order to perfect or maintain the security interest granted hereby and (ii) should an Event of Default have occurred and be continuing to execute, seal and deliver and otherwise perfect any deed, assurance, agreement, instrument or act which it may deem desirable for any of the purposes of this Pledge Agreement. The Pledgee shall have full power to delegate this power of attorney but no such delegation shall preclude the subsequent exercise of such power by the Pledgee itself or preclude the Pledgee from subsequent delegation to some other person and any delegation may be revoked by the Pledgee at any time.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247" w:name="page248"/>
    <w:bookmarkEnd w:id="247"/>
    <w:p>
      <w:pPr>
        <w:ind w:left="-80" w:right="100" w:firstLine="788"/>
        <w:spacing w:after="0" w:line="245" w:lineRule="auto"/>
        <w:tabs>
          <w:tab w:leader="none" w:pos="1618" w:val="left"/>
        </w:tabs>
        <w:numPr>
          <w:ilvl w:val="0"/>
          <w:numId w:val="239"/>
        </w:numPr>
        <w:rPr>
          <w:rFonts w:ascii="Arial" w:cs="Arial" w:eastAsia="Arial" w:hAnsi="Arial"/>
          <w:sz w:val="21"/>
          <w:szCs w:val="21"/>
          <w:color w:val="auto"/>
        </w:rPr>
      </w:pPr>
      <w:r>
        <w:rPr>
          <w:rFonts w:ascii="Arial" w:cs="Arial" w:eastAsia="Arial" w:hAnsi="Arial"/>
          <w:sz w:val="21"/>
          <w:szCs w:val="21"/>
          <w:u w:val="single" w:color="auto"/>
          <w:color w:val="auto"/>
        </w:rPr>
        <w:t>No Waiver; Remedies Cumulative and Exclusive</w:t>
      </w:r>
      <w:r>
        <w:rPr>
          <w:rFonts w:ascii="Arial" w:cs="Arial" w:eastAsia="Arial" w:hAnsi="Arial"/>
          <w:sz w:val="21"/>
          <w:szCs w:val="21"/>
          <w:color w:val="auto"/>
        </w:rPr>
        <w:t>. The Pledgee shall not by any act, delay, omission or otherwise be deemed to have waived any of its rights or remedies hereunder, and no waiver shall be valid unless in writing, signed by the Pledgee, and then only to the extent therein set forth. A waiver by the Pledgee of any right or remedy hereunder on any one occasion shall not be construed as a bar to any right or remedy which the Pledgee would otherwise have had on any future occasion. No failure to exercise nor any delay in exercising on the part of the Pledgee, any right, power or privilege hereunder shall operate as a waiver thereof; nor shall any single or partial exercise of any right, power or privilege hereunder preclude any other or further exercise thereof or the exercise of any other right, power or privilege. The rights and remedies hereunder provided are cumulative and may be exercised singly or concurrently, and are not exclusive of any rights and remedies provided by law.</w:t>
      </w:r>
    </w:p>
    <w:p>
      <w:pPr>
        <w:spacing w:after="0" w:line="184" w:lineRule="exact"/>
        <w:rPr>
          <w:rFonts w:ascii="Arial" w:cs="Arial" w:eastAsia="Arial" w:hAnsi="Arial"/>
          <w:sz w:val="21"/>
          <w:szCs w:val="21"/>
          <w:color w:val="auto"/>
        </w:rPr>
      </w:pPr>
    </w:p>
    <w:p>
      <w:pPr>
        <w:ind w:left="-80" w:right="60" w:firstLine="788"/>
        <w:spacing w:after="0" w:line="236" w:lineRule="auto"/>
        <w:tabs>
          <w:tab w:leader="none" w:pos="1618" w:val="left"/>
        </w:tabs>
        <w:numPr>
          <w:ilvl w:val="0"/>
          <w:numId w:val="239"/>
        </w:numPr>
        <w:rPr>
          <w:rFonts w:ascii="Arial" w:cs="Arial" w:eastAsia="Arial" w:hAnsi="Arial"/>
          <w:sz w:val="22"/>
          <w:szCs w:val="22"/>
          <w:color w:val="auto"/>
        </w:rPr>
      </w:pPr>
      <w:r>
        <w:rPr>
          <w:rFonts w:ascii="Arial" w:cs="Arial" w:eastAsia="Arial" w:hAnsi="Arial"/>
          <w:sz w:val="22"/>
          <w:szCs w:val="22"/>
          <w:u w:val="single" w:color="auto"/>
          <w:color w:val="auto"/>
        </w:rPr>
        <w:t>Changes in Writing; Successors and Assigns</w:t>
      </w:r>
      <w:r>
        <w:rPr>
          <w:rFonts w:ascii="Arial" w:cs="Arial" w:eastAsia="Arial" w:hAnsi="Arial"/>
          <w:sz w:val="22"/>
          <w:szCs w:val="22"/>
          <w:color w:val="auto"/>
        </w:rPr>
        <w:t>. None of the terms or provisions of this Pledge Agreement may be waived, altered, modified or amended except by an instrument in writing, duly executed by the Pledgor and the Pledgee. This Pledge Agreement and all obligations of the Pledgor hereunder shall be binding upon the successors and assigns of the Pledgor and shall, together with the rights and remedies of the Pledgee hereunder, inure to the benefit of the Pledgee, its respective successors and assigns.</w:t>
      </w:r>
    </w:p>
    <w:p>
      <w:pPr>
        <w:spacing w:after="0" w:line="187" w:lineRule="exact"/>
        <w:rPr>
          <w:rFonts w:ascii="Arial" w:cs="Arial" w:eastAsia="Arial" w:hAnsi="Arial"/>
          <w:sz w:val="22"/>
          <w:szCs w:val="22"/>
          <w:color w:val="auto"/>
        </w:rPr>
      </w:pPr>
    </w:p>
    <w:p>
      <w:pPr>
        <w:ind w:left="-80" w:firstLine="788"/>
        <w:spacing w:after="0" w:line="250" w:lineRule="auto"/>
        <w:tabs>
          <w:tab w:leader="none" w:pos="1618" w:val="left"/>
        </w:tabs>
        <w:numPr>
          <w:ilvl w:val="0"/>
          <w:numId w:val="239"/>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Every notice or demand under this Assignment shall be delivered in accordance with Section 16.1 of the Credit Facility Agreement.</w:t>
      </w:r>
    </w:p>
    <w:p>
      <w:pPr>
        <w:spacing w:after="0" w:line="134" w:lineRule="exact"/>
        <w:rPr>
          <w:rFonts w:ascii="Arial" w:cs="Arial" w:eastAsia="Arial" w:hAnsi="Arial"/>
          <w:sz w:val="22"/>
          <w:szCs w:val="22"/>
          <w:color w:val="auto"/>
        </w:rPr>
      </w:pPr>
    </w:p>
    <w:p>
      <w:pPr>
        <w:ind w:left="-80" w:right="180" w:firstLine="788"/>
        <w:spacing w:after="0" w:line="250" w:lineRule="auto"/>
        <w:tabs>
          <w:tab w:leader="none" w:pos="1618" w:val="left"/>
        </w:tabs>
        <w:numPr>
          <w:ilvl w:val="0"/>
          <w:numId w:val="239"/>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Pledge Agreement shall be governed by and construed in accordance with the laws of the State of New York.</w:t>
      </w:r>
    </w:p>
    <w:p>
      <w:pPr>
        <w:spacing w:after="0" w:line="174" w:lineRule="exact"/>
        <w:rPr>
          <w:rFonts w:ascii="Arial" w:cs="Arial" w:eastAsia="Arial" w:hAnsi="Arial"/>
          <w:sz w:val="22"/>
          <w:szCs w:val="22"/>
          <w:color w:val="auto"/>
        </w:rPr>
      </w:pPr>
    </w:p>
    <w:p>
      <w:pPr>
        <w:ind w:left="-80" w:right="20" w:firstLine="788"/>
        <w:spacing w:after="0" w:line="272" w:lineRule="auto"/>
        <w:tabs>
          <w:tab w:leader="none" w:pos="1618" w:val="left"/>
        </w:tabs>
        <w:numPr>
          <w:ilvl w:val="0"/>
          <w:numId w:val="239"/>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The Pledgor hereby irrevocably submits to the jurisdiction of the courts of the State of New York and of the United States District Court for the Southern District of New York in any action or proceeding brought against it by the Pledgee under this Pledge Agreement or under any document delivered hereunder and hereby irrevocably agrees that valid service of summons or other legal process on it may be effected by serving a copy of the summons and other legal process in any such action or proceeding on the Pledgor by mailing or delivering the same by hand to the Pledgor at the address indicated for notices in Section 17. The service, as herein provided, of such summons or other legal process in any such action or proceeding shall be deemed personal service and accepted by the Pledgor as such, and shall be legal and binding upon the Pledgor for all the purposes of any such action or proceeding. Final judgment (a certified or exemplified copy of which shall be conclusive evidence of the fact and of the amount of any indebtedness of the Pledgor to the Lenders) against the Pledgor in any such legal action or proceeding shall be conclusive and may be enforced in other jurisdictions by suit on the judgment. The Pledgor shall advise the Pledgee promptly of any change of address for the purpose of service of process. Notwithstanding anything herein to the contrary, the Pledgee may bring any legal action or proceeding in any other appropriate jurisdiction.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203200</wp:posOffset>
            </wp:positionV>
            <wp:extent cx="71748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400" w:top="577" w:right="399" w:bottom="1440" w:gutter="0" w:footer="0" w:header="0"/>
        </w:sectPr>
      </w:pPr>
    </w:p>
    <w:bookmarkStart w:id="248" w:name="page249"/>
    <w:bookmarkEnd w:id="248"/>
    <w:p>
      <w:pPr>
        <w:jc w:val="both"/>
        <w:ind w:left="-20" w:right="220" w:firstLine="788"/>
        <w:spacing w:after="0" w:line="239" w:lineRule="auto"/>
        <w:tabs>
          <w:tab w:leader="none" w:pos="1678" w:val="left"/>
        </w:tabs>
        <w:numPr>
          <w:ilvl w:val="0"/>
          <w:numId w:val="240"/>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OF JURY TRIAL</w:t>
      </w:r>
      <w:r>
        <w:rPr>
          <w:rFonts w:ascii="Arial" w:cs="Arial" w:eastAsia="Arial" w:hAnsi="Arial"/>
          <w:sz w:val="22"/>
          <w:szCs w:val="22"/>
          <w:b w:val="1"/>
          <w:bCs w:val="1"/>
          <w:color w:val="auto"/>
        </w:rPr>
        <w:t>. EACH OF THE PLEDGOR AND THE PLEDGEE HEREBY WAIVES TRIAL BY JURY IN ANY ACTION, PROCEEDING OR COUNTERCLAIM BROUGHT BY ANY PARTY HERETO OR ANY BENEFICIARY HEREOF ON ANY MATTER WHATSOEVER ARISING OUT OF OR IN ANY WAY CONNECTED WITH THIS PLEDGE AGREEMENT.</w:t>
      </w:r>
    </w:p>
    <w:p>
      <w:pPr>
        <w:spacing w:after="0" w:line="186" w:lineRule="exact"/>
        <w:rPr>
          <w:rFonts w:ascii="Arial" w:cs="Arial" w:eastAsia="Arial" w:hAnsi="Arial"/>
          <w:sz w:val="22"/>
          <w:szCs w:val="22"/>
          <w:color w:val="auto"/>
        </w:rPr>
      </w:pPr>
    </w:p>
    <w:p>
      <w:pPr>
        <w:ind w:left="-20" w:right="80" w:firstLine="788"/>
        <w:spacing w:after="0" w:line="236" w:lineRule="auto"/>
        <w:tabs>
          <w:tab w:leader="none" w:pos="1678" w:val="left"/>
        </w:tabs>
        <w:numPr>
          <w:ilvl w:val="0"/>
          <w:numId w:val="240"/>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hereof is invalid and unenforceable in any jurisdiction, then, to the fullest extent permitted by law, (i) the other provisions hereof shall remain in full force and effect in such jurisdiction and shall be liberally construed in favor of the Pledgee in order to carry out the intentions of the parties hereto as nearly as may be possible; and (ii) the invalidity and unenforceability of any provision hereof in any jurisdiction shall not affect the validity or enforceability of such provision in any other jurisdiction.</w:t>
      </w:r>
    </w:p>
    <w:p>
      <w:pPr>
        <w:spacing w:after="0" w:line="187" w:lineRule="exact"/>
        <w:rPr>
          <w:rFonts w:ascii="Arial" w:cs="Arial" w:eastAsia="Arial" w:hAnsi="Arial"/>
          <w:sz w:val="22"/>
          <w:szCs w:val="22"/>
          <w:color w:val="auto"/>
        </w:rPr>
      </w:pPr>
    </w:p>
    <w:p>
      <w:pPr>
        <w:ind w:left="-20" w:firstLine="788"/>
        <w:spacing w:after="0" w:line="274" w:lineRule="auto"/>
        <w:tabs>
          <w:tab w:leader="none" w:pos="1678" w:val="left"/>
        </w:tabs>
        <w:numPr>
          <w:ilvl w:val="0"/>
          <w:numId w:val="240"/>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Pledge Agreement may be signed in any number of counterparts, each of which shall be an original with the same effect as if the signatures thereto and hereto were upon the same instrument.</w:t>
      </w:r>
    </w:p>
    <w:p>
      <w:pPr>
        <w:spacing w:after="0" w:line="150" w:lineRule="exact"/>
        <w:rPr>
          <w:rFonts w:ascii="Arial" w:cs="Arial" w:eastAsia="Arial" w:hAnsi="Arial"/>
          <w:sz w:val="21"/>
          <w:szCs w:val="21"/>
          <w:color w:val="auto"/>
        </w:rPr>
      </w:pPr>
    </w:p>
    <w:p>
      <w:pPr>
        <w:ind w:left="-20" w:right="120" w:firstLine="788"/>
        <w:spacing w:after="0" w:line="250" w:lineRule="auto"/>
        <w:tabs>
          <w:tab w:leader="none" w:pos="1678" w:val="left"/>
        </w:tabs>
        <w:numPr>
          <w:ilvl w:val="0"/>
          <w:numId w:val="240"/>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In this Pledge Agreement, Section headings are inserted for convenience of reference only and shall be ignored in the interpretation of this Pledge Agreement.</w:t>
      </w:r>
    </w:p>
    <w:p>
      <w:pPr>
        <w:spacing w:after="0" w:line="174" w:lineRule="exact"/>
        <w:rPr>
          <w:rFonts w:ascii="Arial" w:cs="Arial" w:eastAsia="Arial" w:hAnsi="Arial"/>
          <w:sz w:val="22"/>
          <w:szCs w:val="22"/>
          <w:color w:val="auto"/>
        </w:rPr>
      </w:pPr>
    </w:p>
    <w:p>
      <w:pPr>
        <w:jc w:val="both"/>
        <w:ind w:left="-20" w:right="20" w:firstLine="788"/>
        <w:spacing w:after="0"/>
        <w:tabs>
          <w:tab w:leader="none" w:pos="1678" w:val="left"/>
        </w:tabs>
        <w:numPr>
          <w:ilvl w:val="0"/>
          <w:numId w:val="240"/>
        </w:numPr>
        <w:rPr>
          <w:rFonts w:ascii="Arial" w:cs="Arial" w:eastAsia="Arial" w:hAnsi="Arial"/>
          <w:sz w:val="22"/>
          <w:szCs w:val="22"/>
          <w:color w:val="auto"/>
        </w:rPr>
      </w:pPr>
      <w:r>
        <w:rPr>
          <w:rFonts w:ascii="Arial" w:cs="Arial" w:eastAsia="Arial" w:hAnsi="Arial"/>
          <w:sz w:val="22"/>
          <w:szCs w:val="22"/>
          <w:u w:val="single" w:color="auto"/>
          <w:color w:val="auto"/>
        </w:rPr>
        <w:t>Restatement of Original Agreement</w:t>
      </w:r>
      <w:r>
        <w:rPr>
          <w:rFonts w:ascii="Arial" w:cs="Arial" w:eastAsia="Arial" w:hAnsi="Arial"/>
          <w:sz w:val="22"/>
          <w:szCs w:val="22"/>
          <w:color w:val="auto"/>
        </w:rPr>
        <w:t>. This Pledge Agreement restates the terms of the Original Agreement and is not a novation of the lien created pursuant to the terms of the Original Agreement, which lien is hereby ratified and affirmed by the Pledgor.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203200</wp:posOffset>
            </wp:positionV>
            <wp:extent cx="71748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571" w:right="339" w:bottom="1440" w:gutter="0" w:footer="0" w:header="0"/>
        </w:sectPr>
      </w:pPr>
    </w:p>
    <w:bookmarkStart w:id="249" w:name="page250"/>
    <w:bookmarkEnd w:id="249"/>
    <w:p>
      <w:pPr>
        <w:ind w:right="20" w:firstLine="780"/>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Pledge Agreement to be duly executed the day and year</w:t>
      </w:r>
      <w:r>
        <w:rPr>
          <w:rFonts w:ascii="Arial" w:cs="Arial" w:eastAsia="Arial" w:hAnsi="Arial"/>
          <w:sz w:val="22"/>
          <w:szCs w:val="22"/>
          <w:b w:val="1"/>
          <w:bCs w:val="1"/>
          <w:color w:val="auto"/>
        </w:rPr>
        <w:t xml:space="preserve"> </w:t>
      </w:r>
      <w:r>
        <w:rPr>
          <w:rFonts w:ascii="Arial" w:cs="Arial" w:eastAsia="Arial" w:hAnsi="Arial"/>
          <w:sz w:val="22"/>
          <w:szCs w:val="22"/>
          <w:color w:val="auto"/>
        </w:rPr>
        <w:t>first above written.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00" w:type="dxa"/>
            <w:vAlign w:val="bottom"/>
            <w:gridSpan w:val="2"/>
          </w:tcPr>
          <w:p>
            <w:pPr>
              <w:spacing w:after="0"/>
              <w:rPr>
                <w:sz w:val="20"/>
                <w:szCs w:val="20"/>
                <w:color w:val="auto"/>
              </w:rPr>
            </w:pPr>
            <w:r>
              <w:rPr>
                <w:rFonts w:ascii="Arial" w:cs="Arial" w:eastAsia="Arial" w:hAnsi="Arial"/>
                <w:sz w:val="22"/>
                <w:szCs w:val="22"/>
                <w:color w:val="auto"/>
              </w:rPr>
              <w:t>Pledgor:</w:t>
            </w:r>
          </w:p>
        </w:tc>
        <w:tc>
          <w:tcPr>
            <w:tcW w:w="5840" w:type="dxa"/>
            <w:vAlign w:val="bottom"/>
            <w:gridSpan w:val="2"/>
          </w:tcPr>
          <w:p>
            <w:pPr>
              <w:ind w:left="460"/>
              <w:spacing w:after="0"/>
              <w:rPr>
                <w:sz w:val="20"/>
                <w:szCs w:val="20"/>
                <w:color w:val="auto"/>
              </w:rPr>
            </w:pPr>
            <w:r>
              <w:rPr>
                <w:rFonts w:ascii="Arial" w:cs="Arial" w:eastAsia="Arial" w:hAnsi="Arial"/>
                <w:sz w:val="22"/>
                <w:szCs w:val="22"/>
                <w:color w:val="auto"/>
              </w:rPr>
              <w:t>Pledgee:</w:t>
            </w:r>
          </w:p>
        </w:tc>
      </w:tr>
      <w:tr>
        <w:trPr>
          <w:trHeight w:val="243"/>
        </w:trPr>
        <w:tc>
          <w:tcPr>
            <w:tcW w:w="5400" w:type="dxa"/>
            <w:vAlign w:val="bottom"/>
            <w:gridSpan w:val="2"/>
          </w:tcPr>
          <w:p>
            <w:pPr>
              <w:spacing w:after="0" w:line="243" w:lineRule="exact"/>
              <w:rPr>
                <w:sz w:val="20"/>
                <w:szCs w:val="20"/>
                <w:color w:val="auto"/>
              </w:rPr>
            </w:pPr>
            <w:r>
              <w:rPr>
                <w:rFonts w:ascii="Arial" w:cs="Arial" w:eastAsia="Arial" w:hAnsi="Arial"/>
                <w:sz w:val="22"/>
                <w:szCs w:val="22"/>
                <w:color w:val="auto"/>
              </w:rPr>
              <w:t>SEACOR OFFSHORE OSV LLC</w:t>
            </w:r>
          </w:p>
        </w:tc>
        <w:tc>
          <w:tcPr>
            <w:tcW w:w="5840" w:type="dxa"/>
            <w:vAlign w:val="bottom"/>
            <w:gridSpan w:val="2"/>
          </w:tcPr>
          <w:p>
            <w:pPr>
              <w:ind w:left="460"/>
              <w:spacing w:after="0" w:line="243" w:lineRule="exact"/>
              <w:rPr>
                <w:sz w:val="20"/>
                <w:szCs w:val="20"/>
                <w:color w:val="auto"/>
              </w:rPr>
            </w:pPr>
            <w:r>
              <w:rPr>
                <w:rFonts w:ascii="Arial" w:cs="Arial" w:eastAsia="Arial" w:hAnsi="Arial"/>
                <w:sz w:val="22"/>
                <w:szCs w:val="22"/>
                <w:color w:val="auto"/>
              </w:rPr>
              <w:t>DNB BANK ASA, New York Branch,</w:t>
            </w:r>
          </w:p>
        </w:tc>
      </w:tr>
      <w:tr>
        <w:trPr>
          <w:trHeight w:val="274"/>
        </w:trPr>
        <w:tc>
          <w:tcPr>
            <w:tcW w:w="34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5840" w:type="dxa"/>
            <w:vAlign w:val="bottom"/>
            <w:gridSpan w:val="2"/>
          </w:tcPr>
          <w:p>
            <w:pPr>
              <w:ind w:left="460"/>
              <w:spacing w:after="0"/>
              <w:rPr>
                <w:sz w:val="20"/>
                <w:szCs w:val="20"/>
                <w:color w:val="auto"/>
              </w:rPr>
            </w:pPr>
            <w:r>
              <w:rPr>
                <w:rFonts w:ascii="Arial" w:cs="Arial" w:eastAsia="Arial" w:hAnsi="Arial"/>
                <w:sz w:val="22"/>
                <w:szCs w:val="22"/>
                <w:color w:val="auto"/>
              </w:rPr>
              <w:t>as Security Trustee</w:t>
            </w:r>
          </w:p>
        </w:tc>
      </w:tr>
      <w:tr>
        <w:trPr>
          <w:trHeight w:val="486"/>
        </w:trPr>
        <w:tc>
          <w:tcPr>
            <w:tcW w:w="5400" w:type="dxa"/>
            <w:vAlign w:val="bottom"/>
            <w:gridSpan w:val="2"/>
          </w:tcPr>
          <w:p>
            <w:pPr>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460"/>
              <w:spacing w:after="0"/>
              <w:rPr>
                <w:sz w:val="20"/>
                <w:szCs w:val="20"/>
                <w:color w:val="auto"/>
              </w:rPr>
            </w:pPr>
            <w:r>
              <w:rPr>
                <w:rFonts w:ascii="Arial" w:cs="Arial" w:eastAsia="Arial" w:hAnsi="Arial"/>
                <w:sz w:val="22"/>
                <w:szCs w:val="22"/>
                <w:color w:val="auto"/>
              </w:rPr>
              <w:t>By:</w:t>
            </w:r>
          </w:p>
        </w:tc>
      </w:tr>
      <w:tr>
        <w:trPr>
          <w:trHeight w:val="219"/>
        </w:trPr>
        <w:tc>
          <w:tcPr>
            <w:tcW w:w="340" w:type="dxa"/>
            <w:vAlign w:val="bottom"/>
          </w:tcPr>
          <w:p>
            <w:pPr>
              <w:spacing w:after="0"/>
              <w:rPr>
                <w:sz w:val="19"/>
                <w:szCs w:val="19"/>
                <w:color w:val="auto"/>
              </w:rPr>
            </w:pPr>
          </w:p>
        </w:tc>
        <w:tc>
          <w:tcPr>
            <w:tcW w:w="5060" w:type="dxa"/>
            <w:vAlign w:val="bottom"/>
            <w:tcBorders>
              <w:top w:val="single" w:sz="8" w:color="auto"/>
            </w:tcBorders>
          </w:tcPr>
          <w:p>
            <w:pPr>
              <w:spacing w:after="0" w:line="219" w:lineRule="exact"/>
              <w:rPr>
                <w:sz w:val="20"/>
                <w:szCs w:val="20"/>
                <w:color w:val="auto"/>
              </w:rPr>
            </w:pPr>
            <w:r>
              <w:rPr>
                <w:rFonts w:ascii="Arial" w:cs="Arial" w:eastAsia="Arial" w:hAnsi="Arial"/>
                <w:sz w:val="22"/>
                <w:szCs w:val="22"/>
                <w:color w:val="auto"/>
              </w:rPr>
              <w:t>Name:</w:t>
            </w:r>
          </w:p>
        </w:tc>
        <w:tc>
          <w:tcPr>
            <w:tcW w:w="800" w:type="dxa"/>
            <w:vAlign w:val="bottom"/>
          </w:tcPr>
          <w:p>
            <w:pPr>
              <w:spacing w:after="0"/>
              <w:rPr>
                <w:sz w:val="19"/>
                <w:szCs w:val="19"/>
                <w:color w:val="auto"/>
              </w:rPr>
            </w:pPr>
          </w:p>
        </w:tc>
        <w:tc>
          <w:tcPr>
            <w:tcW w:w="5040" w:type="dxa"/>
            <w:vAlign w:val="bottom"/>
            <w:tcBorders>
              <w:top w:val="single" w:sz="8" w:color="auto"/>
            </w:tcBorders>
          </w:tcPr>
          <w:p>
            <w:pPr>
              <w:spacing w:after="0" w:line="219" w:lineRule="exact"/>
              <w:rPr>
                <w:sz w:val="20"/>
                <w:szCs w:val="20"/>
                <w:color w:val="auto"/>
              </w:rPr>
            </w:pPr>
            <w:r>
              <w:rPr>
                <w:rFonts w:ascii="Arial" w:cs="Arial" w:eastAsia="Arial" w:hAnsi="Arial"/>
                <w:sz w:val="22"/>
                <w:szCs w:val="22"/>
                <w:color w:val="auto"/>
              </w:rPr>
              <w:t>Name:</w:t>
            </w:r>
          </w:p>
        </w:tc>
      </w:tr>
      <w:tr>
        <w:trPr>
          <w:trHeight w:val="274"/>
        </w:trPr>
        <w:tc>
          <w:tcPr>
            <w:tcW w:w="5400" w:type="dxa"/>
            <w:vAlign w:val="bottom"/>
            <w:gridSpan w:val="2"/>
          </w:tcPr>
          <w:p>
            <w:pPr>
              <w:ind w:left="340"/>
              <w:spacing w:after="0"/>
              <w:rPr>
                <w:sz w:val="20"/>
                <w:szCs w:val="20"/>
                <w:color w:val="auto"/>
              </w:rPr>
            </w:pPr>
            <w:r>
              <w:rPr>
                <w:rFonts w:ascii="Arial" w:cs="Arial" w:eastAsia="Arial" w:hAnsi="Arial"/>
                <w:sz w:val="22"/>
                <w:szCs w:val="22"/>
                <w:color w:val="auto"/>
              </w:rPr>
              <w:t>Title:</w:t>
            </w:r>
          </w:p>
        </w:tc>
        <w:tc>
          <w:tcPr>
            <w:tcW w:w="800" w:type="dxa"/>
            <w:vAlign w:val="bottom"/>
          </w:tcPr>
          <w:p>
            <w:pPr>
              <w:spacing w:after="0"/>
              <w:rPr>
                <w:sz w:val="23"/>
                <w:szCs w:val="23"/>
                <w:color w:val="auto"/>
              </w:rPr>
            </w:pPr>
          </w:p>
        </w:tc>
        <w:tc>
          <w:tcPr>
            <w:tcW w:w="5040" w:type="dxa"/>
            <w:vAlign w:val="bottom"/>
          </w:tcPr>
          <w:p>
            <w:pPr>
              <w:spacing w:after="0"/>
              <w:rPr>
                <w:sz w:val="20"/>
                <w:szCs w:val="20"/>
                <w:color w:val="auto"/>
              </w:rPr>
            </w:pPr>
            <w:r>
              <w:rPr>
                <w:rFonts w:ascii="Arial" w:cs="Arial" w:eastAsia="Arial" w:hAnsi="Arial"/>
                <w:sz w:val="22"/>
                <w:szCs w:val="22"/>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Signature Page: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748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50" w:name="page251"/>
    <w:bookmarkEnd w:id="250"/>
    <w:p>
      <w:pPr>
        <w:jc w:val="center"/>
        <w:ind w:right="20"/>
        <w:spacing w:after="0"/>
        <w:rPr>
          <w:sz w:val="20"/>
          <w:szCs w:val="20"/>
          <w:color w:val="auto"/>
        </w:rPr>
      </w:pPr>
      <w:r>
        <w:rPr>
          <w:rFonts w:ascii="Arial" w:cs="Arial" w:eastAsia="Arial" w:hAnsi="Arial"/>
          <w:sz w:val="22"/>
          <w:szCs w:val="22"/>
          <w:b w:val="1"/>
          <w:bCs w:val="1"/>
          <w:color w:val="auto"/>
        </w:rPr>
        <w:t>SCHEDULE I</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PLEDGED COMPANIES</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22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Arial" w:cs="Arial" w:eastAsia="Arial" w:hAnsi="Arial"/>
                <w:sz w:val="22"/>
                <w:szCs w:val="22"/>
                <w:b w:val="1"/>
                <w:bCs w:val="1"/>
                <w:color w:val="auto"/>
              </w:rPr>
              <w:t>Name of Pledged Company</w:t>
            </w:r>
          </w:p>
        </w:tc>
        <w:tc>
          <w:tcPr>
            <w:tcW w:w="3440" w:type="dxa"/>
            <w:vAlign w:val="bottom"/>
            <w:tcBorders>
              <w:top w:val="single" w:sz="8" w:color="auto"/>
              <w:right w:val="single" w:sz="8" w:color="auto"/>
            </w:tcBorders>
          </w:tcPr>
          <w:p>
            <w:pPr>
              <w:ind w:left="80"/>
              <w:spacing w:after="0" w:line="229" w:lineRule="exact"/>
              <w:rPr>
                <w:sz w:val="20"/>
                <w:szCs w:val="20"/>
                <w:color w:val="auto"/>
              </w:rPr>
            </w:pPr>
            <w:r>
              <w:rPr>
                <w:rFonts w:ascii="Arial" w:cs="Arial" w:eastAsia="Arial" w:hAnsi="Arial"/>
                <w:sz w:val="22"/>
                <w:szCs w:val="22"/>
                <w:b w:val="1"/>
                <w:bCs w:val="1"/>
                <w:color w:val="auto"/>
              </w:rPr>
              <w:t>Jurisdiction of Formation</w:t>
            </w:r>
          </w:p>
        </w:tc>
        <w:tc>
          <w:tcPr>
            <w:tcW w:w="2600" w:type="dxa"/>
            <w:vAlign w:val="bottom"/>
            <w:tcBorders>
              <w:top w:val="single" w:sz="8" w:color="auto"/>
              <w:right w:val="single" w:sz="8" w:color="auto"/>
            </w:tcBorders>
          </w:tcPr>
          <w:p>
            <w:pPr>
              <w:ind w:left="100"/>
              <w:spacing w:after="0" w:line="229" w:lineRule="exact"/>
              <w:rPr>
                <w:sz w:val="20"/>
                <w:szCs w:val="20"/>
                <w:color w:val="auto"/>
              </w:rPr>
            </w:pPr>
            <w:r>
              <w:rPr>
                <w:rFonts w:ascii="Arial" w:cs="Arial" w:eastAsia="Arial" w:hAnsi="Arial"/>
                <w:sz w:val="22"/>
                <w:szCs w:val="22"/>
                <w:b w:val="1"/>
                <w:bCs w:val="1"/>
                <w:color w:val="auto"/>
                <w:w w:val="87"/>
              </w:rPr>
              <w:t>Percentage of Membership</w:t>
            </w:r>
          </w:p>
        </w:tc>
      </w:tr>
      <w:tr>
        <w:trPr>
          <w:trHeight w:val="270"/>
        </w:trPr>
        <w:tc>
          <w:tcPr>
            <w:tcW w:w="5220" w:type="dxa"/>
            <w:vAlign w:val="bottom"/>
            <w:tcBorders>
              <w:left w:val="single" w:sz="8" w:color="auto"/>
              <w:bottom w:val="single" w:sz="8" w:color="auto"/>
              <w:right w:val="single" w:sz="8" w:color="auto"/>
            </w:tcBorders>
          </w:tcPr>
          <w:p>
            <w:pPr>
              <w:spacing w:after="0"/>
              <w:rPr>
                <w:sz w:val="23"/>
                <w:szCs w:val="23"/>
                <w:color w:val="auto"/>
              </w:rPr>
            </w:pPr>
          </w:p>
        </w:tc>
        <w:tc>
          <w:tcPr>
            <w:tcW w:w="3440" w:type="dxa"/>
            <w:vAlign w:val="bottom"/>
            <w:tcBorders>
              <w:bottom w:val="single" w:sz="8" w:color="auto"/>
              <w:right w:val="single" w:sz="8" w:color="auto"/>
            </w:tcBorders>
          </w:tcPr>
          <w:p>
            <w:pPr>
              <w:spacing w:after="0"/>
              <w:rPr>
                <w:sz w:val="23"/>
                <w:szCs w:val="23"/>
                <w:color w:val="auto"/>
              </w:rPr>
            </w:pPr>
          </w:p>
        </w:tc>
        <w:tc>
          <w:tcPr>
            <w:tcW w:w="2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Interests Pledged</w:t>
            </w:r>
          </w:p>
        </w:tc>
      </w:tr>
      <w:tr>
        <w:trPr>
          <w:trHeight w:val="237"/>
        </w:trPr>
        <w:tc>
          <w:tcPr>
            <w:tcW w:w="52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b w:val="1"/>
                <w:bCs w:val="1"/>
                <w:color w:val="auto"/>
              </w:rPr>
              <w:t>SEACOR BRAVE LLC</w:t>
            </w:r>
          </w:p>
        </w:tc>
        <w:tc>
          <w:tcPr>
            <w:tcW w:w="344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color w:val="auto"/>
              </w:rPr>
              <w:t>State of Delaware</w:t>
            </w:r>
          </w:p>
        </w:tc>
        <w:tc>
          <w:tcPr>
            <w:tcW w:w="260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color w:val="auto"/>
              </w:rPr>
              <w:t>100%</w:t>
            </w:r>
          </w:p>
        </w:tc>
      </w:tr>
      <w:tr>
        <w:trPr>
          <w:trHeight w:val="237"/>
        </w:trPr>
        <w:tc>
          <w:tcPr>
            <w:tcW w:w="52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b w:val="1"/>
                <w:bCs w:val="1"/>
                <w:color w:val="auto"/>
              </w:rPr>
              <w:t>SEACOR CHIEF LLC</w:t>
            </w:r>
          </w:p>
        </w:tc>
        <w:tc>
          <w:tcPr>
            <w:tcW w:w="344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color w:val="auto"/>
              </w:rPr>
              <w:t>State of Delaware</w:t>
            </w:r>
          </w:p>
        </w:tc>
        <w:tc>
          <w:tcPr>
            <w:tcW w:w="260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color w:val="auto"/>
              </w:rPr>
              <w:t>100%</w:t>
            </w:r>
          </w:p>
        </w:tc>
      </w:tr>
      <w:tr>
        <w:trPr>
          <w:trHeight w:val="237"/>
        </w:trPr>
        <w:tc>
          <w:tcPr>
            <w:tcW w:w="52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b w:val="1"/>
                <w:bCs w:val="1"/>
                <w:color w:val="auto"/>
              </w:rPr>
              <w:t>SEACOR COURAGEOUS LLC</w:t>
            </w:r>
          </w:p>
        </w:tc>
        <w:tc>
          <w:tcPr>
            <w:tcW w:w="344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color w:val="auto"/>
              </w:rPr>
              <w:t>State of Delaware</w:t>
            </w:r>
          </w:p>
        </w:tc>
        <w:tc>
          <w:tcPr>
            <w:tcW w:w="260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color w:val="auto"/>
              </w:rPr>
              <w:t>100%</w:t>
            </w:r>
          </w:p>
        </w:tc>
      </w:tr>
      <w:tr>
        <w:trPr>
          <w:trHeight w:val="236"/>
        </w:trPr>
        <w:tc>
          <w:tcPr>
            <w:tcW w:w="52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b w:val="1"/>
                <w:bCs w:val="1"/>
                <w:color w:val="auto"/>
              </w:rPr>
              <w:t>SEACOR FEARLESS LLC</w:t>
            </w:r>
          </w:p>
        </w:tc>
        <w:tc>
          <w:tcPr>
            <w:tcW w:w="344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color w:val="auto"/>
              </w:rPr>
              <w:t>State of Delaware</w:t>
            </w:r>
          </w:p>
        </w:tc>
        <w:tc>
          <w:tcPr>
            <w:tcW w:w="260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color w:val="auto"/>
              </w:rPr>
              <w:t>100%</w:t>
            </w:r>
          </w:p>
        </w:tc>
      </w:tr>
      <w:tr>
        <w:trPr>
          <w:trHeight w:val="237"/>
        </w:trPr>
        <w:tc>
          <w:tcPr>
            <w:tcW w:w="52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b w:val="1"/>
                <w:bCs w:val="1"/>
                <w:color w:val="auto"/>
              </w:rPr>
              <w:t>SEACOR RESOLUTE LLC</w:t>
            </w:r>
          </w:p>
        </w:tc>
        <w:tc>
          <w:tcPr>
            <w:tcW w:w="344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color w:val="auto"/>
              </w:rPr>
              <w:t>State of Delaware</w:t>
            </w:r>
          </w:p>
        </w:tc>
        <w:tc>
          <w:tcPr>
            <w:tcW w:w="260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color w:val="auto"/>
              </w:rPr>
              <w:t>100%</w:t>
            </w:r>
          </w:p>
        </w:tc>
      </w:tr>
      <w:tr>
        <w:trPr>
          <w:trHeight w:val="770"/>
        </w:trPr>
        <w:tc>
          <w:tcPr>
            <w:tcW w:w="522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sectPr>
      </w:pPr>
    </w:p>
    <w:bookmarkStart w:id="251" w:name="page252"/>
    <w:bookmarkEnd w:id="251"/>
    <w:p>
      <w:pPr>
        <w:jc w:val="center"/>
        <w:ind w:right="-59"/>
        <w:spacing w:after="0"/>
        <w:rPr>
          <w:sz w:val="20"/>
          <w:szCs w:val="20"/>
          <w:color w:val="auto"/>
        </w:rPr>
      </w:pPr>
      <w:r>
        <w:rPr>
          <w:rFonts w:ascii="Arial" w:cs="Arial" w:eastAsia="Arial" w:hAnsi="Arial"/>
          <w:sz w:val="22"/>
          <w:szCs w:val="22"/>
          <w:b w:val="1"/>
          <w:bCs w:val="1"/>
          <w:color w:val="auto"/>
        </w:rPr>
        <w:t>SCHEDULE II</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IRREVOCABLE PROXY</w:t>
      </w:r>
    </w:p>
    <w:p>
      <w:pPr>
        <w:spacing w:after="0" w:line="212" w:lineRule="exact"/>
        <w:rPr>
          <w:sz w:val="20"/>
          <w:szCs w:val="20"/>
          <w:color w:val="auto"/>
        </w:rPr>
      </w:pPr>
    </w:p>
    <w:p>
      <w:pPr>
        <w:ind w:left="780"/>
        <w:spacing w:after="0"/>
        <w:rPr>
          <w:sz w:val="20"/>
          <w:szCs w:val="20"/>
          <w:color w:val="auto"/>
        </w:rPr>
      </w:pPr>
      <w:r>
        <w:rPr>
          <w:rFonts w:ascii="Arial" w:cs="Arial" w:eastAsia="Arial" w:hAnsi="Arial"/>
          <w:sz w:val="19"/>
          <w:szCs w:val="19"/>
          <w:color w:val="auto"/>
        </w:rPr>
        <w:t>The undersigned, the registered and beneficial owner of the below described membership interests of [PLEDGED</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COMPANY</w:t>
      </w:r>
      <w:r>
        <w:rPr>
          <w:rFonts w:ascii="Arial" w:cs="Arial" w:eastAsia="Arial" w:hAnsi="Arial"/>
          <w:sz w:val="21"/>
          <w:szCs w:val="21"/>
          <w:b w:val="1"/>
          <w:bCs w:val="1"/>
          <w:color w:val="auto"/>
        </w:rPr>
        <w:t>]</w:t>
      </w:r>
      <w:r>
        <w:rPr>
          <w:rFonts w:ascii="Arial" w:cs="Arial" w:eastAsia="Arial" w:hAnsi="Arial"/>
          <w:sz w:val="21"/>
          <w:szCs w:val="21"/>
          <w:color w:val="auto"/>
        </w:rPr>
        <w:t>, a limited liability company organized and existing under the laws of the State of Delaware (the “</w:t>
      </w:r>
      <w:r>
        <w:rPr>
          <w:rFonts w:ascii="Arial" w:cs="Arial" w:eastAsia="Arial" w:hAnsi="Arial"/>
          <w:sz w:val="21"/>
          <w:szCs w:val="21"/>
          <w:b w:val="1"/>
          <w:bCs w:val="1"/>
          <w:color w:val="auto"/>
        </w:rPr>
        <w:t>Pledged</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Company</w:t>
      </w:r>
      <w:r>
        <w:rPr>
          <w:rFonts w:ascii="Arial" w:cs="Arial" w:eastAsia="Arial" w:hAnsi="Arial"/>
          <w:sz w:val="21"/>
          <w:szCs w:val="21"/>
          <w:color w:val="auto"/>
        </w:rPr>
        <w:t>”), hereby makes, constitutes and appoints</w:t>
      </w:r>
      <w:r>
        <w:rPr>
          <w:rFonts w:ascii="Arial" w:cs="Arial" w:eastAsia="Arial" w:hAnsi="Arial"/>
          <w:sz w:val="21"/>
          <w:szCs w:val="21"/>
          <w:b w:val="1"/>
          <w:bCs w:val="1"/>
          <w:color w:val="auto"/>
        </w:rPr>
        <w:t xml:space="preserve"> DNB BANK ASA, NEW YORK BRANCH</w:t>
      </w:r>
      <w:r>
        <w:rPr>
          <w:rFonts w:ascii="Arial" w:cs="Arial" w:eastAsia="Arial" w:hAnsi="Arial"/>
          <w:sz w:val="21"/>
          <w:szCs w:val="21"/>
          <w:color w:val="auto"/>
        </w:rPr>
        <w:t>, as Security Trustee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Pledgee</w:t>
      </w:r>
      <w:r>
        <w:rPr>
          <w:rFonts w:ascii="Arial" w:cs="Arial" w:eastAsia="Arial" w:hAnsi="Arial"/>
          <w:sz w:val="19"/>
          <w:szCs w:val="19"/>
          <w:color w:val="auto"/>
        </w:rPr>
        <w:t>”) with full power to appoint a nominee or nominees to act hereunder from time to time, the true and lawful attorney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proxy of the undersigned to vote 100% of the issued and outstanding membership interests in the Company at all annual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special meetings of the members of the Company or take any action by written consent with the same force and effect as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undersigned might or could do, hereby ratifying and confirming all that the said attorney or its nominee or nominees shall do 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cause to be done by virtue hereof.</w:t>
      </w:r>
    </w:p>
    <w:p>
      <w:pPr>
        <w:spacing w:after="0" w:line="188" w:lineRule="exact"/>
        <w:rPr>
          <w:sz w:val="20"/>
          <w:szCs w:val="20"/>
          <w:color w:val="auto"/>
        </w:rPr>
      </w:pPr>
    </w:p>
    <w:p>
      <w:pPr>
        <w:ind w:right="280" w:firstLine="780"/>
        <w:spacing w:after="0" w:line="250" w:lineRule="auto"/>
        <w:rPr>
          <w:sz w:val="20"/>
          <w:szCs w:val="20"/>
          <w:color w:val="auto"/>
        </w:rPr>
      </w:pPr>
      <w:r>
        <w:rPr>
          <w:rFonts w:ascii="Arial" w:cs="Arial" w:eastAsia="Arial" w:hAnsi="Arial"/>
          <w:sz w:val="22"/>
          <w:szCs w:val="22"/>
          <w:color w:val="auto"/>
        </w:rPr>
        <w:t>The said membership interests have been pledged to the Pledgee pursuant to a Pledge Agreement dated as of the date hereof between the undersigned and the Pledgee.</w:t>
      </w:r>
    </w:p>
    <w:p>
      <w:pPr>
        <w:spacing w:after="0" w:line="175" w:lineRule="exact"/>
        <w:rPr>
          <w:sz w:val="20"/>
          <w:szCs w:val="20"/>
          <w:color w:val="auto"/>
        </w:rPr>
      </w:pPr>
    </w:p>
    <w:p>
      <w:pPr>
        <w:ind w:firstLine="780"/>
        <w:spacing w:after="0" w:line="250" w:lineRule="auto"/>
        <w:rPr>
          <w:sz w:val="20"/>
          <w:szCs w:val="20"/>
          <w:color w:val="auto"/>
        </w:rPr>
      </w:pPr>
      <w:r>
        <w:rPr>
          <w:rFonts w:ascii="Arial" w:cs="Arial" w:eastAsia="Arial" w:hAnsi="Arial"/>
          <w:sz w:val="22"/>
          <w:szCs w:val="22"/>
          <w:color w:val="auto"/>
        </w:rPr>
        <w:t>This power and proxy is coupled with an interest and is irrevocable and shall remain irrevocable so long as the Pledge is outstanding and is in full force and effect.</w:t>
      </w:r>
    </w:p>
    <w:p>
      <w:pPr>
        <w:spacing w:after="0" w:line="169" w:lineRule="exact"/>
        <w:rPr>
          <w:sz w:val="20"/>
          <w:szCs w:val="20"/>
          <w:color w:val="auto"/>
        </w:rPr>
      </w:pPr>
    </w:p>
    <w:p>
      <w:pPr>
        <w:ind w:right="900" w:firstLine="780"/>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undersigned has caused this instrument to be duly executed this day of</w:t>
      </w:r>
      <w:r>
        <w:rPr>
          <w:rFonts w:ascii="Arial" w:cs="Arial" w:eastAsia="Arial" w:hAnsi="Arial"/>
          <w:sz w:val="22"/>
          <w:szCs w:val="22"/>
          <w:b w:val="1"/>
          <w:bCs w:val="1"/>
          <w:color w:val="auto"/>
        </w:rPr>
        <w:t xml:space="preserve"> </w:t>
      </w:r>
      <w:r>
        <w:rPr>
          <w:rFonts w:ascii="Arial" w:cs="Arial" w:eastAsia="Arial" w:hAnsi="Arial"/>
          <w:sz w:val="22"/>
          <w:szCs w:val="22"/>
          <w:color w:val="auto"/>
        </w:rPr>
        <w:t>December,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6149975</wp:posOffset>
            </wp:positionH>
            <wp:positionV relativeFrom="paragraph">
              <wp:posOffset>-196215</wp:posOffset>
            </wp:positionV>
            <wp:extent cx="342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48"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SEACOR OFFSHORE OSV LLC</w:t>
      </w:r>
    </w:p>
    <w:p>
      <w:pPr>
        <w:spacing w:after="0" w:line="8"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By:</w:t>
      </w:r>
    </w:p>
    <w:p>
      <w:pPr>
        <w:spacing w:after="0" w:line="3"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-157480</wp:posOffset>
            </wp:positionV>
            <wp:extent cx="25203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748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252" w:name="page253"/>
    <w:bookmarkEnd w:id="252"/>
    <w:p>
      <w:pPr>
        <w:jc w:val="center"/>
        <w:ind w:right="20"/>
        <w:spacing w:after="0"/>
        <w:rPr>
          <w:sz w:val="20"/>
          <w:szCs w:val="20"/>
          <w:color w:val="auto"/>
        </w:rPr>
      </w:pPr>
      <w:r>
        <w:rPr>
          <w:rFonts w:ascii="Arial" w:cs="Arial" w:eastAsia="Arial" w:hAnsi="Arial"/>
          <w:sz w:val="22"/>
          <w:szCs w:val="22"/>
          <w:b w:val="1"/>
          <w:bCs w:val="1"/>
          <w:color w:val="auto"/>
        </w:rPr>
        <w:t>SCHEDULE III</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INSTRUMENT OF TRANSFER OF LIMITED LIABILITY COMPANY INTERESTS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right="20" w:firstLine="780"/>
        <w:spacing w:after="0" w:line="282" w:lineRule="auto"/>
        <w:rPr>
          <w:sz w:val="20"/>
          <w:szCs w:val="20"/>
          <w:color w:val="auto"/>
        </w:rPr>
      </w:pPr>
      <w:r>
        <w:rPr>
          <w:rFonts w:ascii="Arial" w:cs="Arial" w:eastAsia="Arial" w:hAnsi="Arial"/>
          <w:sz w:val="19"/>
          <w:szCs w:val="19"/>
          <w:color w:val="auto"/>
        </w:rPr>
        <w:t>We, SEACOR OFFSHORE OSV LLC, a limited liability company formed and existing under the laws of the State of Delaware (the “</w:t>
      </w:r>
      <w:r>
        <w:rPr>
          <w:rFonts w:ascii="Arial" w:cs="Arial" w:eastAsia="Arial" w:hAnsi="Arial"/>
          <w:sz w:val="19"/>
          <w:szCs w:val="19"/>
          <w:u w:val="single" w:color="auto"/>
          <w:color w:val="auto"/>
        </w:rPr>
        <w:t>Pledgor</w:t>
      </w:r>
      <w:r>
        <w:rPr>
          <w:rFonts w:ascii="Arial" w:cs="Arial" w:eastAsia="Arial" w:hAnsi="Arial"/>
          <w:sz w:val="19"/>
          <w:szCs w:val="19"/>
          <w:color w:val="auto"/>
        </w:rPr>
        <w:t>”), for value received, do hereby transfer unto DNB BANK ASA, NEW YORK BRANCH as Security Trustee or its nominee (the “</w:t>
      </w:r>
      <w:r>
        <w:rPr>
          <w:rFonts w:ascii="Arial" w:cs="Arial" w:eastAsia="Arial" w:hAnsi="Arial"/>
          <w:sz w:val="19"/>
          <w:szCs w:val="19"/>
          <w:u w:val="single" w:color="auto"/>
          <w:color w:val="auto"/>
        </w:rPr>
        <w:t>Transferee</w:t>
      </w:r>
      <w:r>
        <w:rPr>
          <w:rFonts w:ascii="Arial" w:cs="Arial" w:eastAsia="Arial" w:hAnsi="Arial"/>
          <w:sz w:val="19"/>
          <w:szCs w:val="19"/>
          <w:color w:val="auto"/>
        </w:rPr>
        <w:t>”) 100% of the limited liability company interests in [ ], a limited liability company organized and existing under the laws of the State of Delaware (the “</w:t>
      </w:r>
      <w:r>
        <w:rPr>
          <w:rFonts w:ascii="Arial" w:cs="Arial" w:eastAsia="Arial" w:hAnsi="Arial"/>
          <w:sz w:val="19"/>
          <w:szCs w:val="19"/>
          <w:u w:val="single" w:color="auto"/>
          <w:color w:val="auto"/>
        </w:rPr>
        <w:t>Pledged Company</w:t>
      </w:r>
      <w:r>
        <w:rPr>
          <w:rFonts w:ascii="Arial" w:cs="Arial" w:eastAsia="Arial" w:hAnsi="Arial"/>
          <w:sz w:val="19"/>
          <w:szCs w:val="19"/>
          <w:color w:val="auto"/>
        </w:rPr>
        <w:t>”), registered in the name of the Pledgor and the Transferee does hereby agree to take the said limited liability company interests in the Pledged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5220335</wp:posOffset>
            </wp:positionH>
            <wp:positionV relativeFrom="paragraph">
              <wp:posOffset>-363855</wp:posOffset>
            </wp:positionV>
            <wp:extent cx="24828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7">
                      <a:extLst>
                        <a:ext uri="{28A0092B-C50C-407E-A947-70E740481C1C}"/>
                      </a:extLst>
                    </a:blip>
                    <a:srcRect/>
                    <a:stretch>
                      <a:fillRect/>
                    </a:stretch>
                  </pic:blipFill>
                  <pic:spPr bwMode="auto">
                    <a:xfrm>
                      <a:off x="0" y="0"/>
                      <a:ext cx="24828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80" w:type="dxa"/>
            <w:vAlign w:val="bottom"/>
            <w:gridSpan w:val="2"/>
          </w:tcPr>
          <w:p>
            <w:pPr>
              <w:spacing w:after="0"/>
              <w:rPr>
                <w:sz w:val="20"/>
                <w:szCs w:val="20"/>
                <w:color w:val="auto"/>
              </w:rPr>
            </w:pPr>
            <w:r>
              <w:rPr>
                <w:rFonts w:ascii="Arial" w:cs="Arial" w:eastAsia="Arial" w:hAnsi="Arial"/>
                <w:sz w:val="22"/>
                <w:szCs w:val="22"/>
                <w:color w:val="auto"/>
              </w:rPr>
              <w:t>As witness our hands the</w:t>
            </w:r>
          </w:p>
        </w:tc>
        <w:tc>
          <w:tcPr>
            <w:tcW w:w="1200" w:type="dxa"/>
            <w:vAlign w:val="bottom"/>
          </w:tcPr>
          <w:p>
            <w:pPr>
              <w:ind w:left="340"/>
              <w:spacing w:after="0"/>
              <w:rPr>
                <w:sz w:val="20"/>
                <w:szCs w:val="20"/>
                <w:color w:val="auto"/>
              </w:rPr>
            </w:pPr>
            <w:r>
              <w:rPr>
                <w:rFonts w:ascii="Arial" w:cs="Arial" w:eastAsia="Arial" w:hAnsi="Arial"/>
                <w:sz w:val="22"/>
                <w:szCs w:val="22"/>
                <w:color w:val="auto"/>
              </w:rPr>
              <w:t>day of</w:t>
            </w:r>
          </w:p>
        </w:tc>
        <w:tc>
          <w:tcPr>
            <w:tcW w:w="1840" w:type="dxa"/>
            <w:vAlign w:val="bottom"/>
            <w:gridSpan w:val="3"/>
          </w:tcPr>
          <w:p>
            <w:pPr>
              <w:jc w:val="right"/>
              <w:ind w:right="980"/>
              <w:spacing w:after="0"/>
              <w:rPr>
                <w:sz w:val="20"/>
                <w:szCs w:val="20"/>
                <w:color w:val="auto"/>
              </w:rPr>
            </w:pPr>
            <w:r>
              <w:rPr>
                <w:rFonts w:ascii="Arial" w:cs="Arial" w:eastAsia="Arial" w:hAnsi="Arial"/>
                <w:sz w:val="22"/>
                <w:szCs w:val="22"/>
                <w:color w:val="auto"/>
              </w:rPr>
              <w:t>, 20  .</w:t>
            </w:r>
          </w:p>
        </w:tc>
        <w:tc>
          <w:tcPr>
            <w:tcW w:w="88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2480" w:type="dxa"/>
            <w:vAlign w:val="bottom"/>
            <w:gridSpan w:val="2"/>
          </w:tcPr>
          <w:p>
            <w:pPr>
              <w:spacing w:after="0"/>
              <w:rPr>
                <w:sz w:val="20"/>
                <w:szCs w:val="20"/>
                <w:color w:val="auto"/>
              </w:rPr>
            </w:pPr>
            <w:r>
              <w:rPr>
                <w:rFonts w:ascii="Arial" w:cs="Arial" w:eastAsia="Arial" w:hAnsi="Arial"/>
                <w:sz w:val="20"/>
                <w:szCs w:val="20"/>
                <w:color w:val="auto"/>
              </w:rPr>
              <w:t>Transferor:</w:t>
            </w: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5720" w:type="dxa"/>
            <w:vAlign w:val="bottom"/>
            <w:gridSpan w:val="2"/>
          </w:tcPr>
          <w:p>
            <w:pPr>
              <w:ind w:left="240"/>
              <w:spacing w:after="0"/>
              <w:rPr>
                <w:sz w:val="20"/>
                <w:szCs w:val="20"/>
                <w:color w:val="auto"/>
              </w:rPr>
            </w:pPr>
            <w:r>
              <w:rPr>
                <w:rFonts w:ascii="Arial" w:cs="Arial" w:eastAsia="Arial" w:hAnsi="Arial"/>
                <w:sz w:val="20"/>
                <w:szCs w:val="20"/>
                <w:color w:val="auto"/>
              </w:rPr>
              <w:t>Transferee: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680" w:type="dxa"/>
            <w:vAlign w:val="bottom"/>
            <w:gridSpan w:val="3"/>
          </w:tcPr>
          <w:p>
            <w:pPr>
              <w:spacing w:after="0"/>
              <w:rPr>
                <w:sz w:val="20"/>
                <w:szCs w:val="20"/>
                <w:color w:val="auto"/>
              </w:rPr>
            </w:pPr>
            <w:r>
              <w:rPr>
                <w:rFonts w:ascii="Arial" w:cs="Arial" w:eastAsia="Arial" w:hAnsi="Arial"/>
                <w:sz w:val="22"/>
                <w:szCs w:val="22"/>
                <w:color w:val="auto"/>
              </w:rPr>
              <w:t>SEACOR OFFSHORE OSV LLC</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2480" w:type="dxa"/>
            <w:vAlign w:val="bottom"/>
            <w:gridSpan w:val="2"/>
          </w:tcPr>
          <w:p>
            <w:pPr>
              <w:spacing w:after="0"/>
              <w:rPr>
                <w:sz w:val="20"/>
                <w:szCs w:val="20"/>
                <w:color w:val="auto"/>
              </w:rPr>
            </w:pPr>
            <w:r>
              <w:rPr>
                <w:rFonts w:ascii="Arial" w:cs="Arial" w:eastAsia="Arial" w:hAnsi="Arial"/>
                <w:sz w:val="20"/>
                <w:szCs w:val="20"/>
                <w:color w:val="auto"/>
              </w:rPr>
              <w:t>By:</w:t>
            </w: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20" w:type="dxa"/>
            <w:vAlign w:val="bottom"/>
            <w:gridSpan w:val="2"/>
          </w:tcPr>
          <w:p>
            <w:pPr>
              <w:ind w:left="240"/>
              <w:spacing w:after="0"/>
              <w:rPr>
                <w:sz w:val="20"/>
                <w:szCs w:val="20"/>
                <w:color w:val="auto"/>
              </w:rPr>
            </w:pPr>
            <w:r>
              <w:rPr>
                <w:rFonts w:ascii="Arial" w:cs="Arial" w:eastAsia="Arial" w:hAnsi="Arial"/>
                <w:sz w:val="20"/>
                <w:szCs w:val="20"/>
                <w:color w:val="auto"/>
              </w:rPr>
              <w:t>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1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vMerge w:val="restart"/>
          </w:tcPr>
          <w:p>
            <w:pPr>
              <w:ind w:left="240"/>
              <w:spacing w:after="0"/>
              <w:rPr>
                <w:sz w:val="20"/>
                <w:szCs w:val="20"/>
                <w:color w:val="auto"/>
              </w:rPr>
            </w:pPr>
            <w:r>
              <w:rPr>
                <w:rFonts w:ascii="Arial" w:cs="Arial" w:eastAsia="Arial" w:hAnsi="Arial"/>
                <w:sz w:val="20"/>
                <w:szCs w:val="20"/>
                <w:color w:val="auto"/>
              </w:rPr>
              <w:t>Name:</w:t>
            </w:r>
          </w:p>
        </w:tc>
        <w:tc>
          <w:tcPr>
            <w:tcW w:w="4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60" w:type="dxa"/>
            <w:vAlign w:val="bottom"/>
            <w:vMerge w:val="continue"/>
          </w:tcPr>
          <w:p>
            <w:pPr>
              <w:spacing w:after="0"/>
              <w:rPr>
                <w:sz w:val="19"/>
                <w:szCs w:val="19"/>
                <w:color w:val="auto"/>
              </w:rPr>
            </w:pPr>
          </w:p>
        </w:tc>
        <w:tc>
          <w:tcPr>
            <w:tcW w:w="1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4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480" w:type="dxa"/>
            <w:vAlign w:val="bottom"/>
            <w:gridSpan w:val="2"/>
          </w:tcPr>
          <w:p>
            <w:pPr>
              <w:spacing w:after="0"/>
              <w:rPr>
                <w:sz w:val="20"/>
                <w:szCs w:val="20"/>
                <w:color w:val="auto"/>
              </w:rPr>
            </w:pPr>
            <w:r>
              <w:rPr>
                <w:rFonts w:ascii="Arial" w:cs="Arial" w:eastAsia="Arial" w:hAnsi="Arial"/>
                <w:sz w:val="20"/>
                <w:szCs w:val="20"/>
                <w:color w:val="auto"/>
              </w:rPr>
              <w:t>Title:</w:t>
            </w:r>
          </w:p>
        </w:tc>
        <w:tc>
          <w:tcPr>
            <w:tcW w:w="1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720" w:type="dxa"/>
            <w:vAlign w:val="bottom"/>
            <w:gridSpan w:val="2"/>
          </w:tcPr>
          <w:p>
            <w:pPr>
              <w:ind w:left="240"/>
              <w:spacing w:after="0"/>
              <w:rPr>
                <w:sz w:val="20"/>
                <w:szCs w:val="20"/>
                <w:color w:val="auto"/>
              </w:rPr>
            </w:pPr>
            <w:r>
              <w:rPr>
                <w:rFonts w:ascii="Arial" w:cs="Arial" w:eastAsia="Arial" w:hAnsi="Arial"/>
                <w:sz w:val="20"/>
                <w:szCs w:val="20"/>
                <w:color w:val="auto"/>
              </w:rPr>
              <w:t>Title: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9"/>
        </w:trPr>
        <w:tc>
          <w:tcPr>
            <w:tcW w:w="6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sectPr>
      </w:pPr>
    </w:p>
    <w:bookmarkStart w:id="253" w:name="page254"/>
    <w:bookmarkEnd w:id="253"/>
    <w:p>
      <w:pPr>
        <w:jc w:val="right"/>
        <w:spacing w:after="0"/>
        <w:rPr>
          <w:sz w:val="20"/>
          <w:szCs w:val="20"/>
          <w:color w:val="auto"/>
        </w:rPr>
      </w:pPr>
      <w:r>
        <w:rPr>
          <w:rFonts w:ascii="Arial" w:cs="Arial" w:eastAsia="Arial" w:hAnsi="Arial"/>
          <w:sz w:val="20"/>
          <w:szCs w:val="20"/>
          <w:b w:val="1"/>
          <w:bCs w:val="1"/>
          <w:color w:val="auto"/>
        </w:rPr>
        <w:t>Annex G</w:t>
      </w:r>
    </w:p>
    <w:p>
      <w:pPr>
        <w:spacing w:after="0" w:line="200" w:lineRule="exact"/>
        <w:rPr>
          <w:sz w:val="20"/>
          <w:szCs w:val="20"/>
          <w:color w:val="auto"/>
        </w:rPr>
      </w:pPr>
    </w:p>
    <w:p>
      <w:pPr>
        <w:spacing w:after="0" w:line="232" w:lineRule="exact"/>
        <w:rPr>
          <w:sz w:val="20"/>
          <w:szCs w:val="20"/>
          <w:color w:val="auto"/>
        </w:rPr>
      </w:pPr>
    </w:p>
    <w:p>
      <w:pPr>
        <w:jc w:val="center"/>
        <w:ind w:right="660"/>
        <w:spacing w:after="0"/>
        <w:rPr>
          <w:sz w:val="20"/>
          <w:szCs w:val="20"/>
          <w:color w:val="auto"/>
        </w:rPr>
      </w:pPr>
      <w:r>
        <w:rPr>
          <w:rFonts w:ascii="Arial" w:cs="Arial" w:eastAsia="Arial" w:hAnsi="Arial"/>
          <w:sz w:val="20"/>
          <w:szCs w:val="20"/>
          <w:b w:val="1"/>
          <w:bCs w:val="1"/>
          <w:color w:val="auto"/>
        </w:rPr>
        <w:t>Exhibit L</w:t>
      </w:r>
    </w:p>
    <w:p>
      <w:pPr>
        <w:spacing w:after="0" w:line="22"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Form of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490855</wp:posOffset>
            </wp:positionV>
            <wp:extent cx="71748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76" w:right="339" w:bottom="1440" w:gutter="0" w:footer="0" w:header="0"/>
        </w:sectPr>
      </w:pPr>
    </w:p>
    <w:bookmarkStart w:id="254" w:name="page255"/>
    <w:bookmarkEnd w:id="254"/>
    <w:p>
      <w:pPr>
        <w:jc w:val="right"/>
        <w:spacing w:after="0"/>
        <w:rPr>
          <w:sz w:val="20"/>
          <w:szCs w:val="20"/>
          <w:color w:val="auto"/>
        </w:rPr>
      </w:pPr>
      <w:r>
        <w:rPr>
          <w:rFonts w:ascii="Arial" w:cs="Arial" w:eastAsia="Arial" w:hAnsi="Arial"/>
          <w:sz w:val="20"/>
          <w:szCs w:val="20"/>
          <w:color w:val="auto"/>
        </w:rPr>
        <w:t>Annex G</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VERISON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147320</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GUARANTY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SEACOR MARINE HOLDINGS INC.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in favor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360"/>
        <w:spacing w:after="0"/>
        <w:rPr>
          <w:sz w:val="20"/>
          <w:szCs w:val="20"/>
          <w:color w:val="auto"/>
        </w:rPr>
      </w:pPr>
      <w:r>
        <w:rPr>
          <w:rFonts w:ascii="Arial" w:cs="Arial" w:eastAsia="Arial" w:hAnsi="Arial"/>
          <w:sz w:val="19"/>
          <w:szCs w:val="19"/>
          <w:color w:val="auto"/>
        </w:rPr>
        <w:t>DNB BANK ASA, NEW YORK BRANCH,</w:t>
      </w:r>
    </w:p>
    <w:p>
      <w:pPr>
        <w:spacing w:after="0" w:line="27" w:lineRule="exact"/>
        <w:rPr>
          <w:sz w:val="20"/>
          <w:szCs w:val="20"/>
          <w:color w:val="auto"/>
        </w:rPr>
      </w:pPr>
    </w:p>
    <w:p>
      <w:pPr>
        <w:jc w:val="center"/>
        <w:ind w:right="1360"/>
        <w:spacing w:after="0"/>
        <w:rPr>
          <w:sz w:val="20"/>
          <w:szCs w:val="20"/>
          <w:color w:val="auto"/>
        </w:rPr>
      </w:pPr>
      <w:r>
        <w:rPr>
          <w:rFonts w:ascii="Arial" w:cs="Arial" w:eastAsia="Arial" w:hAnsi="Arial"/>
          <w:sz w:val="20"/>
          <w:szCs w:val="20"/>
          <w:color w:val="auto"/>
        </w:rPr>
        <w:t>as Security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497205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514350</wp:posOffset>
            </wp:positionV>
            <wp:extent cx="71323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620"/>
        <w:spacing w:after="0"/>
        <w:tabs>
          <w:tab w:leader="none" w:pos="4640" w:val="left"/>
        </w:tabs>
        <w:rPr>
          <w:sz w:val="20"/>
          <w:szCs w:val="20"/>
          <w:color w:val="auto"/>
        </w:rPr>
      </w:pPr>
      <w:r>
        <w:rPr>
          <w:rFonts w:ascii="Arial" w:cs="Arial" w:eastAsia="Arial" w:hAnsi="Arial"/>
          <w:sz w:val="20"/>
          <w:szCs w:val="20"/>
          <w:color w:val="auto"/>
        </w:rPr>
        <w:t>December</w:t>
        <w:tab/>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357505</wp:posOffset>
            </wp:positionV>
            <wp:extent cx="71748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2804160</wp:posOffset>
            </wp:positionH>
            <wp:positionV relativeFrom="paragraph">
              <wp:posOffset>-14605</wp:posOffset>
            </wp:positionV>
            <wp:extent cx="1600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6">
                      <a:extLst>
                        <a:ext uri="{28A0092B-C50C-407E-A947-70E740481C1C}"/>
                      </a:extLst>
                    </a:blip>
                    <a:srcRect/>
                    <a:stretch>
                      <a:fillRect/>
                    </a:stretch>
                  </pic:blipFill>
                  <pic:spPr bwMode="auto">
                    <a:xfrm>
                      <a:off x="0" y="0"/>
                      <a:ext cx="160020" cy="8890"/>
                    </a:xfrm>
                    <a:prstGeom prst="rect">
                      <a:avLst/>
                    </a:prstGeom>
                    <a:noFill/>
                  </pic:spPr>
                </pic:pic>
              </a:graphicData>
            </a:graphic>
          </wp:anchor>
        </w:drawing>
      </w:r>
    </w:p>
    <w:p>
      <w:pPr>
        <w:sectPr>
          <w:pgSz w:w="11900" w:h="16838" w:orient="portrait"/>
          <w:cols w:equalWidth="0" w:num="1">
            <w:col w:w="10120"/>
          </w:cols>
          <w:pgMar w:left="1440" w:top="582" w:right="339" w:bottom="1440" w:gutter="0" w:footer="0" w:header="0"/>
        </w:sectPr>
      </w:pPr>
    </w:p>
    <w:bookmarkStart w:id="255" w:name="page256"/>
    <w:bookmarkEnd w:id="255"/>
    <w:p>
      <w:pPr>
        <w:jc w:val="center"/>
        <w:ind w:right="-19"/>
        <w:spacing w:after="0"/>
        <w:rPr>
          <w:sz w:val="20"/>
          <w:szCs w:val="20"/>
          <w:color w:val="auto"/>
        </w:rPr>
      </w:pPr>
      <w:r>
        <w:rPr>
          <w:rFonts w:ascii="Arial" w:cs="Arial" w:eastAsia="Arial" w:hAnsi="Arial"/>
          <w:sz w:val="20"/>
          <w:szCs w:val="20"/>
          <w:u w:val="single" w:color="auto"/>
          <w:color w:val="auto"/>
        </w:rPr>
        <w:t>GUARANTY</w:t>
      </w:r>
    </w:p>
    <w:p>
      <w:pPr>
        <w:spacing w:after="0" w:line="121" w:lineRule="exact"/>
        <w:rPr>
          <w:sz w:val="20"/>
          <w:szCs w:val="20"/>
          <w:color w:val="auto"/>
        </w:rPr>
      </w:pPr>
    </w:p>
    <w:p>
      <w:pPr>
        <w:ind w:right="240" w:firstLine="780"/>
        <w:spacing w:after="0" w:line="246" w:lineRule="auto"/>
        <w:rPr>
          <w:sz w:val="20"/>
          <w:szCs w:val="20"/>
          <w:color w:val="auto"/>
        </w:rPr>
      </w:pPr>
      <w:r>
        <w:rPr>
          <w:rFonts w:ascii="Arial" w:cs="Arial" w:eastAsia="Arial" w:hAnsi="Arial"/>
          <w:sz w:val="20"/>
          <w:szCs w:val="20"/>
          <w:color w:val="auto"/>
        </w:rPr>
        <w:t>This GUARANTY (this “</w:t>
      </w:r>
      <w:r>
        <w:rPr>
          <w:rFonts w:ascii="Arial" w:cs="Arial" w:eastAsia="Arial" w:hAnsi="Arial"/>
          <w:sz w:val="20"/>
          <w:szCs w:val="20"/>
          <w:u w:val="single" w:color="auto"/>
          <w:color w:val="auto"/>
        </w:rPr>
        <w:t>Guaranty</w:t>
      </w:r>
      <w:r>
        <w:rPr>
          <w:rFonts w:ascii="Arial" w:cs="Arial" w:eastAsia="Arial" w:hAnsi="Arial"/>
          <w:sz w:val="20"/>
          <w:szCs w:val="20"/>
          <w:color w:val="auto"/>
        </w:rPr>
        <w:t>”), dated as of December , 2021, is made by SEACOR MARINE HOLDINGS INC., a corporation incorporated and existing under the laws of the State of Delaware (the “</w:t>
      </w:r>
      <w:r>
        <w:rPr>
          <w:rFonts w:ascii="Arial" w:cs="Arial" w:eastAsia="Arial" w:hAnsi="Arial"/>
          <w:sz w:val="20"/>
          <w:szCs w:val="20"/>
          <w:u w:val="single" w:color="auto"/>
          <w:color w:val="auto"/>
        </w:rPr>
        <w:t>Guarantor</w:t>
      </w:r>
      <w:r>
        <w:rPr>
          <w:rFonts w:ascii="Arial" w:cs="Arial" w:eastAsia="Arial" w:hAnsi="Arial"/>
          <w:sz w:val="20"/>
          <w:szCs w:val="20"/>
          <w:color w:val="auto"/>
        </w:rPr>
        <w:t>”), in favor of DNB BANK ASA, New York Branch, a corporation organized under the laws of the Kingdom of Norway (“</w:t>
      </w:r>
      <w:r>
        <w:rPr>
          <w:rFonts w:ascii="Arial" w:cs="Arial" w:eastAsia="Arial" w:hAnsi="Arial"/>
          <w:sz w:val="20"/>
          <w:szCs w:val="20"/>
          <w:u w:val="single" w:color="auto"/>
          <w:color w:val="auto"/>
        </w:rPr>
        <w:t>DNB</w:t>
      </w:r>
      <w:r>
        <w:rPr>
          <w:rFonts w:ascii="Arial" w:cs="Arial" w:eastAsia="Arial" w:hAnsi="Arial"/>
          <w:sz w:val="20"/>
          <w:szCs w:val="20"/>
          <w:color w:val="auto"/>
        </w:rPr>
        <w:t>”), as security trustee for the Creditors under the Credit Agreement referred to in Recital (A)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-467360</wp:posOffset>
            </wp:positionV>
            <wp:extent cx="3175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7">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WITNESSETH THAT: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WHEREAS:</w:t>
      </w:r>
    </w:p>
    <w:p>
      <w:pPr>
        <w:spacing w:after="0" w:line="229" w:lineRule="exact"/>
        <w:rPr>
          <w:sz w:val="20"/>
          <w:szCs w:val="20"/>
          <w:color w:val="auto"/>
        </w:rPr>
      </w:pPr>
    </w:p>
    <w:p>
      <w:pPr>
        <w:ind w:right="100" w:firstLine="788"/>
        <w:spacing w:after="0" w:line="282" w:lineRule="auto"/>
        <w:tabs>
          <w:tab w:leader="none" w:pos="1725" w:val="left"/>
        </w:tabs>
        <w:numPr>
          <w:ilvl w:val="0"/>
          <w:numId w:val="241"/>
        </w:numPr>
        <w:rPr>
          <w:rFonts w:ascii="Arial" w:cs="Arial" w:eastAsia="Arial" w:hAnsi="Arial"/>
          <w:sz w:val="18"/>
          <w:szCs w:val="18"/>
          <w:color w:val="auto"/>
        </w:rPr>
      </w:pPr>
      <w:r>
        <w:rPr>
          <w:rFonts w:ascii="Arial" w:cs="Arial" w:eastAsia="Arial" w:hAnsi="Arial"/>
          <w:sz w:val="17"/>
          <w:szCs w:val="17"/>
          <w:color w:val="auto"/>
        </w:rPr>
        <w:t xml:space="preserve">Pursuant to that certain amended and restated senior secured term loan credit facility agreement dated as of September 28, 2018, as amended by that certain amendment no. 1 thereto dated as of February 14, 2019, as further amended by that certain amendment no. 2 thereto dated as of June 17, 2019, as further amended by that certain amendment no. 3 thereto dated as of December 23, 2019, as further amended by that certain amendment no. 4 thereto dated as of March 25, 2021, as further amended by that certain amendment no. 5 thereto dated as of September 28, 2021, as further amended by that certain amendment no. 6 thereto dated as of November 30, 2021 and as amended and restated by that certain amendment no. 7 thereto dated as of December , 2021(the form of the second amended and restated credit facility agreement being attached as Annex A to amendment no. 7) (as amended and amended and restated, and as may be further amended, amended and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entered into by and among, inter alios, (1)</w:t>
      </w:r>
    </w:p>
    <w:p>
      <w:pPr>
        <w:spacing w:after="0" w:line="1" w:lineRule="exact"/>
        <w:rPr>
          <w:rFonts w:ascii="Arial" w:cs="Arial" w:eastAsia="Arial" w:hAnsi="Arial"/>
          <w:sz w:val="18"/>
          <w:szCs w:val="18"/>
          <w:color w:val="auto"/>
        </w:rPr>
      </w:pPr>
    </w:p>
    <w:p>
      <w:pPr>
        <w:spacing w:after="0" w:line="269" w:lineRule="auto"/>
        <w:rPr>
          <w:rFonts w:ascii="Arial" w:cs="Arial" w:eastAsia="Arial" w:hAnsi="Arial"/>
          <w:sz w:val="18"/>
          <w:szCs w:val="18"/>
          <w:color w:val="auto"/>
        </w:rPr>
      </w:pPr>
      <w:r>
        <w:rPr>
          <w:rFonts w:ascii="Arial" w:cs="Arial" w:eastAsia="Arial" w:hAnsi="Arial"/>
          <w:sz w:val="18"/>
          <w:szCs w:val="18"/>
          <w:color w:val="auto"/>
        </w:rPr>
        <w:t>SEACOR OFFSHORE OSV LLC, SEACOR BRAVE LLC, SEACOR CHIEF LLC, SEACOR COURAGEOUS LLC, SEACOR FEARLESS LLC, and SEACOR RESOLUTE LLC, each a limited liability company organized and existing under the laws of the State of Delaware, as joint and several borrowers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Borrower</w:t>
      </w:r>
      <w:r>
        <w:rPr>
          <w:rFonts w:ascii="Arial" w:cs="Arial" w:eastAsia="Arial" w:hAnsi="Arial"/>
          <w:sz w:val="18"/>
          <w:szCs w:val="18"/>
          <w:color w:val="auto"/>
        </w:rPr>
        <w:t>”), (2) the banks and financial institutions listed on Schedule I of the Credit Facility Agreement, as lenders (together with any bank or financial institution which becomes a Lender pursuant to Section 10 of the Credit Facility Agreement, the “</w:t>
      </w:r>
      <w:r>
        <w:rPr>
          <w:rFonts w:ascii="Arial" w:cs="Arial" w:eastAsia="Arial" w:hAnsi="Arial"/>
          <w:sz w:val="18"/>
          <w:szCs w:val="18"/>
          <w:u w:val="single" w:color="auto"/>
          <w:color w:val="auto"/>
        </w:rPr>
        <w:t>Lenders</w:t>
      </w:r>
      <w:r>
        <w:rPr>
          <w:rFonts w:ascii="Arial" w:cs="Arial" w:eastAsia="Arial" w:hAnsi="Arial"/>
          <w:sz w:val="18"/>
          <w:szCs w:val="18"/>
          <w:color w:val="auto"/>
        </w:rPr>
        <w:t>” and each a “</w:t>
      </w:r>
      <w:r>
        <w:rPr>
          <w:rFonts w:ascii="Arial" w:cs="Arial" w:eastAsia="Arial" w:hAnsi="Arial"/>
          <w:sz w:val="18"/>
          <w:szCs w:val="18"/>
          <w:u w:val="single" w:color="auto"/>
          <w:color w:val="auto"/>
        </w:rPr>
        <w:t>Lender</w:t>
      </w:r>
      <w:r>
        <w:rPr>
          <w:rFonts w:ascii="Arial" w:cs="Arial" w:eastAsia="Arial" w:hAnsi="Arial"/>
          <w:sz w:val="18"/>
          <w:szCs w:val="18"/>
          <w:color w:val="auto"/>
        </w:rPr>
        <w:t>”), (3) DNB MARKETS, INC., as bookrunner and mandated lead arranger, (4) DNB,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as security trustee (in such capacity, the “</w:t>
      </w:r>
      <w:r>
        <w:rPr>
          <w:rFonts w:ascii="Arial" w:cs="Arial" w:eastAsia="Arial" w:hAnsi="Arial"/>
          <w:sz w:val="18"/>
          <w:szCs w:val="18"/>
          <w:u w:val="single" w:color="auto"/>
          <w:color w:val="auto"/>
        </w:rPr>
        <w:t>Security Trustee</w:t>
      </w:r>
      <w:r>
        <w:rPr>
          <w:rFonts w:ascii="Arial" w:cs="Arial" w:eastAsia="Arial" w:hAnsi="Arial"/>
          <w:sz w:val="18"/>
          <w:szCs w:val="18"/>
          <w:color w:val="auto"/>
        </w:rPr>
        <w:t>”), and (5) COMERICA BANK, as facility agent, the Lenders agreed to provide to the Borrowers, on a joint and several basis, a secured term loan facility in the amount of up to Twenty Seven Million Two Hundred Seventy One Thousand Seven Hundred Twelve Dollars and 59 Hundredths ($27,271,712.59) (the “</w:t>
      </w:r>
      <w:r>
        <w:rPr>
          <w:rFonts w:ascii="Arial" w:cs="Arial" w:eastAsia="Arial" w:hAnsi="Arial"/>
          <w:sz w:val="18"/>
          <w:szCs w:val="18"/>
          <w:u w:val="single" w:color="auto"/>
          <w:color w:val="auto"/>
        </w:rPr>
        <w:t>Loan</w:t>
      </w:r>
      <w:r>
        <w:rPr>
          <w:rFonts w:ascii="Arial" w:cs="Arial" w:eastAsia="Arial" w:hAnsi="Arial"/>
          <w:sz w:val="18"/>
          <w:szCs w:val="18"/>
          <w:color w:val="auto"/>
        </w:rPr>
        <w:t>”), of which amount Eighteen Million Fifty Two Thousand Three Hundred Eleven Dollars and Eighty Hundredths ($18,052,311.80) remains outstanding as of the date hereof; and</w:t>
      </w:r>
    </w:p>
    <w:p>
      <w:pPr>
        <w:spacing w:after="0" w:line="188" w:lineRule="exact"/>
        <w:rPr>
          <w:rFonts w:ascii="Arial" w:cs="Arial" w:eastAsia="Arial" w:hAnsi="Arial"/>
          <w:sz w:val="18"/>
          <w:szCs w:val="18"/>
          <w:color w:val="auto"/>
        </w:rPr>
      </w:pPr>
    </w:p>
    <w:p>
      <w:pPr>
        <w:ind w:right="80" w:firstLine="788"/>
        <w:spacing w:after="0" w:line="238" w:lineRule="auto"/>
        <w:tabs>
          <w:tab w:leader="none" w:pos="1714" w:val="left"/>
        </w:tabs>
        <w:numPr>
          <w:ilvl w:val="0"/>
          <w:numId w:val="241"/>
        </w:numPr>
        <w:rPr>
          <w:rFonts w:ascii="Arial" w:cs="Arial" w:eastAsia="Arial" w:hAnsi="Arial"/>
          <w:sz w:val="22"/>
          <w:szCs w:val="22"/>
          <w:color w:val="auto"/>
        </w:rPr>
      </w:pPr>
      <w:r>
        <w:rPr>
          <w:rFonts w:ascii="Arial" w:cs="Arial" w:eastAsia="Arial" w:hAnsi="Arial"/>
          <w:sz w:val="20"/>
          <w:szCs w:val="20"/>
          <w:color w:val="auto"/>
        </w:rPr>
        <w:t>It is a condition under the Credit Agreement that the Guarantor enter into this Guaranty and otherwise agree to be bound by the terms of this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-2212975</wp:posOffset>
            </wp:positionV>
            <wp:extent cx="3175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8">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176" w:lineRule="exact"/>
        <w:rPr>
          <w:sz w:val="20"/>
          <w:szCs w:val="20"/>
          <w:color w:val="auto"/>
        </w:rPr>
      </w:pPr>
    </w:p>
    <w:p>
      <w:pPr>
        <w:ind w:right="140" w:firstLine="780"/>
        <w:spacing w:after="0" w:line="260" w:lineRule="auto"/>
        <w:rPr>
          <w:sz w:val="20"/>
          <w:szCs w:val="20"/>
          <w:color w:val="auto"/>
        </w:rPr>
      </w:pPr>
      <w:r>
        <w:rPr>
          <w:rFonts w:ascii="Arial" w:cs="Arial" w:eastAsia="Arial" w:hAnsi="Arial"/>
          <w:sz w:val="20"/>
          <w:szCs w:val="20"/>
          <w:color w:val="auto"/>
        </w:rPr>
        <w:t>NOW, THEREFORE, in consideration of the premises and for other good and valuable consideration, the receipt and adequacy of which the Guarantor hereby acknowledges, the Guarantor hereby agrees as follows:</w:t>
      </w:r>
    </w:p>
    <w:p>
      <w:pPr>
        <w:spacing w:after="0" w:line="271" w:lineRule="exact"/>
        <w:rPr>
          <w:sz w:val="20"/>
          <w:szCs w:val="20"/>
          <w:color w:val="auto"/>
        </w:rPr>
      </w:pPr>
    </w:p>
    <w:p>
      <w:pPr>
        <w:ind w:left="1580" w:hanging="792"/>
        <w:spacing w:after="0"/>
        <w:tabs>
          <w:tab w:leader="none" w:pos="1580" w:val="left"/>
        </w:tabs>
        <w:numPr>
          <w:ilvl w:val="0"/>
          <w:numId w:val="242"/>
        </w:numPr>
        <w:rPr>
          <w:rFonts w:ascii="Arial" w:cs="Arial" w:eastAsia="Arial" w:hAnsi="Arial"/>
          <w:sz w:val="20"/>
          <w:szCs w:val="20"/>
          <w:color w:val="auto"/>
        </w:rPr>
      </w:pPr>
      <w:r>
        <w:rPr>
          <w:rFonts w:ascii="Arial" w:cs="Arial" w:eastAsia="Arial" w:hAnsi="Arial"/>
          <w:sz w:val="20"/>
          <w:szCs w:val="20"/>
          <w:u w:val="single" w:color="auto"/>
          <w:color w:val="auto"/>
        </w:rPr>
        <w:t>DEFINITIONS</w:t>
      </w:r>
    </w:p>
    <w:p>
      <w:pPr>
        <w:spacing w:after="0" w:line="243" w:lineRule="exact"/>
        <w:rPr>
          <w:sz w:val="20"/>
          <w:szCs w:val="20"/>
          <w:color w:val="auto"/>
        </w:rPr>
      </w:pPr>
    </w:p>
    <w:p>
      <w:pPr>
        <w:ind w:left="1560"/>
        <w:spacing w:after="0"/>
        <w:tabs>
          <w:tab w:leader="none" w:pos="24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u w:val="single" w:color="auto"/>
          <w:color w:val="auto"/>
        </w:rPr>
        <w:t>Specific Definitions</w:t>
      </w:r>
      <w:r>
        <w:rPr>
          <w:rFonts w:ascii="Arial" w:cs="Arial" w:eastAsia="Arial" w:hAnsi="Arial"/>
          <w:sz w:val="18"/>
          <w:szCs w:val="18"/>
          <w:color w:val="auto"/>
        </w:rPr>
        <w:t>. In this Guaranty, unless the context otherwise requires: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82" w:right="359" w:bottom="1440" w:gutter="0" w:footer="0" w:header="0"/>
        </w:sectPr>
      </w:pPr>
    </w:p>
    <w:bookmarkStart w:id="256" w:name="page257"/>
    <w:bookmarkEnd w:id="256"/>
    <w:p>
      <w:pPr>
        <w:ind w:right="120" w:firstLine="1561"/>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September 2018 Credit Agreement</w:t>
      </w:r>
      <w:r>
        <w:rPr>
          <w:rFonts w:ascii="Arial" w:cs="Arial" w:eastAsia="Arial" w:hAnsi="Arial"/>
          <w:sz w:val="20"/>
          <w:szCs w:val="20"/>
          <w:color w:val="auto"/>
        </w:rPr>
        <w:t xml:space="preserve">” means that certain credit agreement dated as of September 26, 2018 made by and among, </w:t>
      </w:r>
      <w:r>
        <w:rPr>
          <w:rFonts w:ascii="Arial" w:cs="Arial" w:eastAsia="Arial" w:hAnsi="Arial"/>
          <w:sz w:val="20"/>
          <w:szCs w:val="20"/>
          <w:i w:val="1"/>
          <w:iCs w:val="1"/>
          <w:color w:val="auto"/>
        </w:rPr>
        <w:t>inter alios</w:t>
      </w:r>
      <w:r>
        <w:rPr>
          <w:rFonts w:ascii="Arial" w:cs="Arial" w:eastAsia="Arial" w:hAnsi="Arial"/>
          <w:sz w:val="20"/>
          <w:szCs w:val="20"/>
          <w:color w:val="auto"/>
        </w:rPr>
        <w:t xml:space="preserve">, (i) SEACOR Marine Foreign Holdings Inc. (“SMFH”), a corporation incorporated and existing under the laws of the Republic of the Marshall Islands, as borrower, (ii) DNB, as facility agent and security trustee and (iii) the financial institutions identified on Schedule 1 thereto (together with any bank or financial institution which becomes a lender pursuant to Section 10 of the Credit Agreement), as lenders (the “SMFH </w:t>
      </w:r>
      <w:r>
        <w:rPr>
          <w:rFonts w:ascii="Arial" w:cs="Arial" w:eastAsia="Arial" w:hAnsi="Arial"/>
          <w:sz w:val="20"/>
          <w:szCs w:val="20"/>
          <w:u w:val="single" w:color="auto"/>
          <w:color w:val="auto"/>
        </w:rPr>
        <w:t>Lenders</w:t>
      </w:r>
      <w:r>
        <w:rPr>
          <w:rFonts w:ascii="Arial" w:cs="Arial" w:eastAsia="Arial" w:hAnsi="Arial"/>
          <w:sz w:val="20"/>
          <w:szCs w:val="20"/>
          <w:color w:val="auto"/>
        </w:rPr>
        <w:t>”), pursuant to which the SMFH Lenders provided to SMFH a senior secured term loan facility in the aggregate amount of One Hundred Thirty Million United States Dollars ($130,000,000), as the same may be amended, supplemented or otherwise modified from time to time.</w:t>
      </w:r>
    </w:p>
    <w:p>
      <w:pPr>
        <w:spacing w:after="0" w:line="206" w:lineRule="exact"/>
        <w:rPr>
          <w:sz w:val="20"/>
          <w:szCs w:val="20"/>
          <w:color w:val="auto"/>
        </w:rPr>
      </w:pPr>
    </w:p>
    <w:p>
      <w:pPr>
        <w:ind w:right="140" w:firstLine="1561"/>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September 2018 Guaranty</w:t>
      </w:r>
      <w:r>
        <w:rPr>
          <w:rFonts w:ascii="Arial" w:cs="Arial" w:eastAsia="Arial" w:hAnsi="Arial"/>
          <w:sz w:val="20"/>
          <w:szCs w:val="20"/>
          <w:color w:val="auto"/>
        </w:rPr>
        <w:t>” means that certain guaranty dated as of September 28, 2018 made by the Guarantor in favor of DNB as security trustee pursuant to the September 2018 Credit Agreement, as the same may be amended, supplemented or otherwise modified from time to time</w:t>
      </w:r>
    </w:p>
    <w:p>
      <w:pPr>
        <w:spacing w:after="0" w:line="307" w:lineRule="exact"/>
        <w:rPr>
          <w:sz w:val="20"/>
          <w:szCs w:val="20"/>
          <w:color w:val="auto"/>
        </w:rPr>
      </w:pPr>
    </w:p>
    <w:p>
      <w:pPr>
        <w:ind w:right="120" w:firstLine="1561"/>
        <w:spacing w:after="0" w:line="26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Defined Expressions</w:t>
      </w:r>
      <w:r>
        <w:rPr>
          <w:rFonts w:ascii="Arial" w:cs="Arial" w:eastAsia="Arial" w:hAnsi="Arial"/>
          <w:sz w:val="20"/>
          <w:szCs w:val="20"/>
          <w:color w:val="auto"/>
        </w:rPr>
        <w:t>. Unless otherwise defined herein, terms defined in the Credit Agreement shall have the same meanings when used herein, including in the preamble and recitals hereof.</w:t>
      </w:r>
    </w:p>
    <w:p>
      <w:pPr>
        <w:spacing w:after="0" w:line="271" w:lineRule="exact"/>
        <w:rPr>
          <w:sz w:val="20"/>
          <w:szCs w:val="20"/>
          <w:color w:val="auto"/>
        </w:rPr>
      </w:pPr>
    </w:p>
    <w:p>
      <w:pPr>
        <w:ind w:left="1580" w:hanging="792"/>
        <w:spacing w:after="0"/>
        <w:tabs>
          <w:tab w:leader="none" w:pos="1580" w:val="left"/>
        </w:tabs>
        <w:numPr>
          <w:ilvl w:val="0"/>
          <w:numId w:val="243"/>
        </w:numPr>
        <w:rPr>
          <w:rFonts w:ascii="Arial" w:cs="Arial" w:eastAsia="Arial" w:hAnsi="Arial"/>
          <w:sz w:val="20"/>
          <w:szCs w:val="20"/>
          <w:color w:val="auto"/>
        </w:rPr>
      </w:pPr>
      <w:r>
        <w:rPr>
          <w:rFonts w:ascii="Arial" w:cs="Arial" w:eastAsia="Arial" w:hAnsi="Arial"/>
          <w:sz w:val="20"/>
          <w:szCs w:val="20"/>
          <w:u w:val="single" w:color="auto"/>
          <w:color w:val="auto"/>
        </w:rPr>
        <w:t>GUARANTY</w:t>
      </w:r>
    </w:p>
    <w:p>
      <w:pPr>
        <w:spacing w:after="0" w:line="242" w:lineRule="exact"/>
        <w:rPr>
          <w:rFonts w:ascii="Arial" w:cs="Arial" w:eastAsia="Arial" w:hAnsi="Arial"/>
          <w:sz w:val="20"/>
          <w:szCs w:val="20"/>
          <w:color w:val="auto"/>
        </w:rPr>
      </w:pPr>
    </w:p>
    <w:p>
      <w:pPr>
        <w:ind w:left="2440" w:hanging="871"/>
        <w:spacing w:after="0"/>
        <w:tabs>
          <w:tab w:leader="none" w:pos="2440" w:val="left"/>
        </w:tabs>
        <w:numPr>
          <w:ilvl w:val="1"/>
          <w:numId w:val="243"/>
        </w:numPr>
        <w:rPr>
          <w:rFonts w:ascii="Arial" w:cs="Arial" w:eastAsia="Arial" w:hAnsi="Arial"/>
          <w:sz w:val="20"/>
          <w:szCs w:val="20"/>
          <w:color w:val="auto"/>
        </w:rPr>
      </w:pPr>
      <w:r>
        <w:rPr>
          <w:rFonts w:ascii="Arial" w:cs="Arial" w:eastAsia="Arial" w:hAnsi="Arial"/>
          <w:sz w:val="20"/>
          <w:szCs w:val="20"/>
          <w:color w:val="auto"/>
        </w:rPr>
        <w:t>The Guarantor hereby unconditionally and irrevocably:</w:t>
      </w:r>
    </w:p>
    <w:p>
      <w:pPr>
        <w:spacing w:after="0" w:line="310" w:lineRule="exact"/>
        <w:rPr>
          <w:rFonts w:ascii="Arial" w:cs="Arial" w:eastAsia="Arial" w:hAnsi="Arial"/>
          <w:sz w:val="20"/>
          <w:szCs w:val="20"/>
          <w:color w:val="auto"/>
        </w:rPr>
      </w:pPr>
    </w:p>
    <w:p>
      <w:pPr>
        <w:ind w:right="220" w:firstLine="2350"/>
        <w:spacing w:after="0" w:line="250" w:lineRule="auto"/>
        <w:tabs>
          <w:tab w:leader="none" w:pos="3177" w:val="left"/>
        </w:tabs>
        <w:numPr>
          <w:ilvl w:val="2"/>
          <w:numId w:val="243"/>
        </w:numPr>
        <w:rPr>
          <w:rFonts w:ascii="Arial" w:cs="Arial" w:eastAsia="Arial" w:hAnsi="Arial"/>
          <w:sz w:val="20"/>
          <w:szCs w:val="20"/>
          <w:color w:val="auto"/>
        </w:rPr>
      </w:pPr>
      <w:r>
        <w:rPr>
          <w:rFonts w:ascii="Arial" w:cs="Arial" w:eastAsia="Arial" w:hAnsi="Arial"/>
          <w:sz w:val="20"/>
          <w:szCs w:val="20"/>
          <w:color w:val="auto"/>
        </w:rPr>
        <w:t>guarantees to the Security Trustee for the account of the Creditors, as a primary obligor and not merely as a surety, punctual payment and performance by the Borrowers of all their respective payment and performance obligations under the Transaction Documents;</w:t>
      </w:r>
    </w:p>
    <w:p>
      <w:pPr>
        <w:spacing w:after="0" w:line="280" w:lineRule="exact"/>
        <w:rPr>
          <w:rFonts w:ascii="Arial" w:cs="Arial" w:eastAsia="Arial" w:hAnsi="Arial"/>
          <w:sz w:val="20"/>
          <w:szCs w:val="20"/>
          <w:color w:val="auto"/>
        </w:rPr>
      </w:pPr>
    </w:p>
    <w:p>
      <w:pPr>
        <w:ind w:firstLine="2350"/>
        <w:spacing w:after="0" w:line="246" w:lineRule="auto"/>
        <w:tabs>
          <w:tab w:leader="none" w:pos="3231" w:val="left"/>
        </w:tabs>
        <w:numPr>
          <w:ilvl w:val="2"/>
          <w:numId w:val="243"/>
        </w:numPr>
        <w:rPr>
          <w:rFonts w:ascii="Arial" w:cs="Arial" w:eastAsia="Arial" w:hAnsi="Arial"/>
          <w:sz w:val="20"/>
          <w:szCs w:val="20"/>
          <w:color w:val="auto"/>
        </w:rPr>
      </w:pPr>
      <w:r>
        <w:rPr>
          <w:rFonts w:ascii="Arial" w:cs="Arial" w:eastAsia="Arial" w:hAnsi="Arial"/>
          <w:sz w:val="20"/>
          <w:szCs w:val="20"/>
          <w:color w:val="auto"/>
        </w:rPr>
        <w:t>undertakes with the Security Trustee on behalf of the Creditors that whenever the Borrowers does not pay any amount (whether for principal, interest, fees, expenses or otherwise) when due (whether at stated maturity, by acceleration or otherwise) under or in connection with any Transaction Document, the Guarantor shall immediately on demand pay that amount as if it were the primary obligor; and</w:t>
      </w:r>
    </w:p>
    <w:p>
      <w:pPr>
        <w:spacing w:after="0" w:line="285" w:lineRule="exact"/>
        <w:rPr>
          <w:rFonts w:ascii="Arial" w:cs="Arial" w:eastAsia="Arial" w:hAnsi="Arial"/>
          <w:sz w:val="20"/>
          <w:szCs w:val="20"/>
          <w:color w:val="auto"/>
        </w:rPr>
      </w:pPr>
    </w:p>
    <w:p>
      <w:pPr>
        <w:ind w:right="80" w:firstLine="2350"/>
        <w:spacing w:after="0" w:line="243" w:lineRule="auto"/>
        <w:tabs>
          <w:tab w:leader="none" w:pos="3286" w:val="left"/>
        </w:tabs>
        <w:numPr>
          <w:ilvl w:val="2"/>
          <w:numId w:val="243"/>
        </w:numPr>
        <w:rPr>
          <w:rFonts w:ascii="Arial" w:cs="Arial" w:eastAsia="Arial" w:hAnsi="Arial"/>
          <w:sz w:val="20"/>
          <w:szCs w:val="20"/>
          <w:color w:val="auto"/>
        </w:rPr>
      </w:pPr>
      <w:r>
        <w:rPr>
          <w:rFonts w:ascii="Arial" w:cs="Arial" w:eastAsia="Arial" w:hAnsi="Arial"/>
          <w:sz w:val="20"/>
          <w:szCs w:val="20"/>
          <w:color w:val="auto"/>
        </w:rPr>
        <w:t>agrees with the Security Trustee on behalf of the Creditors that if any obligation guaranteed by it is or becomes unenforceable, invalid or illegal, it will, as an independent and primary obligation, indemnify that Creditor immediately on demand against any cost, loss or liability it incurs as a result of the Borrowers not paying any amount which would, but for such unenforceability, invalidity or illegality, have been payable by it under any Transaction Document on the date when it would have been due. The amount payable by such Guarantor under this indemnity will not exceed the amount it would have had to pay under this Guaranty if the amount claimed had been recoverable on the basis of a guarantee (all obligations referred to in clauses (i) through (iii) above are herein referred to as the “Obligations”).</w:t>
      </w:r>
    </w:p>
    <w:p>
      <w:pPr>
        <w:spacing w:after="0" w:line="287" w:lineRule="exact"/>
        <w:rPr>
          <w:rFonts w:ascii="Arial" w:cs="Arial" w:eastAsia="Arial" w:hAnsi="Arial"/>
          <w:sz w:val="20"/>
          <w:szCs w:val="20"/>
          <w:color w:val="auto"/>
        </w:rPr>
      </w:pPr>
    </w:p>
    <w:p>
      <w:pPr>
        <w:ind w:right="120" w:firstLine="1569"/>
        <w:spacing w:after="0" w:line="244" w:lineRule="auto"/>
        <w:tabs>
          <w:tab w:leader="none" w:pos="2440" w:val="left"/>
        </w:tabs>
        <w:numPr>
          <w:ilvl w:val="1"/>
          <w:numId w:val="243"/>
        </w:numPr>
        <w:rPr>
          <w:rFonts w:ascii="Arial" w:cs="Arial" w:eastAsia="Arial" w:hAnsi="Arial"/>
          <w:sz w:val="20"/>
          <w:szCs w:val="20"/>
          <w:color w:val="auto"/>
        </w:rPr>
      </w:pPr>
      <w:r>
        <w:rPr>
          <w:rFonts w:ascii="Arial" w:cs="Arial" w:eastAsia="Arial" w:hAnsi="Arial"/>
          <w:sz w:val="20"/>
          <w:szCs w:val="20"/>
          <w:color w:val="auto"/>
        </w:rPr>
        <w:t>This Guaranty is a guaranty of payment and not of collection and the Guarantor expressly agrees that it shall not be necessary or required that any of the Creditors exercise any right, assert any claim or demand or enforce any remedy whatsoever against the Borrowers or any other Person before or as a condition to the obligations of the Guarantor hereunder. This Guaranty is a primary obligation of the Guarantor and shall be an absolute, unconditional, present, and continuing obligation and shall not be subject to any counterclaim, setoff, deduction, diminution, abatement, recoupment,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82" w:right="359" w:bottom="1440" w:gutter="0" w:footer="0" w:header="0"/>
        </w:sectPr>
      </w:pPr>
    </w:p>
    <w:bookmarkStart w:id="257" w:name="page258"/>
    <w:bookmarkEnd w:id="257"/>
    <w:p>
      <w:pPr>
        <w:ind w:firstLine="1561"/>
        <w:spacing w:after="0" w:line="268" w:lineRule="auto"/>
        <w:rPr>
          <w:sz w:val="20"/>
          <w:szCs w:val="20"/>
          <w:color w:val="auto"/>
        </w:rPr>
      </w:pPr>
      <w:r>
        <w:rPr>
          <w:rFonts w:ascii="Arial" w:cs="Arial" w:eastAsia="Arial" w:hAnsi="Arial"/>
          <w:sz w:val="18"/>
          <w:szCs w:val="18"/>
          <w:color w:val="auto"/>
        </w:rPr>
        <w:t>suspension, deferment, reduction, or defense based on any claim the Guarantor or any other person may have against the Borrowers, or any other person, and shall not be released, discharged or affected by any circumstance whatsoever, including without limitation: (a) the unenforceability, invalidity, irregularity or lack of genuineness of the Credit Agreement, the Notes, any other Transaction Document or any of the obligations under the Credit Agreement, the Notes and the other Transaction Documents; (b) any amendment, modification, termination, or removal of, or addition or supplement to, the Credit Agreement, the Notes or any other Transaction Document, or any change in time, manner, or place of payment or performance of any Obligation; (c) any assignment, mortgage, release, exchange, addition, or transfer of any Collateral; (d) any failure, refusal, omission or delay on the part of the Borrowers, or any other Person to conform or comply with any term of the Credit Agreement, the Notes or any other Transaction Document or any other agreement; (e) any waiver, consent, extension, indulgence, surrender, settlement, subordination, release, compromise, or other agreement, or the exercise or non-exercise of any right or remedy thereunder, with or without consideration; (f) the occurrence and/or continuance of any bankruptcy, insolvency, reorganization, liquidation, arrangement, adjustment of debt, relief of debtors, dissolution, or similar proceeding with respect to the Borrowers, or any other Person, including without limitation any modification of the Borrowers’ obligations under the Credit Agreement, the Notes or any other Transaction Document in connection with any such proceeding; (g) any defect in the title, condition, compliance with specifications, design, operation, or fitness for use of, or any damage to or loss of, or governmental prohibition or restriction, condemnation, requisition, or seizure of, any Collateral for any reason; (h) any merger, consolidation, restructuring, termination of existence, sale of assets, or change in the ownership of any membership interests or shares of capital stock of either of the Borrowers or the Guarantor; (i) any present or future law, regulation, or order in any jurisdiction (whether of right or in fact) or any agency thereof affecting any term of any Obligation or any rights of any of the Creditors with respect thereto, including, without limitation, any law, regulation or order purporting to vary the terms of payment or to restrict the right or power of the Borrowers or of the Guarantor to make payment of its Obligations to the Creditors; or (j) any other circumstances whatsoever which might otherwise constitute a defense available to, or a discharge of, the Borrowers or the Guarantor.</w:t>
      </w:r>
    </w:p>
    <w:p>
      <w:pPr>
        <w:spacing w:after="0" w:line="200" w:lineRule="exact"/>
        <w:rPr>
          <w:sz w:val="20"/>
          <w:szCs w:val="20"/>
          <w:color w:val="auto"/>
        </w:rPr>
      </w:pPr>
    </w:p>
    <w:p>
      <w:pPr>
        <w:spacing w:after="0" w:line="307" w:lineRule="exact"/>
        <w:rPr>
          <w:sz w:val="20"/>
          <w:szCs w:val="20"/>
          <w:color w:val="auto"/>
        </w:rPr>
      </w:pPr>
    </w:p>
    <w:p>
      <w:pPr>
        <w:ind w:left="1580" w:hanging="792"/>
        <w:spacing w:after="0"/>
        <w:tabs>
          <w:tab w:leader="none" w:pos="1580" w:val="left"/>
        </w:tabs>
        <w:numPr>
          <w:ilvl w:val="0"/>
          <w:numId w:val="244"/>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p>
    <w:p>
      <w:pPr>
        <w:spacing w:after="0" w:line="243" w:lineRule="exact"/>
        <w:rPr>
          <w:sz w:val="20"/>
          <w:szCs w:val="20"/>
          <w:color w:val="auto"/>
        </w:rPr>
      </w:pPr>
    </w:p>
    <w:p>
      <w:pPr>
        <w:ind w:right="180" w:firstLine="1561"/>
        <w:spacing w:after="0" w:line="316" w:lineRule="auto"/>
        <w:rPr>
          <w:sz w:val="20"/>
          <w:szCs w:val="20"/>
          <w:color w:val="auto"/>
        </w:rPr>
      </w:pPr>
      <w:r>
        <w:rPr>
          <w:rFonts w:ascii="Arial" w:cs="Arial" w:eastAsia="Arial" w:hAnsi="Arial"/>
          <w:sz w:val="18"/>
          <w:szCs w:val="18"/>
          <w:color w:val="auto"/>
        </w:rPr>
        <w:t>The Guarantor hereby makes all of the representations and warranties expressly applicable to the Guarantor set forth in Section 2 of the September 2018 Credit Agreement as if they were set forth in this Guaranty with necessary logical changes.</w:t>
      </w:r>
    </w:p>
    <w:p>
      <w:pPr>
        <w:spacing w:after="0" w:line="224" w:lineRule="exact"/>
        <w:rPr>
          <w:sz w:val="20"/>
          <w:szCs w:val="20"/>
          <w:color w:val="auto"/>
        </w:rPr>
      </w:pPr>
    </w:p>
    <w:p>
      <w:pPr>
        <w:ind w:left="1580" w:hanging="792"/>
        <w:spacing w:after="0"/>
        <w:tabs>
          <w:tab w:leader="none" w:pos="1580" w:val="left"/>
        </w:tabs>
        <w:numPr>
          <w:ilvl w:val="0"/>
          <w:numId w:val="245"/>
        </w:numPr>
        <w:rPr>
          <w:rFonts w:ascii="Arial" w:cs="Arial" w:eastAsia="Arial" w:hAnsi="Arial"/>
          <w:sz w:val="20"/>
          <w:szCs w:val="20"/>
          <w:color w:val="auto"/>
        </w:rPr>
      </w:pPr>
      <w:r>
        <w:rPr>
          <w:rFonts w:ascii="Arial" w:cs="Arial" w:eastAsia="Arial" w:hAnsi="Arial"/>
          <w:sz w:val="20"/>
          <w:szCs w:val="20"/>
          <w:u w:val="single" w:color="auto"/>
          <w:color w:val="auto"/>
        </w:rPr>
        <w:t>COVENANTS</w:t>
      </w:r>
    </w:p>
    <w:p>
      <w:pPr>
        <w:spacing w:after="0" w:line="243" w:lineRule="exact"/>
        <w:rPr>
          <w:sz w:val="20"/>
          <w:szCs w:val="20"/>
          <w:color w:val="auto"/>
        </w:rPr>
      </w:pPr>
    </w:p>
    <w:p>
      <w:pPr>
        <w:ind w:right="80" w:firstLine="1561"/>
        <w:spacing w:after="0" w:line="250" w:lineRule="auto"/>
        <w:rPr>
          <w:sz w:val="20"/>
          <w:szCs w:val="20"/>
          <w:color w:val="auto"/>
        </w:rPr>
      </w:pPr>
      <w:r>
        <w:rPr>
          <w:rFonts w:ascii="Arial" w:cs="Arial" w:eastAsia="Arial" w:hAnsi="Arial"/>
          <w:sz w:val="20"/>
          <w:szCs w:val="20"/>
          <w:color w:val="auto"/>
        </w:rPr>
        <w:t>The Guarantor hereby covenants and undertakes with the Security Trustee on behalf of the Creditors that from the date hereof and so long as any principal, interest or other monies are owing by the Credit Parties under or in connection with the Credit Agreement, the Notes, the other Transaction Documents, or any of them, it will:</w:t>
      </w:r>
    </w:p>
    <w:p>
      <w:pPr>
        <w:spacing w:after="0" w:line="280" w:lineRule="exact"/>
        <w:rPr>
          <w:sz w:val="20"/>
          <w:szCs w:val="20"/>
          <w:color w:val="auto"/>
        </w:rPr>
      </w:pPr>
    </w:p>
    <w:p>
      <w:pPr>
        <w:ind w:right="80" w:firstLine="1569"/>
        <w:spacing w:after="0" w:line="328" w:lineRule="auto"/>
        <w:tabs>
          <w:tab w:leader="none" w:pos="2429" w:val="left"/>
        </w:tabs>
        <w:numPr>
          <w:ilvl w:val="0"/>
          <w:numId w:val="246"/>
        </w:numPr>
        <w:rPr>
          <w:rFonts w:ascii="Arial" w:cs="Arial" w:eastAsia="Arial" w:hAnsi="Arial"/>
          <w:sz w:val="16"/>
          <w:szCs w:val="16"/>
          <w:color w:val="auto"/>
        </w:rPr>
      </w:pPr>
      <w:r>
        <w:rPr>
          <w:rFonts w:ascii="Arial" w:cs="Arial" w:eastAsia="Arial" w:hAnsi="Arial"/>
          <w:sz w:val="16"/>
          <w:szCs w:val="16"/>
          <w:color w:val="auto"/>
        </w:rPr>
        <w:t>comply with each of the covenants and undertakings set forth in Section 4 of the September 2018 Guaranty as if they were set forth in this Guaranty with necessary logical changes, provided that (x) terms used in the September 2018 Guaranty which are defined herein shall have such meanings given thereto in this Guaranty, and (y) all other terms shall have the meanings given thereto in the September 2018 Guaranty (excluding the “Facility Agent” which shall be deemed to refer to the “Adminsitrative Agent” hereunder); and</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82" w:right="359" w:bottom="1440" w:gutter="0" w:footer="0" w:header="0"/>
        </w:sectPr>
      </w:pPr>
    </w:p>
    <w:bookmarkStart w:id="258" w:name="page259"/>
    <w:bookmarkEnd w:id="258"/>
    <w:p>
      <w:pPr>
        <w:ind w:right="180" w:firstLine="1569"/>
        <w:spacing w:after="0" w:line="263" w:lineRule="auto"/>
        <w:tabs>
          <w:tab w:leader="none" w:pos="2440" w:val="left"/>
        </w:tabs>
        <w:numPr>
          <w:ilvl w:val="1"/>
          <w:numId w:val="247"/>
        </w:numPr>
        <w:rPr>
          <w:rFonts w:ascii="Arial" w:cs="Arial" w:eastAsia="Arial" w:hAnsi="Arial"/>
          <w:sz w:val="19"/>
          <w:szCs w:val="19"/>
          <w:color w:val="auto"/>
        </w:rPr>
      </w:pPr>
      <w:r>
        <w:rPr>
          <w:rFonts w:ascii="Arial" w:cs="Arial" w:eastAsia="Arial" w:hAnsi="Arial"/>
          <w:sz w:val="19"/>
          <w:szCs w:val="19"/>
          <w:color w:val="auto"/>
        </w:rPr>
        <w:t>deliver to the Administrative Agent for further distribution to the Lenders, (x) no later than the date hereof, a complete copy of the September 2018 Credit agreement and the September 2018 Guaranty (including all amendments thereto through the date hereof), and (y) promptly (but it any event within five (5) Banking Days) upon entering into any amendment to the September 2018 Credit Agreement or September 2018 Guaranty, a copy of any such amendment.</w:t>
      </w:r>
    </w:p>
    <w:p>
      <w:pPr>
        <w:spacing w:after="0" w:line="270" w:lineRule="exact"/>
        <w:rPr>
          <w:rFonts w:ascii="Arial" w:cs="Arial" w:eastAsia="Arial" w:hAnsi="Arial"/>
          <w:sz w:val="19"/>
          <w:szCs w:val="19"/>
          <w:color w:val="auto"/>
        </w:rPr>
      </w:pPr>
    </w:p>
    <w:p>
      <w:pPr>
        <w:ind w:left="1580" w:hanging="792"/>
        <w:spacing w:after="0"/>
        <w:tabs>
          <w:tab w:leader="none" w:pos="1580" w:val="left"/>
        </w:tabs>
        <w:numPr>
          <w:ilvl w:val="0"/>
          <w:numId w:val="248"/>
        </w:numPr>
        <w:rPr>
          <w:rFonts w:ascii="Arial" w:cs="Arial" w:eastAsia="Arial" w:hAnsi="Arial"/>
          <w:sz w:val="20"/>
          <w:szCs w:val="20"/>
          <w:color w:val="auto"/>
        </w:rPr>
      </w:pPr>
      <w:r>
        <w:rPr>
          <w:rFonts w:ascii="Arial" w:cs="Arial" w:eastAsia="Arial" w:hAnsi="Arial"/>
          <w:sz w:val="20"/>
          <w:szCs w:val="20"/>
          <w:u w:val="single" w:color="auto"/>
          <w:color w:val="auto"/>
        </w:rPr>
        <w:t>PAYMENTS</w:t>
      </w:r>
    </w:p>
    <w:p>
      <w:pPr>
        <w:spacing w:after="0" w:line="242" w:lineRule="exact"/>
        <w:rPr>
          <w:rFonts w:ascii="Arial" w:cs="Arial" w:eastAsia="Arial" w:hAnsi="Arial"/>
          <w:sz w:val="20"/>
          <w:szCs w:val="20"/>
          <w:color w:val="auto"/>
        </w:rPr>
      </w:pPr>
    </w:p>
    <w:p>
      <w:pPr>
        <w:ind w:left="1560"/>
        <w:spacing w:after="0"/>
        <w:rPr>
          <w:rFonts w:ascii="Arial" w:cs="Arial" w:eastAsia="Arial" w:hAnsi="Arial"/>
          <w:sz w:val="20"/>
          <w:szCs w:val="20"/>
          <w:color w:val="auto"/>
        </w:rPr>
      </w:pPr>
      <w:r>
        <w:rPr>
          <w:rFonts w:ascii="Arial" w:cs="Arial" w:eastAsia="Arial" w:hAnsi="Arial"/>
          <w:sz w:val="20"/>
          <w:szCs w:val="20"/>
          <w:color w:val="auto"/>
        </w:rPr>
        <w:t>5.1</w:t>
      </w:r>
      <w:r>
        <w:rPr>
          <w:rFonts w:ascii="Arial" w:cs="Arial" w:eastAsia="Arial" w:hAnsi="Arial"/>
          <w:sz w:val="16"/>
          <w:szCs w:val="16"/>
          <w:u w:val="single" w:color="auto"/>
          <w:color w:val="auto"/>
        </w:rPr>
        <w:t>Payment</w:t>
      </w:r>
      <w:r>
        <w:rPr>
          <w:rFonts w:ascii="Arial" w:cs="Arial" w:eastAsia="Arial" w:hAnsi="Arial"/>
          <w:sz w:val="16"/>
          <w:szCs w:val="16"/>
          <w:color w:val="auto"/>
        </w:rPr>
        <w:t>.  (a) All payments by the Guarantor under this Guaranty shall be made in the same manner as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Borrowers are required to make payments under the Credit Agreement as specifically set forth therein.</w:t>
      </w:r>
    </w:p>
    <w:p>
      <w:pPr>
        <w:spacing w:after="0" w:line="294" w:lineRule="exact"/>
        <w:rPr>
          <w:sz w:val="20"/>
          <w:szCs w:val="20"/>
          <w:color w:val="auto"/>
        </w:rPr>
      </w:pPr>
    </w:p>
    <w:p>
      <w:pPr>
        <w:ind w:firstLine="1569"/>
        <w:spacing w:after="0" w:line="250" w:lineRule="auto"/>
        <w:tabs>
          <w:tab w:leader="none" w:pos="2429" w:val="left"/>
        </w:tabs>
        <w:numPr>
          <w:ilvl w:val="0"/>
          <w:numId w:val="249"/>
        </w:numPr>
        <w:rPr>
          <w:rFonts w:ascii="Arial" w:cs="Arial" w:eastAsia="Arial" w:hAnsi="Arial"/>
          <w:sz w:val="20"/>
          <w:szCs w:val="20"/>
          <w:color w:val="auto"/>
        </w:rPr>
      </w:pPr>
      <w:r>
        <w:rPr>
          <w:rFonts w:ascii="Arial" w:cs="Arial" w:eastAsia="Arial" w:hAnsi="Arial"/>
          <w:sz w:val="20"/>
          <w:szCs w:val="20"/>
          <w:color w:val="auto"/>
        </w:rPr>
        <w:t>On all sum or sums for which the Guarantor is liable hereunder interest shall be due at the Default Rate specified in Section 6 in the Credit Agreement from the due date thereof under the Credit Agreement until the date of payment of such amount by the Guarantor.</w:t>
      </w:r>
    </w:p>
    <w:p>
      <w:pPr>
        <w:spacing w:after="0" w:line="280" w:lineRule="exact"/>
        <w:rPr>
          <w:sz w:val="20"/>
          <w:szCs w:val="20"/>
          <w:color w:val="auto"/>
        </w:rPr>
      </w:pPr>
    </w:p>
    <w:p>
      <w:pPr>
        <w:ind w:firstLine="1561"/>
        <w:spacing w:after="0" w:line="26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Taxes; Withholdings</w:t>
      </w:r>
      <w:r>
        <w:rPr>
          <w:rFonts w:ascii="Arial" w:cs="Arial" w:eastAsia="Arial" w:hAnsi="Arial"/>
          <w:sz w:val="18"/>
          <w:szCs w:val="18"/>
          <w:color w:val="auto"/>
        </w:rPr>
        <w:t>. Should the Guarantor be compelled by law, regulation, decree, order or stipulation to make any deduction or withholding on account of any present or future taxes (including, without limitation, property, sales, use, consumption, franchise, capital, occupational, license, value added, excise, stamp, levies and imposts taxes and customs and other duties), assessments, fees (including, without limitation, documentation, license, filing and registration fees), deductions, withholdings and charges, of any kind or nature whatsoever, together with any penalties, fines, additions to tax or interest thereon, however imposed, withheld, levied, or assessed by any country or governmental subdivision thereof or therein, any international authority or any other taxing authority (“Taxes”) from any payment due under this Guaranty for the account of the Creditors, the sum due from the Guarantor in respect of such payment shall be increased by such additional amounts necessary to ensure that, after the making of such deduction or withholding with respect to Taxes, each of the Creditors receives a net sum equal to the sum which it would have received had no such deduction or withholding with respect to Taxes been made and the Guarantor shall indemnify each of the Creditors against any losses or costs incurred by it by reason of any failure of the Guarantor to make any such deduction or withholding or by reason of any such additional payment not being made to the relevant Creditor on the due date for such payment. The Guarantor will deliver to the relevant Creditor evidence satisfactory to such Creditor including all relevant tax receipts that such Tax has been duly remitted to the appropriate authority. Notwithstanding the preceding sentence, the Guarantor shall not be required to pay additional amounts or otherwise indemnify any Creditor for or on account of:</w:t>
      </w:r>
    </w:p>
    <w:p>
      <w:pPr>
        <w:spacing w:after="0" w:line="276" w:lineRule="exact"/>
        <w:rPr>
          <w:sz w:val="20"/>
          <w:szCs w:val="20"/>
          <w:color w:val="auto"/>
        </w:rPr>
      </w:pPr>
    </w:p>
    <w:p>
      <w:pPr>
        <w:ind w:right="40" w:firstLine="2350"/>
        <w:spacing w:after="0" w:line="269" w:lineRule="auto"/>
        <w:tabs>
          <w:tab w:leader="none" w:pos="3177" w:val="left"/>
        </w:tabs>
        <w:numPr>
          <w:ilvl w:val="0"/>
          <w:numId w:val="250"/>
        </w:numPr>
        <w:rPr>
          <w:rFonts w:ascii="Arial" w:cs="Arial" w:eastAsia="Arial" w:hAnsi="Arial"/>
          <w:sz w:val="19"/>
          <w:szCs w:val="19"/>
          <w:color w:val="auto"/>
        </w:rPr>
      </w:pPr>
      <w:r>
        <w:rPr>
          <w:rFonts w:ascii="Arial" w:cs="Arial" w:eastAsia="Arial" w:hAnsi="Arial"/>
          <w:sz w:val="19"/>
          <w:szCs w:val="19"/>
          <w:color w:val="auto"/>
        </w:rPr>
        <w:t>Taxes based on or measured by the overall net income of any Creditor or Taxes in the nature of franchise taxes or taxes for the privilege of doing business imposed by any jurisdiction or any political subdivision or taxing authority therein unless such are imposed as a result of the activities of the Credit Parties within the relevant taxing jurisdiction; or</w:t>
      </w:r>
    </w:p>
    <w:p>
      <w:pPr>
        <w:spacing w:after="0" w:line="264" w:lineRule="exact"/>
        <w:rPr>
          <w:rFonts w:ascii="Arial" w:cs="Arial" w:eastAsia="Arial" w:hAnsi="Arial"/>
          <w:sz w:val="19"/>
          <w:szCs w:val="19"/>
          <w:color w:val="auto"/>
        </w:rPr>
      </w:pPr>
    </w:p>
    <w:p>
      <w:pPr>
        <w:ind w:right="80" w:firstLine="2350"/>
        <w:spacing w:after="0" w:line="278" w:lineRule="auto"/>
        <w:tabs>
          <w:tab w:leader="none" w:pos="323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Taxes imposed by any jurisdiction or any political subdivision or taxing authority therein on such Creditor that would not have been imposed but for such Creditor's being organized in or conducting business in or maintaining a place of business in the relevant taxing jurisdiction, or engaging in activities or transactions in the relevant taxing jurisdiction that are unrelated to the transactions contemplated by the Credit Agreement, but only to the extent such Taxes are not imposed as a result of the activities of the Credit Parties within the relevant taxing jurisdiction or the legal status of the Credit Parties under the laws of the taxing jurisdiction.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259" w:name="page260"/>
    <w:bookmarkEnd w:id="259"/>
    <w:p>
      <w:pPr>
        <w:ind w:firstLine="1561"/>
        <w:spacing w:after="0" w:line="260"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Delivery of Tax Forms</w:t>
      </w:r>
      <w:r>
        <w:rPr>
          <w:rFonts w:ascii="Arial" w:cs="Arial" w:eastAsia="Arial" w:hAnsi="Arial"/>
          <w:sz w:val="20"/>
          <w:szCs w:val="20"/>
          <w:color w:val="auto"/>
        </w:rPr>
        <w:t>. Section 7.4 of the Credit Agreement (</w:t>
      </w:r>
      <w:r>
        <w:rPr>
          <w:rFonts w:ascii="Arial" w:cs="Arial" w:eastAsia="Arial" w:hAnsi="Arial"/>
          <w:sz w:val="20"/>
          <w:szCs w:val="20"/>
          <w:i w:val="1"/>
          <w:iCs w:val="1"/>
          <w:color w:val="auto"/>
        </w:rPr>
        <w:t>Delivery of Tax Forms</w:t>
      </w:r>
      <w:r>
        <w:rPr>
          <w:rFonts w:ascii="Arial" w:cs="Arial" w:eastAsia="Arial" w:hAnsi="Arial"/>
          <w:sz w:val="20"/>
          <w:szCs w:val="20"/>
          <w:color w:val="auto"/>
        </w:rPr>
        <w:t>) is incorporated herein by reference with necessary changes to substitute the Guarantor for the Borrowers.</w:t>
      </w:r>
    </w:p>
    <w:p>
      <w:pPr>
        <w:spacing w:after="0" w:line="271" w:lineRule="exact"/>
        <w:rPr>
          <w:sz w:val="20"/>
          <w:szCs w:val="20"/>
          <w:color w:val="auto"/>
        </w:rPr>
      </w:pPr>
    </w:p>
    <w:p>
      <w:pPr>
        <w:ind w:right="40" w:firstLine="1561"/>
        <w:spacing w:after="0" w:line="250"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FATCA Information; FATCA Withholding</w:t>
      </w:r>
      <w:r>
        <w:rPr>
          <w:rFonts w:ascii="Arial" w:cs="Arial" w:eastAsia="Arial" w:hAnsi="Arial"/>
          <w:sz w:val="20"/>
          <w:szCs w:val="20"/>
          <w:color w:val="auto"/>
        </w:rPr>
        <w:t>. Sections 7.5 and 7.6 of the Credit Agreement (</w:t>
      </w:r>
      <w:r>
        <w:rPr>
          <w:rFonts w:ascii="Arial" w:cs="Arial" w:eastAsia="Arial" w:hAnsi="Arial"/>
          <w:sz w:val="20"/>
          <w:szCs w:val="20"/>
          <w:i w:val="1"/>
          <w:iCs w:val="1"/>
          <w:color w:val="auto"/>
        </w:rPr>
        <w:t>FATCA</w:t>
      </w:r>
      <w:r>
        <w:rPr>
          <w:rFonts w:ascii="Arial" w:cs="Arial" w:eastAsia="Arial" w:hAnsi="Arial"/>
          <w:sz w:val="20"/>
          <w:szCs w:val="20"/>
          <w:color w:val="auto"/>
        </w:rPr>
        <w:t xml:space="preserve"> </w:t>
      </w:r>
      <w:r>
        <w:rPr>
          <w:rFonts w:ascii="Arial" w:cs="Arial" w:eastAsia="Arial" w:hAnsi="Arial"/>
          <w:sz w:val="20"/>
          <w:szCs w:val="20"/>
          <w:i w:val="1"/>
          <w:iCs w:val="1"/>
          <w:color w:val="auto"/>
        </w:rPr>
        <w:t>Information</w:t>
      </w:r>
      <w:r>
        <w:rPr>
          <w:rFonts w:ascii="Arial" w:cs="Arial" w:eastAsia="Arial" w:hAnsi="Arial"/>
          <w:sz w:val="20"/>
          <w:szCs w:val="20"/>
          <w:color w:val="auto"/>
        </w:rPr>
        <w:t>) and (</w:t>
      </w:r>
      <w:r>
        <w:rPr>
          <w:rFonts w:ascii="Arial" w:cs="Arial" w:eastAsia="Arial" w:hAnsi="Arial"/>
          <w:sz w:val="20"/>
          <w:szCs w:val="20"/>
          <w:i w:val="1"/>
          <w:iCs w:val="1"/>
          <w:color w:val="auto"/>
        </w:rPr>
        <w:t>FATCA Withholding</w:t>
      </w:r>
      <w:r>
        <w:rPr>
          <w:rFonts w:ascii="Arial" w:cs="Arial" w:eastAsia="Arial" w:hAnsi="Arial"/>
          <w:sz w:val="20"/>
          <w:szCs w:val="20"/>
          <w:color w:val="auto"/>
        </w:rPr>
        <w:t>), respectively, are incorporated herein by reference with necessary changes to substitute the Guarantor</w:t>
      </w:r>
      <w:r>
        <w:rPr>
          <w:rFonts w:ascii="Arial" w:cs="Arial" w:eastAsia="Arial" w:hAnsi="Arial"/>
          <w:sz w:val="20"/>
          <w:szCs w:val="20"/>
          <w:i w:val="1"/>
          <w:iCs w:val="1"/>
          <w:color w:val="auto"/>
        </w:rPr>
        <w:t xml:space="preserve"> </w:t>
      </w:r>
      <w:r>
        <w:rPr>
          <w:rFonts w:ascii="Arial" w:cs="Arial" w:eastAsia="Arial" w:hAnsi="Arial"/>
          <w:sz w:val="20"/>
          <w:szCs w:val="20"/>
          <w:color w:val="auto"/>
        </w:rPr>
        <w:t>for the Borrowers.</w:t>
      </w:r>
    </w:p>
    <w:p>
      <w:pPr>
        <w:spacing w:after="0" w:line="280" w:lineRule="exact"/>
        <w:rPr>
          <w:sz w:val="20"/>
          <w:szCs w:val="20"/>
          <w:color w:val="auto"/>
        </w:rPr>
      </w:pPr>
    </w:p>
    <w:p>
      <w:pPr>
        <w:ind w:left="1580" w:hanging="792"/>
        <w:spacing w:after="0"/>
        <w:tabs>
          <w:tab w:leader="none" w:pos="1580" w:val="left"/>
        </w:tabs>
        <w:numPr>
          <w:ilvl w:val="0"/>
          <w:numId w:val="251"/>
        </w:numPr>
        <w:rPr>
          <w:rFonts w:ascii="Arial" w:cs="Arial" w:eastAsia="Arial" w:hAnsi="Arial"/>
          <w:sz w:val="20"/>
          <w:szCs w:val="20"/>
          <w:color w:val="auto"/>
        </w:rPr>
      </w:pPr>
      <w:r>
        <w:rPr>
          <w:rFonts w:ascii="Arial" w:cs="Arial" w:eastAsia="Arial" w:hAnsi="Arial"/>
          <w:sz w:val="20"/>
          <w:szCs w:val="20"/>
          <w:u w:val="single" w:color="auto"/>
          <w:color w:val="auto"/>
        </w:rPr>
        <w:t>PRESERVATION OF RIGHTS</w:t>
      </w:r>
    </w:p>
    <w:p>
      <w:pPr>
        <w:spacing w:after="0" w:line="242" w:lineRule="exact"/>
        <w:rPr>
          <w:rFonts w:ascii="Arial" w:cs="Arial" w:eastAsia="Arial" w:hAnsi="Arial"/>
          <w:sz w:val="20"/>
          <w:szCs w:val="20"/>
          <w:color w:val="auto"/>
        </w:rPr>
      </w:pPr>
    </w:p>
    <w:p>
      <w:pPr>
        <w:ind w:firstLine="1569"/>
        <w:spacing w:after="0" w:line="271" w:lineRule="auto"/>
        <w:tabs>
          <w:tab w:leader="none" w:pos="2429"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Guarantor hereby consents that from time to time, without notice to or further consent of the Guarantor, the time for the performance and/or observance by the Borrowers, or any of them, of any of the agreements, covenants or conditions in the Credit Agreement, the Notes or the other Transaction Document, or any of them, on the part of the Borrowers, or any of them, to be performed and/or observed may be waived or the time of performance thereof extended by any of the Creditors and payment of any sums owing or payable under any such document may be extended or any such document may be renewed in whole or in part or modified in any respect or any collateral or arrangement provided for by any such document as security for any obligation contemplated by any such document may be exchanged, surrendered, released or otherwise dealt with as the Creditors may determine, that the time for the making of any payment of any obligation hereby guaranteed may be accelerated in accordance with any agreement between any of the Creditors and the Borrowers, or any of them, and that any of the acts mentioned in any of said documents may be done and that any document or security therefor may be released in whole or in part without affecting the obligations of the Guarantor hereunder.</w:t>
      </w:r>
    </w:p>
    <w:p>
      <w:pPr>
        <w:spacing w:after="0" w:line="268" w:lineRule="exact"/>
        <w:rPr>
          <w:rFonts w:ascii="Arial" w:cs="Arial" w:eastAsia="Arial" w:hAnsi="Arial"/>
          <w:sz w:val="18"/>
          <w:szCs w:val="18"/>
          <w:color w:val="auto"/>
        </w:rPr>
      </w:pPr>
    </w:p>
    <w:p>
      <w:pPr>
        <w:ind w:firstLine="1569"/>
        <w:spacing w:after="0" w:line="268" w:lineRule="auto"/>
        <w:tabs>
          <w:tab w:leader="none" w:pos="24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Guarantor hereby waives, to the extent permitted by applicable law: (i) any notice required by law or otherwise to preserve any rights hereunder or under the Credit Agreement, the Notes or any other Transaction Document against the Guarantor or against the other Credit Parties, or any of them, including without limitation: (A) acceptance, presentment, demand, protest, or proof of nonperformance of any Obligation, (B) notice of the sale of any Collateral or the transfer the Credit Parties, or any of them, of any interest in any Collateral or the Credit Agreement, the Notes or any other Transaction Document, (C) notice of the acceptance of this Guaranty and of any change in any of the Credit Parties’ financial condition, (D) notices of the creation, renewal, extension, or accrual of any Obligation or any of the matters referred to in Section 2 hereof, or any notice of or proof of reliance by any of the Creditors upon this Guaranty or acceptance of this Guaranty (the Obligations, and any of them, shall conclusively be deemed to have been created, contracted, incurred or renewed, extended, amended or waived in reliance upon this Guaranty and all dealings between the Credit Parties or the Guarantor and the Creditors shall be conclusively presumed to have been had or consummated in reliance upon this Guaranty), and (E) notices which may be required by statute, rule of law or otherwise, now or hereafter in effect, to preserve intact any rights of any of the Creditors against the Guarantor; (ii) the prior exercise of any remedy contained in the Credit Agreement, the Notes or any other Transaction Document or otherwise available to the Creditors; (iii) any requirement of diligence on the part of any Person including without limitation diligence in making any claim or commencing suit hereon or on the Credit Agreement, the Notes or any other Transaction Document, and any requirement to mitigate damages or exhaust remedies under the Credit Agreement, the Notes or any other Transaction Document; (iv) the right to interpose all substantive and procedural defense of the law of guaranty, indemnification, suretyship, or other applicable law except the defense of prior payment or prior performance by any of the Credit Parties or the Guarantor of the Obligations; (v) all rights and remedies accorded by applicable laws to guarantors or sureties, including any extension of time conferred by any law now or hereafter in effect; (vi) any right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82" w:right="359" w:bottom="1440" w:gutter="0" w:footer="0" w:header="0"/>
        </w:sectPr>
      </w:pPr>
    </w:p>
    <w:bookmarkStart w:id="260" w:name="page261"/>
    <w:bookmarkEnd w:id="260"/>
    <w:p>
      <w:pPr>
        <w:ind w:firstLine="1561"/>
        <w:spacing w:after="0" w:line="255" w:lineRule="auto"/>
        <w:rPr>
          <w:sz w:val="20"/>
          <w:szCs w:val="20"/>
          <w:color w:val="auto"/>
        </w:rPr>
      </w:pPr>
      <w:r>
        <w:rPr>
          <w:rFonts w:ascii="Arial" w:cs="Arial" w:eastAsia="Arial" w:hAnsi="Arial"/>
          <w:sz w:val="19"/>
          <w:szCs w:val="19"/>
          <w:color w:val="auto"/>
        </w:rPr>
        <w:t>or claim of right to cause a marshaling of any of the Credit Parties’ assets or to cause any of the Creditors to proceed against any of the Credit Parties or any collateral held by any of the Creditors at any time or in any particular order; (vii) rights to the enforcement, assertion, or exercise by any of the Creditors of any right, power, privilege, or remedy conferred herein or in the Credit Agreement, the Notes or any other Transaction Document or otherwise; (viii) notices of the sale, transfer or other disposition of any right, title to, or interest in the Credit Agreement, the Notes or any other Transaction Document; and (ix) any other right whatsoever which might otherwise constitute a discharge, release, or defense of the Guarantor hereunder or of any of the other Credit Parties under the Credit Agreement, the Notes or any other Transaction Document or which might otherwise limit recourse against the other Credit Parties. No failure to exercise and no delay in exercising, on the part of any of the Creditors, any right, power, or privilege shall operate as a waiver thereof, nor shall any single or partial exercise of any right, power, or privilege preclude any other or further exercise thereof, or the exercise of any other power or right. The obligations of the Guarantor hereunder shall not be affected by receipt by any of the Creditors of any proceeds of any security at any time held by any of the Creditors. The rights and remedies herein provided are cumulative and not exclusive of any rights or remedies provided by law.</w:t>
      </w:r>
    </w:p>
    <w:p>
      <w:pPr>
        <w:spacing w:after="0" w:line="279" w:lineRule="exact"/>
        <w:rPr>
          <w:sz w:val="20"/>
          <w:szCs w:val="20"/>
          <w:color w:val="auto"/>
        </w:rPr>
      </w:pPr>
    </w:p>
    <w:p>
      <w:pPr>
        <w:ind w:right="40" w:firstLine="1569"/>
        <w:spacing w:after="0" w:line="255" w:lineRule="auto"/>
        <w:tabs>
          <w:tab w:leader="none" w:pos="2429" w:val="left"/>
        </w:tabs>
        <w:numPr>
          <w:ilvl w:val="0"/>
          <w:numId w:val="252"/>
        </w:numPr>
        <w:rPr>
          <w:rFonts w:ascii="Arial" w:cs="Arial" w:eastAsia="Arial" w:hAnsi="Arial"/>
          <w:sz w:val="19"/>
          <w:szCs w:val="19"/>
          <w:color w:val="auto"/>
        </w:rPr>
      </w:pPr>
      <w:r>
        <w:rPr>
          <w:rFonts w:ascii="Arial" w:cs="Arial" w:eastAsia="Arial" w:hAnsi="Arial"/>
          <w:sz w:val="19"/>
          <w:szCs w:val="19"/>
          <w:color w:val="auto"/>
        </w:rPr>
        <w:t>The Guarantor agrees that so long as any of the Borrowers remains under any actual or contingent liability under the Credit Agreement, the Notes and the other Transaction Documents any rights which the Guarantor may at any time have by reason of the performance by the Guarantor of its obligations hereunder (a) to be indemnified by any of the Borrowers and/or (b) to claim any contribution from the Borrowers or any other guarantor of the Borrowers’ obligations under the Credit Agreement, the Notes or the other Transaction Documents and/or (c) to take the benefit (in whole or in part) of any security taken pursuant to this Guaranty or the Credit Agreement, the Notes or any other Transaction Documents by, all or any of the persons to whom the benefit of the Guarantor's obligations are given, shall be exercised by the Guarantor in such manner and upon such terms as the Creditors may require and further agrees to hold any monies at any time received by it as a result of the exercise of any such rights or otherwise for and on behalf of and to the order of the Creditors for application in or towards payment of any sums at any time owed by the Credit Parties under the Credit Agreement, the Notes or the other Transaction Documents.</w:t>
      </w:r>
    </w:p>
    <w:p>
      <w:pPr>
        <w:spacing w:after="0" w:line="284" w:lineRule="exact"/>
        <w:rPr>
          <w:rFonts w:ascii="Arial" w:cs="Arial" w:eastAsia="Arial" w:hAnsi="Arial"/>
          <w:sz w:val="19"/>
          <w:szCs w:val="19"/>
          <w:color w:val="auto"/>
        </w:rPr>
      </w:pPr>
    </w:p>
    <w:p>
      <w:pPr>
        <w:ind w:right="40" w:firstLine="1569"/>
        <w:spacing w:after="0" w:line="243" w:lineRule="auto"/>
        <w:tabs>
          <w:tab w:leader="none" w:pos="244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The Guarantor further agrees that its liabilities hereunder shall be unconditional irrespective of any other circumstance which might otherwise constitute a discharge at law or in equity of a guarantor or surety. The Guarantor further guarantees that all payments made by the Borrowers, the Guarantor, or any of them, to any of the Creditors on any obligation hereby guaranteed will, when made, be final and agrees that, if any such payment is recovered from, or repaid by, any of the Creditors in whole or in part in any bankruptcy, insolvency or similar proceeding instituted by or against the Borrowers, the Guarantor, or any of them, this Guaranty shall continue to be fully applicable to such obligation to the same extent as though the payment so recovered or repaid had never been originally made on such obligation.</w:t>
      </w:r>
    </w:p>
    <w:p>
      <w:pPr>
        <w:spacing w:after="0" w:line="287" w:lineRule="exact"/>
        <w:rPr>
          <w:rFonts w:ascii="Arial" w:cs="Arial" w:eastAsia="Arial" w:hAnsi="Arial"/>
          <w:sz w:val="20"/>
          <w:szCs w:val="20"/>
          <w:color w:val="auto"/>
        </w:rPr>
      </w:pPr>
    </w:p>
    <w:p>
      <w:pPr>
        <w:ind w:right="300" w:firstLine="1568"/>
        <w:spacing w:after="0" w:line="250" w:lineRule="auto"/>
        <w:tabs>
          <w:tab w:leader="none" w:pos="2428" w:val="left"/>
        </w:tabs>
        <w:numPr>
          <w:ilvl w:val="0"/>
          <w:numId w:val="252"/>
        </w:numPr>
        <w:rPr>
          <w:rFonts w:ascii="Arial" w:cs="Arial" w:eastAsia="Arial" w:hAnsi="Arial"/>
          <w:sz w:val="20"/>
          <w:szCs w:val="20"/>
          <w:color w:val="auto"/>
        </w:rPr>
      </w:pPr>
      <w:r>
        <w:rPr>
          <w:rFonts w:ascii="Arial" w:cs="Arial" w:eastAsia="Arial" w:hAnsi="Arial"/>
          <w:sz w:val="20"/>
          <w:szCs w:val="20"/>
          <w:color w:val="auto"/>
        </w:rPr>
        <w:t>The Creditors may enforce the obligations of the Guarantor hereunder without in any way first pursuing or exhausting any other rights or remedies which the Creditors may have against any of the Borrowers, or against any other person, firm or corporation, or against any security any of the Creditors may hold.</w:t>
      </w:r>
    </w:p>
    <w:p>
      <w:pPr>
        <w:spacing w:after="0" w:line="280" w:lineRule="exact"/>
        <w:rPr>
          <w:rFonts w:ascii="Arial" w:cs="Arial" w:eastAsia="Arial" w:hAnsi="Arial"/>
          <w:sz w:val="20"/>
          <w:szCs w:val="20"/>
          <w:color w:val="auto"/>
        </w:rPr>
      </w:pPr>
    </w:p>
    <w:p>
      <w:pPr>
        <w:ind w:right="140" w:firstLine="1569"/>
        <w:spacing w:after="0" w:line="246" w:lineRule="auto"/>
        <w:tabs>
          <w:tab w:leader="none" w:pos="2407" w:val="left"/>
        </w:tabs>
        <w:numPr>
          <w:ilvl w:val="0"/>
          <w:numId w:val="252"/>
        </w:numPr>
        <w:rPr>
          <w:rFonts w:ascii="Arial" w:cs="Arial" w:eastAsia="Arial" w:hAnsi="Arial"/>
          <w:sz w:val="20"/>
          <w:szCs w:val="20"/>
          <w:color w:val="auto"/>
        </w:rPr>
      </w:pPr>
      <w:r>
        <w:rPr>
          <w:rFonts w:ascii="Arial" w:cs="Arial" w:eastAsia="Arial" w:hAnsi="Arial"/>
          <w:sz w:val="20"/>
          <w:szCs w:val="20"/>
          <w:color w:val="auto"/>
        </w:rPr>
        <w:t>The Guarantor hereby irrevocably waives all rights of subrogation (whether contractual, under Section 509 of Title 11 of the United States Code entitled “Bankruptcy” as now or hereafter in effect, or any successor thereto (herein called the “</w:t>
      </w:r>
      <w:r>
        <w:rPr>
          <w:rFonts w:ascii="Arial" w:cs="Arial" w:eastAsia="Arial" w:hAnsi="Arial"/>
          <w:sz w:val="20"/>
          <w:szCs w:val="20"/>
          <w:u w:val="single" w:color="auto"/>
          <w:color w:val="auto"/>
        </w:rPr>
        <w:t>Bankruptcy Code</w:t>
      </w:r>
      <w:r>
        <w:rPr>
          <w:rFonts w:ascii="Arial" w:cs="Arial" w:eastAsia="Arial" w:hAnsi="Arial"/>
          <w:sz w:val="20"/>
          <w:szCs w:val="20"/>
          <w:color w:val="auto"/>
        </w:rPr>
        <w:t>”), under common law, or otherwise) to the claims of any of the Creditors against the Borrowers, or any of them, and all contractual,</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82" w:right="399" w:bottom="1440" w:gutter="0" w:footer="0" w:header="0"/>
        </w:sectPr>
      </w:pPr>
    </w:p>
    <w:bookmarkStart w:id="261" w:name="page262"/>
    <w:bookmarkEnd w:id="261"/>
    <w:p>
      <w:pPr>
        <w:ind w:right="220"/>
        <w:spacing w:after="0" w:line="246" w:lineRule="auto"/>
        <w:rPr>
          <w:sz w:val="20"/>
          <w:szCs w:val="20"/>
          <w:color w:val="auto"/>
        </w:rPr>
      </w:pPr>
      <w:r>
        <w:rPr>
          <w:rFonts w:ascii="Arial" w:cs="Arial" w:eastAsia="Arial" w:hAnsi="Arial"/>
          <w:sz w:val="20"/>
          <w:szCs w:val="20"/>
          <w:color w:val="auto"/>
        </w:rPr>
        <w:t>statutory or common law rights of contribution, reimbursement, indemnification and similar rights and “claims” (as such term is defined in the Bankruptcy Code) against the Credit Parties, or any of them, which arise in connection with, or as a result of, this Guaranty, until such time as the obligations of the Credit Parties under or in connection with the Credit Agreement, the Notes and the other Transaction Documents have been indefeasibly paid in full.</w:t>
      </w:r>
    </w:p>
    <w:p>
      <w:pPr>
        <w:spacing w:after="0" w:line="286" w:lineRule="exact"/>
        <w:rPr>
          <w:sz w:val="20"/>
          <w:szCs w:val="20"/>
          <w:color w:val="auto"/>
        </w:rPr>
      </w:pPr>
    </w:p>
    <w:p>
      <w:pPr>
        <w:ind w:right="140" w:firstLine="1569"/>
        <w:spacing w:after="0" w:line="250" w:lineRule="auto"/>
        <w:tabs>
          <w:tab w:leader="none" w:pos="244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The Guarantor shall not assign, transfer, hypothecate or dispose of any claim that it has or may have against the Borrowers, or any of them, while any indebtedness of the Borrowers to any of the Creditors remains unpaid, without the written consent of the Creditors.</w:t>
      </w:r>
    </w:p>
    <w:p>
      <w:pPr>
        <w:spacing w:after="0" w:line="280" w:lineRule="exact"/>
        <w:rPr>
          <w:rFonts w:ascii="Arial" w:cs="Arial" w:eastAsia="Arial" w:hAnsi="Arial"/>
          <w:sz w:val="20"/>
          <w:szCs w:val="20"/>
          <w:color w:val="auto"/>
        </w:rPr>
      </w:pPr>
    </w:p>
    <w:p>
      <w:pPr>
        <w:jc w:val="both"/>
        <w:ind w:right="40" w:firstLine="1569"/>
        <w:spacing w:after="0" w:line="250" w:lineRule="auto"/>
        <w:tabs>
          <w:tab w:leader="none" w:pos="244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Any delay in or failure to exercise any right or remedy of any of the Creditors shall not be deemed a waiver of any obligation of the Guarantor or right of any of the Creditors. This Guaranty may be modified, and the Creditors’ rights hereunder waived, only by an agreement in writing signed by the Creditors.</w:t>
      </w:r>
    </w:p>
    <w:p>
      <w:pPr>
        <w:spacing w:after="0" w:line="280" w:lineRule="exact"/>
        <w:rPr>
          <w:rFonts w:ascii="Arial" w:cs="Arial" w:eastAsia="Arial" w:hAnsi="Arial"/>
          <w:sz w:val="20"/>
          <w:szCs w:val="20"/>
          <w:color w:val="auto"/>
        </w:rPr>
      </w:pPr>
    </w:p>
    <w:p>
      <w:pPr>
        <w:ind w:right="180" w:firstLine="1569"/>
        <w:spacing w:after="0" w:line="250" w:lineRule="auto"/>
        <w:tabs>
          <w:tab w:leader="none" w:pos="2396" w:val="left"/>
        </w:tabs>
        <w:numPr>
          <w:ilvl w:val="0"/>
          <w:numId w:val="253"/>
        </w:numPr>
        <w:rPr>
          <w:rFonts w:ascii="Arial" w:cs="Arial" w:eastAsia="Arial" w:hAnsi="Arial"/>
          <w:sz w:val="20"/>
          <w:szCs w:val="20"/>
          <w:color w:val="auto"/>
        </w:rPr>
      </w:pPr>
      <w:r>
        <w:rPr>
          <w:rFonts w:ascii="Arial" w:cs="Arial" w:eastAsia="Arial" w:hAnsi="Arial"/>
          <w:sz w:val="20"/>
          <w:szCs w:val="20"/>
          <w:color w:val="auto"/>
        </w:rPr>
        <w:t>Notice of acceptance by the Creditors of this Guaranty and of the incurring of any or all of the obligations hereby guaranteed is hereby waived by the Guarantor, and this Guaranty and all of the terms and provisions hereof shall immediately be binding upon the Guarantor from the date of execution hereof.</w:t>
      </w:r>
    </w:p>
    <w:p>
      <w:pPr>
        <w:spacing w:after="0" w:line="280" w:lineRule="exact"/>
        <w:rPr>
          <w:sz w:val="20"/>
          <w:szCs w:val="20"/>
          <w:color w:val="auto"/>
        </w:rPr>
      </w:pPr>
    </w:p>
    <w:p>
      <w:pPr>
        <w:ind w:left="1580" w:hanging="792"/>
        <w:spacing w:after="0"/>
        <w:tabs>
          <w:tab w:leader="none" w:pos="1580" w:val="left"/>
        </w:tabs>
        <w:numPr>
          <w:ilvl w:val="0"/>
          <w:numId w:val="254"/>
        </w:numPr>
        <w:rPr>
          <w:rFonts w:ascii="Arial" w:cs="Arial" w:eastAsia="Arial" w:hAnsi="Arial"/>
          <w:sz w:val="20"/>
          <w:szCs w:val="20"/>
          <w:color w:val="auto"/>
        </w:rPr>
      </w:pPr>
      <w:r>
        <w:rPr>
          <w:rFonts w:ascii="Arial" w:cs="Arial" w:eastAsia="Arial" w:hAnsi="Arial"/>
          <w:sz w:val="20"/>
          <w:szCs w:val="20"/>
          <w:u w:val="single" w:color="auto"/>
          <w:color w:val="auto"/>
        </w:rPr>
        <w:t>BENEFIT OF GUARANTY; ASSIGNMENT</w:t>
      </w:r>
    </w:p>
    <w:p>
      <w:pPr>
        <w:spacing w:after="0" w:line="121" w:lineRule="exact"/>
        <w:rPr>
          <w:sz w:val="20"/>
          <w:szCs w:val="20"/>
          <w:color w:val="auto"/>
        </w:rPr>
      </w:pPr>
    </w:p>
    <w:p>
      <w:pPr>
        <w:ind w:firstLine="780"/>
        <w:spacing w:after="0" w:line="260" w:lineRule="auto"/>
        <w:rPr>
          <w:sz w:val="20"/>
          <w:szCs w:val="20"/>
          <w:color w:val="auto"/>
        </w:rPr>
      </w:pPr>
      <w:r>
        <w:rPr>
          <w:rFonts w:ascii="Arial" w:cs="Arial" w:eastAsia="Arial" w:hAnsi="Arial"/>
          <w:sz w:val="20"/>
          <w:szCs w:val="20"/>
          <w:color w:val="auto"/>
        </w:rPr>
        <w:t>This Guaranty shall inure to the benefit of the Creditors, their successors and assigns, and shall bind the successors and assigns of the Guarantor.</w:t>
      </w:r>
    </w:p>
    <w:p>
      <w:pPr>
        <w:spacing w:after="0" w:line="271" w:lineRule="exact"/>
        <w:rPr>
          <w:sz w:val="20"/>
          <w:szCs w:val="20"/>
          <w:color w:val="auto"/>
        </w:rPr>
      </w:pPr>
    </w:p>
    <w:p>
      <w:pPr>
        <w:ind w:left="1580" w:hanging="792"/>
        <w:spacing w:after="0"/>
        <w:tabs>
          <w:tab w:leader="none" w:pos="1580" w:val="left"/>
        </w:tabs>
        <w:numPr>
          <w:ilvl w:val="0"/>
          <w:numId w:val="255"/>
        </w:numPr>
        <w:rPr>
          <w:rFonts w:ascii="Arial" w:cs="Arial" w:eastAsia="Arial" w:hAnsi="Arial"/>
          <w:sz w:val="20"/>
          <w:szCs w:val="20"/>
          <w:color w:val="auto"/>
        </w:rPr>
      </w:pPr>
      <w:r>
        <w:rPr>
          <w:rFonts w:ascii="Arial" w:cs="Arial" w:eastAsia="Arial" w:hAnsi="Arial"/>
          <w:sz w:val="20"/>
          <w:szCs w:val="20"/>
          <w:u w:val="single" w:color="auto"/>
          <w:color w:val="auto"/>
        </w:rPr>
        <w:t>WAIVER OF JURY TRIAL; GOVERNING LAW; JURISDICTION</w:t>
      </w:r>
    </w:p>
    <w:p>
      <w:pPr>
        <w:spacing w:after="0" w:line="115" w:lineRule="exact"/>
        <w:rPr>
          <w:sz w:val="20"/>
          <w:szCs w:val="20"/>
          <w:color w:val="auto"/>
        </w:rPr>
      </w:pPr>
    </w:p>
    <w:p>
      <w:pPr>
        <w:ind w:right="220" w:firstLine="780"/>
        <w:spacing w:after="0" w:line="248" w:lineRule="auto"/>
        <w:rPr>
          <w:sz w:val="20"/>
          <w:szCs w:val="20"/>
          <w:color w:val="auto"/>
        </w:rPr>
      </w:pPr>
      <w:r>
        <w:rPr>
          <w:rFonts w:ascii="Arial" w:cs="Arial" w:eastAsia="Arial" w:hAnsi="Arial"/>
          <w:sz w:val="20"/>
          <w:szCs w:val="20"/>
          <w:b w:val="1"/>
          <w:bCs w:val="1"/>
          <w:color w:val="auto"/>
        </w:rPr>
        <w:t>EACH OF THE PARENT GUARANTOR AND, BY ITS ACCEPTANCE HEREOF, THE SECURITY TRUSTEE AND EACH OF THE OTHER CREDITORS, HEREBY WAIVES TRIAL BY JURY IN ANY ACTION, PROCEEDING OR COUNTERCLAIM BROUGHT BY ANY PARTY HERETO OR BENEFICIARY HEREOF ON ANY MATTER WHATSOEVER ARISING OUT OF OR IN ANY WAY CONNECTED WITH THIS GUARANTY.</w:t>
      </w:r>
    </w:p>
    <w:p>
      <w:pPr>
        <w:spacing w:after="0" w:line="183" w:lineRule="exact"/>
        <w:rPr>
          <w:sz w:val="20"/>
          <w:szCs w:val="20"/>
          <w:color w:val="auto"/>
        </w:rPr>
      </w:pPr>
    </w:p>
    <w:p>
      <w:pPr>
        <w:ind w:right="40" w:firstLine="780"/>
        <w:spacing w:after="0" w:line="246" w:lineRule="auto"/>
        <w:rPr>
          <w:sz w:val="20"/>
          <w:szCs w:val="20"/>
          <w:color w:val="auto"/>
        </w:rPr>
      </w:pPr>
      <w:r>
        <w:rPr>
          <w:rFonts w:ascii="Arial" w:cs="Arial" w:eastAsia="Arial" w:hAnsi="Arial"/>
          <w:sz w:val="20"/>
          <w:szCs w:val="20"/>
          <w:b w:val="1"/>
          <w:bCs w:val="1"/>
          <w:color w:val="auto"/>
        </w:rPr>
        <w:t>TO THE EXTENT THAT THE PARENT GUARANTOR HAS OR HEREAFTER MAY ACQUIRE ANY IMMUNITY FROM SUIT, JURISDICTION OF ANY COURT OR ANY LEGAL PROCESS (WHETHER THROUGH ATTACHMENT PRIOR TO JUDGMENT, ATTACHMENT IN AID OF EXECUTION, EXECUTION OF A JUDGMENT, OR FROM ANY OTHER LEGAL PROCESS OR REMEDY) WITH RESPECT TO ITSELF OR ITS PROPERTY, THE PARENT GUARANTOR HEREBY IRREVOCABLY WAIVES SUCH IMMUNITY IN RESPECT OF ITS OBLIGATIONS UNDER THIS GUARANTY.</w:t>
      </w:r>
    </w:p>
    <w:p>
      <w:pPr>
        <w:spacing w:after="0" w:line="185" w:lineRule="exact"/>
        <w:rPr>
          <w:sz w:val="20"/>
          <w:szCs w:val="20"/>
          <w:color w:val="auto"/>
        </w:rPr>
      </w:pPr>
    </w:p>
    <w:p>
      <w:pPr>
        <w:ind w:right="520" w:firstLine="780"/>
        <w:spacing w:after="0" w:line="267" w:lineRule="auto"/>
        <w:rPr>
          <w:sz w:val="20"/>
          <w:szCs w:val="20"/>
          <w:color w:val="auto"/>
        </w:rPr>
      </w:pPr>
      <w:r>
        <w:rPr>
          <w:rFonts w:ascii="Arial" w:cs="Arial" w:eastAsia="Arial" w:hAnsi="Arial"/>
          <w:sz w:val="20"/>
          <w:szCs w:val="20"/>
          <w:b w:val="1"/>
          <w:bCs w:val="1"/>
          <w:color w:val="auto"/>
        </w:rPr>
        <w:t>THIS GUARANTY AND ALL RIGHTS, OBLIGATIONS AND LIABILITIES ARISING HEREUNDER SHALL BE CONSTRUED ACCORDING TO THE LAWS OF THE STATE OF NEW YORK.</w:t>
      </w:r>
    </w:p>
    <w:p>
      <w:pPr>
        <w:spacing w:after="0" w:line="169" w:lineRule="exact"/>
        <w:rPr>
          <w:sz w:val="20"/>
          <w:szCs w:val="20"/>
          <w:color w:val="auto"/>
        </w:rPr>
      </w:pPr>
    </w:p>
    <w:p>
      <w:pPr>
        <w:ind w:right="260" w:firstLine="780"/>
        <w:spacing w:after="0" w:line="260" w:lineRule="auto"/>
        <w:rPr>
          <w:sz w:val="20"/>
          <w:szCs w:val="20"/>
          <w:color w:val="auto"/>
        </w:rPr>
      </w:pPr>
      <w:r>
        <w:rPr>
          <w:rFonts w:ascii="Arial" w:cs="Arial" w:eastAsia="Arial" w:hAnsi="Arial"/>
          <w:sz w:val="20"/>
          <w:szCs w:val="20"/>
          <w:color w:val="auto"/>
        </w:rPr>
        <w:t>Unless the context otherwise requires, all terms used herein which are defined in the New York Uniform Commercial Code shall have the meanings therein stated.</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82" w:right="359" w:bottom="1440" w:gutter="0" w:footer="0" w:header="0"/>
        </w:sectPr>
      </w:pPr>
    </w:p>
    <w:bookmarkStart w:id="262" w:name="page263"/>
    <w:bookmarkEnd w:id="262"/>
    <w:p>
      <w:pPr>
        <w:ind w:firstLine="780"/>
        <w:spacing w:after="0" w:line="271" w:lineRule="auto"/>
        <w:rPr>
          <w:sz w:val="20"/>
          <w:szCs w:val="20"/>
          <w:color w:val="auto"/>
        </w:rPr>
      </w:pPr>
      <w:r>
        <w:rPr>
          <w:rFonts w:ascii="Arial" w:cs="Arial" w:eastAsia="Arial" w:hAnsi="Arial"/>
          <w:sz w:val="18"/>
          <w:szCs w:val="18"/>
          <w:color w:val="auto"/>
        </w:rPr>
        <w:t>Any legal action or proceeding against the Guarantor with respect to this Guaranty or the obligations guaranteed hereby may be brought in the courts of the State of New York, United States of America, the United States Federal Courts in such State, or in the courts of any other appropriate jurisdiction, as the Creditors may elect, and the Guarantor hereby irrevocably submits to the jurisdiction of such courts for the purpose of any such action or proceeding. The Guarantor hereby agrees that service of process in any such action or proceeding brought in New York may be made upon it by serving a copy of the summons and other legal process in any such action or proceeding on the Guarantor by mailing or delivering the same by hand to the Guarantor at the address indicated for notices in Section 9 hereof. The service, as herein provided, of such summons or other legal process in any such action or proceeding shall be deemed personal service and accepted by the Guarantor as such, and shall be legal and binding by the Guarantor for all the purposes of any such action or proceeding. In the event that the Guarantor shall not be conveniently available for such service, the Guarantor hereby irrevocably appoints Farkouh, Furman &amp; Faccio, LLP, 460 Park Avenue, New York, NY 10022, Attention: Fred Farkouh as its agent for service of process in respect of the proceeding before such courts (and agrees that service on such agent shall be deemed personal service).</w:t>
      </w:r>
    </w:p>
    <w:p>
      <w:pPr>
        <w:spacing w:after="0" w:line="264" w:lineRule="exact"/>
        <w:rPr>
          <w:sz w:val="20"/>
          <w:szCs w:val="20"/>
          <w:color w:val="auto"/>
        </w:rPr>
      </w:pPr>
    </w:p>
    <w:p>
      <w:pPr>
        <w:ind w:left="1580" w:hanging="792"/>
        <w:spacing w:after="0"/>
        <w:tabs>
          <w:tab w:leader="none" w:pos="1580" w:val="left"/>
        </w:tabs>
        <w:numPr>
          <w:ilvl w:val="0"/>
          <w:numId w:val="256"/>
        </w:numPr>
        <w:rPr>
          <w:rFonts w:ascii="Arial" w:cs="Arial" w:eastAsia="Arial" w:hAnsi="Arial"/>
          <w:sz w:val="20"/>
          <w:szCs w:val="20"/>
          <w:color w:val="auto"/>
        </w:rPr>
      </w:pPr>
      <w:r>
        <w:rPr>
          <w:rFonts w:ascii="Arial" w:cs="Arial" w:eastAsia="Arial" w:hAnsi="Arial"/>
          <w:sz w:val="20"/>
          <w:szCs w:val="20"/>
          <w:u w:val="single" w:color="auto"/>
          <w:color w:val="auto"/>
        </w:rPr>
        <w:t>NOTICES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20"/>
          <w:szCs w:val="20"/>
          <w:color w:val="auto"/>
        </w:rPr>
        <w:t>Notices and other communications hereunder shall be in writing and may be given or made by facsimile as follows:</w:t>
      </w:r>
    </w:p>
    <w:p>
      <w:pPr>
        <w:spacing w:after="0" w:line="216" w:lineRule="exact"/>
        <w:rPr>
          <w:sz w:val="20"/>
          <w:szCs w:val="20"/>
          <w:color w:val="auto"/>
        </w:rPr>
      </w:pPr>
    </w:p>
    <w:p>
      <w:pPr>
        <w:ind w:left="780"/>
        <w:spacing w:after="0"/>
        <w:rPr>
          <w:sz w:val="20"/>
          <w:szCs w:val="20"/>
          <w:color w:val="auto"/>
        </w:rPr>
      </w:pPr>
      <w:r>
        <w:rPr>
          <w:rFonts w:ascii="Arial" w:cs="Arial" w:eastAsia="Arial" w:hAnsi="Arial"/>
          <w:sz w:val="20"/>
          <w:szCs w:val="20"/>
          <w:color w:val="auto"/>
        </w:rPr>
        <w:t>If to the Guarantor:</w:t>
      </w:r>
    </w:p>
    <w:p>
      <w:pPr>
        <w:spacing w:after="0" w:line="211" w:lineRule="exact"/>
        <w:rPr>
          <w:sz w:val="20"/>
          <w:szCs w:val="20"/>
          <w:color w:val="auto"/>
        </w:rPr>
      </w:pPr>
    </w:p>
    <w:p>
      <w:pPr>
        <w:ind w:left="780"/>
        <w:spacing w:after="0"/>
        <w:rPr>
          <w:sz w:val="20"/>
          <w:szCs w:val="20"/>
          <w:color w:val="auto"/>
        </w:rPr>
      </w:pPr>
      <w:r>
        <w:rPr>
          <w:rFonts w:ascii="Arial" w:cs="Arial" w:eastAsia="Arial" w:hAnsi="Arial"/>
          <w:sz w:val="20"/>
          <w:szCs w:val="20"/>
          <w:color w:val="auto"/>
        </w:rPr>
        <w:t xml:space="preserve">c/o </w:t>
      </w:r>
      <w:r>
        <w:rPr>
          <w:rFonts w:ascii="Arial" w:cs="Arial" w:eastAsia="Arial" w:hAnsi="Arial"/>
          <w:sz w:val="21"/>
          <w:szCs w:val="21"/>
          <w:color w:val="auto"/>
        </w:rPr>
        <w:t>SEACOR Marine Holdings Inc. 12121 Wickchester Lane</w:t>
      </w:r>
    </w:p>
    <w:p>
      <w:pPr>
        <w:spacing w:after="0" w:line="10" w:lineRule="exact"/>
        <w:rPr>
          <w:sz w:val="20"/>
          <w:szCs w:val="20"/>
          <w:color w:val="auto"/>
        </w:rPr>
      </w:pPr>
    </w:p>
    <w:p>
      <w:pPr>
        <w:ind w:left="780"/>
        <w:spacing w:after="0"/>
        <w:rPr>
          <w:sz w:val="20"/>
          <w:szCs w:val="20"/>
          <w:color w:val="auto"/>
        </w:rPr>
      </w:pPr>
      <w:r>
        <w:rPr>
          <w:rFonts w:ascii="Arial" w:cs="Arial" w:eastAsia="Arial" w:hAnsi="Arial"/>
          <w:sz w:val="22"/>
          <w:szCs w:val="22"/>
          <w:color w:val="auto"/>
        </w:rPr>
        <w:t>Suite 500</w:t>
      </w:r>
    </w:p>
    <w:p>
      <w:pPr>
        <w:ind w:left="780"/>
        <w:spacing w:after="0" w:line="230" w:lineRule="auto"/>
        <w:rPr>
          <w:sz w:val="20"/>
          <w:szCs w:val="20"/>
          <w:color w:val="auto"/>
        </w:rPr>
      </w:pPr>
      <w:r>
        <w:rPr>
          <w:rFonts w:ascii="Arial" w:cs="Arial" w:eastAsia="Arial" w:hAnsi="Arial"/>
          <w:sz w:val="22"/>
          <w:szCs w:val="22"/>
          <w:color w:val="auto"/>
        </w:rPr>
        <w:t>Houston, Texas 77079</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22"/>
          <w:szCs w:val="22"/>
          <w:color w:val="auto"/>
        </w:rPr>
        <w:t>Facsimile No: (346) 589 0255 Attention: Legal Department</w:t>
      </w:r>
    </w:p>
    <w:p>
      <w:pPr>
        <w:spacing w:after="0" w:line="193" w:lineRule="exact"/>
        <w:rPr>
          <w:sz w:val="20"/>
          <w:szCs w:val="20"/>
          <w:color w:val="auto"/>
        </w:rPr>
      </w:pPr>
    </w:p>
    <w:p>
      <w:pPr>
        <w:ind w:left="780"/>
        <w:spacing w:after="0"/>
        <w:rPr>
          <w:sz w:val="20"/>
          <w:szCs w:val="20"/>
          <w:color w:val="auto"/>
        </w:rPr>
      </w:pPr>
      <w:r>
        <w:rPr>
          <w:rFonts w:ascii="Arial" w:cs="Arial" w:eastAsia="Arial" w:hAnsi="Arial"/>
          <w:sz w:val="20"/>
          <w:szCs w:val="20"/>
          <w:color w:val="auto"/>
        </w:rPr>
        <w:t>If to the Administrative Agent or Security Trustee:</w:t>
      </w:r>
    </w:p>
    <w:p>
      <w:pPr>
        <w:spacing w:after="0" w:line="216" w:lineRule="exact"/>
        <w:rPr>
          <w:sz w:val="20"/>
          <w:szCs w:val="20"/>
          <w:color w:val="auto"/>
        </w:rPr>
      </w:pPr>
    </w:p>
    <w:p>
      <w:pPr>
        <w:ind w:left="780"/>
        <w:spacing w:after="0"/>
        <w:rPr>
          <w:sz w:val="20"/>
          <w:szCs w:val="20"/>
          <w:color w:val="auto"/>
        </w:rPr>
      </w:pPr>
      <w:r>
        <w:rPr>
          <w:rFonts w:ascii="Arial" w:cs="Arial" w:eastAsia="Arial" w:hAnsi="Arial"/>
          <w:sz w:val="20"/>
          <w:szCs w:val="20"/>
          <w:color w:val="auto"/>
        </w:rPr>
        <w:t>DNB BANK ASA, New York Branch</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20"/>
          <w:szCs w:val="20"/>
          <w:color w:val="auto"/>
        </w:rPr>
        <w:t>30 Hudson Yards,</w:t>
      </w:r>
    </w:p>
    <w:p>
      <w:pPr>
        <w:ind w:left="780"/>
        <w:spacing w:after="0"/>
        <w:rPr>
          <w:sz w:val="20"/>
          <w:szCs w:val="20"/>
          <w:color w:val="auto"/>
        </w:rPr>
      </w:pPr>
      <w:r>
        <w:rPr>
          <w:rFonts w:ascii="Arial" w:cs="Arial" w:eastAsia="Arial" w:hAnsi="Arial"/>
          <w:sz w:val="20"/>
          <w:szCs w:val="20"/>
          <w:color w:val="auto"/>
        </w:rPr>
        <w:t>81</w:t>
      </w:r>
      <w:r>
        <w:rPr>
          <w:rFonts w:ascii="Arial" w:cs="Arial" w:eastAsia="Arial" w:hAnsi="Arial"/>
          <w:sz w:val="16"/>
          <w:szCs w:val="16"/>
          <w:color w:val="auto"/>
        </w:rPr>
        <w:t>st</w:t>
      </w:r>
      <w:r>
        <w:rPr>
          <w:rFonts w:ascii="Arial" w:cs="Arial" w:eastAsia="Arial" w:hAnsi="Arial"/>
          <w:sz w:val="20"/>
          <w:szCs w:val="20"/>
          <w:color w:val="auto"/>
        </w:rPr>
        <w:t xml:space="preserve"> Floor New York, New York 10001</w:t>
      </w:r>
    </w:p>
    <w:p>
      <w:pPr>
        <w:ind w:left="780"/>
        <w:spacing w:after="0"/>
        <w:rPr>
          <w:sz w:val="20"/>
          <w:szCs w:val="20"/>
          <w:color w:val="auto"/>
        </w:rPr>
      </w:pPr>
      <w:r>
        <w:rPr>
          <w:rFonts w:ascii="Arial" w:cs="Arial" w:eastAsia="Arial" w:hAnsi="Arial"/>
          <w:sz w:val="20"/>
          <w:szCs w:val="20"/>
          <w:color w:val="auto"/>
        </w:rPr>
        <w:t>Attn: Mr. Andreas Hundven</w:t>
      </w:r>
    </w:p>
    <w:p>
      <w:pPr>
        <w:ind w:left="780"/>
        <w:spacing w:after="0"/>
        <w:rPr>
          <w:sz w:val="20"/>
          <w:szCs w:val="20"/>
          <w:color w:val="auto"/>
        </w:rPr>
      </w:pPr>
      <w:r>
        <w:rPr>
          <w:rFonts w:ascii="Arial" w:cs="Arial" w:eastAsia="Arial" w:hAnsi="Arial"/>
          <w:sz w:val="20"/>
          <w:szCs w:val="20"/>
          <w:color w:val="auto"/>
        </w:rPr>
        <w:t>Facsimile No.: (212) 681-3900</w:t>
      </w:r>
    </w:p>
    <w:p>
      <w:pPr>
        <w:spacing w:after="0" w:line="200" w:lineRule="exact"/>
        <w:rPr>
          <w:sz w:val="20"/>
          <w:szCs w:val="20"/>
          <w:color w:val="auto"/>
        </w:rPr>
      </w:pPr>
    </w:p>
    <w:p>
      <w:pPr>
        <w:ind w:right="740" w:firstLine="780"/>
        <w:spacing w:after="0" w:line="260" w:lineRule="auto"/>
        <w:rPr>
          <w:sz w:val="20"/>
          <w:szCs w:val="20"/>
          <w:color w:val="auto"/>
        </w:rPr>
      </w:pPr>
      <w:r>
        <w:rPr>
          <w:rFonts w:ascii="Arial" w:cs="Arial" w:eastAsia="Arial" w:hAnsi="Arial"/>
          <w:sz w:val="20"/>
          <w:szCs w:val="20"/>
          <w:color w:val="auto"/>
        </w:rPr>
        <w:t>or to such other address as any party shall from time to time specify in writing. Any notice sent by facsimile shall be confirmed by letter dispatched as soon as practicable thereafter.</w:t>
      </w:r>
    </w:p>
    <w:p>
      <w:pPr>
        <w:spacing w:after="0" w:line="177" w:lineRule="exact"/>
        <w:rPr>
          <w:sz w:val="20"/>
          <w:szCs w:val="20"/>
          <w:color w:val="auto"/>
        </w:rPr>
      </w:pPr>
    </w:p>
    <w:p>
      <w:pPr>
        <w:jc w:val="both"/>
        <w:ind w:right="280" w:firstLine="780"/>
        <w:spacing w:after="0" w:line="282" w:lineRule="auto"/>
        <w:rPr>
          <w:sz w:val="20"/>
          <w:szCs w:val="20"/>
          <w:color w:val="auto"/>
        </w:rPr>
      </w:pPr>
      <w:r>
        <w:rPr>
          <w:rFonts w:ascii="Arial" w:cs="Arial" w:eastAsia="Arial" w:hAnsi="Arial"/>
          <w:sz w:val="18"/>
          <w:szCs w:val="18"/>
          <w:color w:val="auto"/>
        </w:rPr>
        <w:t>Every notice or demand shall, except so far as otherwise expressly provided by this Guaranty, be deemed to have been received (provided that it is received prior to 2 p.m. New York time), in the case of a facsimile, on the date of dispatch thereof (provided that if the date of dispatch is not a Banking Day in the locality of the party to whom such notice or communication is sent it shall be deemed to have been received on the next following Banking Day in such locality), in the case of a letter, at the time of receipt thereof.</w:t>
      </w:r>
    </w:p>
    <w:p>
      <w:pPr>
        <w:spacing w:after="0" w:line="256" w:lineRule="exact"/>
        <w:rPr>
          <w:sz w:val="20"/>
          <w:szCs w:val="20"/>
          <w:color w:val="auto"/>
        </w:rPr>
      </w:pPr>
    </w:p>
    <w:p>
      <w:pPr>
        <w:ind w:left="1680" w:hanging="892"/>
        <w:spacing w:after="0"/>
        <w:tabs>
          <w:tab w:leader="none" w:pos="1680" w:val="left"/>
        </w:tabs>
        <w:numPr>
          <w:ilvl w:val="0"/>
          <w:numId w:val="257"/>
        </w:numPr>
        <w:rPr>
          <w:rFonts w:ascii="Arial" w:cs="Arial" w:eastAsia="Arial" w:hAnsi="Arial"/>
          <w:sz w:val="20"/>
          <w:szCs w:val="20"/>
          <w:color w:val="auto"/>
        </w:rPr>
      </w:pPr>
      <w:r>
        <w:rPr>
          <w:rFonts w:ascii="Arial" w:cs="Arial" w:eastAsia="Arial" w:hAnsi="Arial"/>
          <w:sz w:val="20"/>
          <w:szCs w:val="20"/>
          <w:u w:val="single" w:color="auto"/>
          <w:color w:val="auto"/>
        </w:rPr>
        <w:t>CEA ELIGIBLE CONTRACT PARTICIPANT</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82" w:right="379" w:bottom="1440" w:gutter="0" w:footer="0" w:header="0"/>
        </w:sectPr>
      </w:pPr>
    </w:p>
    <w:bookmarkStart w:id="263" w:name="page264"/>
    <w:bookmarkEnd w:id="263"/>
    <w:p>
      <w:pPr>
        <w:ind w:firstLine="780"/>
        <w:spacing w:after="0" w:line="246" w:lineRule="auto"/>
        <w:rPr>
          <w:sz w:val="20"/>
          <w:szCs w:val="20"/>
          <w:color w:val="auto"/>
        </w:rPr>
      </w:pPr>
      <w:r>
        <w:rPr>
          <w:rFonts w:ascii="Arial" w:cs="Arial" w:eastAsia="Arial" w:hAnsi="Arial"/>
          <w:sz w:val="20"/>
          <w:szCs w:val="20"/>
          <w:color w:val="auto"/>
        </w:rPr>
        <w:t>Notwithstanding anything to the contrary in any Transaction Document, the Guarantor shall not be deemed to guarantee, become jointly and severally obligated for or pledge assets in support of a “swap,” as defined in Section 1(a)(47) of the Commodity Exchange Act (“CEA”), of any Credit Party if at the time that swap is entered into, the Guarantor is not an “eligible contract participant” as defined in Section 1(a)(18) of the CEA.</w:t>
      </w:r>
    </w:p>
    <w:p>
      <w:pPr>
        <w:spacing w:after="0" w:line="286" w:lineRule="exact"/>
        <w:rPr>
          <w:sz w:val="20"/>
          <w:szCs w:val="20"/>
          <w:color w:val="auto"/>
        </w:rPr>
      </w:pPr>
    </w:p>
    <w:p>
      <w:pPr>
        <w:ind w:left="1680" w:hanging="892"/>
        <w:spacing w:after="0"/>
        <w:tabs>
          <w:tab w:leader="none" w:pos="1680" w:val="left"/>
        </w:tabs>
        <w:numPr>
          <w:ilvl w:val="0"/>
          <w:numId w:val="258"/>
        </w:numPr>
        <w:rPr>
          <w:rFonts w:ascii="Arial" w:cs="Arial" w:eastAsia="Arial" w:hAnsi="Arial"/>
          <w:sz w:val="20"/>
          <w:szCs w:val="20"/>
          <w:color w:val="auto"/>
        </w:rPr>
      </w:pPr>
      <w:r>
        <w:rPr>
          <w:rFonts w:ascii="Arial" w:cs="Arial" w:eastAsia="Arial" w:hAnsi="Arial"/>
          <w:sz w:val="20"/>
          <w:szCs w:val="20"/>
          <w:u w:val="single" w:color="auto"/>
          <w:color w:val="auto"/>
        </w:rPr>
        <w:t>HEADINGS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9"/>
          <w:szCs w:val="19"/>
          <w:color w:val="auto"/>
        </w:rPr>
        <w:t>In this Guaranty, Section headings are inserted for convenience of reference only and shall be ignored in the interpretation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hereof.</w:t>
      </w: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582" w:right="479" w:bottom="1440" w:gutter="0" w:footer="0" w:header="0"/>
        </w:sectPr>
      </w:pPr>
    </w:p>
    <w:bookmarkStart w:id="264" w:name="page265"/>
    <w:bookmarkEnd w:id="264"/>
    <w:p>
      <w:pPr>
        <w:ind w:left="360"/>
        <w:spacing w:after="0"/>
        <w:rPr>
          <w:sz w:val="20"/>
          <w:szCs w:val="20"/>
          <w:color w:val="auto"/>
        </w:rPr>
      </w:pPr>
      <w:r>
        <w:rPr>
          <w:rFonts w:ascii="Arial" w:cs="Arial" w:eastAsia="Arial" w:hAnsi="Arial"/>
          <w:sz w:val="18"/>
          <w:szCs w:val="18"/>
          <w:color w:val="auto"/>
        </w:rPr>
        <w:t>IN WITNESS WHEREOF, this Guaranty has been duly executed by the Guarantor as of the day of December, 2021.</w:t>
      </w:r>
    </w:p>
    <w:p>
      <w:pPr>
        <w:spacing w:after="0" w:line="252"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SEACOR MARINE HOLDINGS INC.</w:t>
      </w:r>
    </w:p>
    <w:p>
      <w:pPr>
        <w:spacing w:after="0" w:line="13"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By:</w:t>
      </w:r>
    </w:p>
    <w:p>
      <w:pPr>
        <w:spacing w:after="0" w:line="3"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-157480</wp:posOffset>
            </wp:positionV>
            <wp:extent cx="252031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8">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ind w:left="5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SMHI Guaranty]</w:t>
      </w:r>
    </w:p>
    <w:p>
      <w:pPr>
        <w:sectPr>
          <w:pgSz w:w="11900" w:h="16838" w:orient="portrait"/>
          <w:cols w:equalWidth="0" w:num="1">
            <w:col w:w="9780"/>
          </w:cols>
          <w:pgMar w:left="740" w:top="582" w:right="1379" w:bottom="1440" w:gutter="0" w:footer="0" w:header="0"/>
        </w:sectPr>
      </w:pPr>
    </w:p>
    <w:bookmarkStart w:id="265" w:name="page266"/>
    <w:bookmarkEnd w:id="265"/>
    <w:p>
      <w:pPr>
        <w:jc w:val="right"/>
        <w:spacing w:after="0"/>
        <w:rPr>
          <w:sz w:val="20"/>
          <w:szCs w:val="20"/>
          <w:color w:val="auto"/>
        </w:rPr>
      </w:pPr>
      <w:r>
        <w:rPr>
          <w:rFonts w:ascii="Arial" w:cs="Arial" w:eastAsia="Arial" w:hAnsi="Arial"/>
          <w:sz w:val="20"/>
          <w:szCs w:val="20"/>
          <w:b w:val="1"/>
          <w:bCs w:val="1"/>
          <w:color w:val="auto"/>
        </w:rPr>
        <w:t>Exhibit 10.38</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VERISON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156210</wp:posOffset>
            </wp:positionV>
            <wp:extent cx="71323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173355</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GUARANTY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940"/>
        <w:spacing w:after="0"/>
        <w:rPr>
          <w:sz w:val="20"/>
          <w:szCs w:val="20"/>
          <w:color w:val="auto"/>
        </w:rPr>
      </w:pPr>
      <w:r>
        <w:rPr>
          <w:rFonts w:ascii="Arial" w:cs="Arial" w:eastAsia="Arial" w:hAnsi="Arial"/>
          <w:sz w:val="20"/>
          <w:szCs w:val="20"/>
          <w:color w:val="auto"/>
        </w:rPr>
        <w:t>SEACOR MARINE HOLDINGS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in favor of</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DNB BANK ASA, NEW YORK BRANCH,</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Security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411480</wp:posOffset>
            </wp:positionV>
            <wp:extent cx="71323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631825</wp:posOffset>
            </wp:positionV>
            <wp:extent cx="71748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266" w:name="page267"/>
    <w:bookmarkEnd w:id="266"/>
    <w:p>
      <w:pPr>
        <w:jc w:val="center"/>
        <w:spacing w:after="0"/>
        <w:rPr>
          <w:sz w:val="20"/>
          <w:szCs w:val="20"/>
          <w:color w:val="auto"/>
        </w:rPr>
      </w:pPr>
      <w:r>
        <w:rPr>
          <w:rFonts w:ascii="Arial" w:cs="Arial" w:eastAsia="Arial" w:hAnsi="Arial"/>
          <w:sz w:val="20"/>
          <w:szCs w:val="20"/>
          <w:u w:val="single" w:color="auto"/>
          <w:color w:val="auto"/>
        </w:rPr>
        <w:t>GUARANTY</w:t>
      </w:r>
    </w:p>
    <w:p>
      <w:pPr>
        <w:spacing w:after="0" w:line="216" w:lineRule="exact"/>
        <w:rPr>
          <w:sz w:val="20"/>
          <w:szCs w:val="20"/>
          <w:color w:val="auto"/>
        </w:rPr>
      </w:pPr>
    </w:p>
    <w:p>
      <w:pPr>
        <w:jc w:val="both"/>
        <w:ind w:right="20" w:firstLine="864"/>
        <w:spacing w:after="0" w:line="246" w:lineRule="auto"/>
        <w:rPr>
          <w:sz w:val="20"/>
          <w:szCs w:val="20"/>
          <w:color w:val="auto"/>
        </w:rPr>
      </w:pPr>
      <w:r>
        <w:rPr>
          <w:rFonts w:ascii="Arial" w:cs="Arial" w:eastAsia="Arial" w:hAnsi="Arial"/>
          <w:sz w:val="20"/>
          <w:szCs w:val="20"/>
          <w:color w:val="auto"/>
        </w:rPr>
        <w:t>This GUARANTY (this “</w:t>
      </w:r>
      <w:r>
        <w:rPr>
          <w:rFonts w:ascii="Arial" w:cs="Arial" w:eastAsia="Arial" w:hAnsi="Arial"/>
          <w:sz w:val="20"/>
          <w:szCs w:val="20"/>
          <w:u w:val="single" w:color="auto"/>
          <w:color w:val="auto"/>
        </w:rPr>
        <w:t>Guaranty</w:t>
      </w:r>
      <w:r>
        <w:rPr>
          <w:rFonts w:ascii="Arial" w:cs="Arial" w:eastAsia="Arial" w:hAnsi="Arial"/>
          <w:sz w:val="20"/>
          <w:szCs w:val="20"/>
          <w:color w:val="auto"/>
        </w:rPr>
        <w:t>”), dated as of December 31, 2021, is made by SEACOR MARINE HOLDINGS INC., a corporation incorporated and existing under the laws of the State of Delaware (the “</w:t>
      </w:r>
      <w:r>
        <w:rPr>
          <w:rFonts w:ascii="Arial" w:cs="Arial" w:eastAsia="Arial" w:hAnsi="Arial"/>
          <w:sz w:val="20"/>
          <w:szCs w:val="20"/>
          <w:u w:val="single" w:color="auto"/>
          <w:color w:val="auto"/>
        </w:rPr>
        <w:t>Guarantor</w:t>
      </w:r>
      <w:r>
        <w:rPr>
          <w:rFonts w:ascii="Arial" w:cs="Arial" w:eastAsia="Arial" w:hAnsi="Arial"/>
          <w:sz w:val="20"/>
          <w:szCs w:val="20"/>
          <w:color w:val="auto"/>
        </w:rPr>
        <w:t>”), in favor of DNB BANK ASA, New York Branch, a corporation organized under the laws of the Kingdom of Norway (“</w:t>
      </w:r>
      <w:r>
        <w:rPr>
          <w:rFonts w:ascii="Arial" w:cs="Arial" w:eastAsia="Arial" w:hAnsi="Arial"/>
          <w:sz w:val="20"/>
          <w:szCs w:val="20"/>
          <w:u w:val="single" w:color="auto"/>
          <w:color w:val="auto"/>
        </w:rPr>
        <w:t>DNB</w:t>
      </w:r>
      <w:r>
        <w:rPr>
          <w:rFonts w:ascii="Arial" w:cs="Arial" w:eastAsia="Arial" w:hAnsi="Arial"/>
          <w:sz w:val="20"/>
          <w:szCs w:val="20"/>
          <w:color w:val="auto"/>
        </w:rPr>
        <w:t>”), as security trustee for the Creditors under the Credit Agreement referred to in Recital (A) below.</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 THAT: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WHEREAS:</w:t>
      </w:r>
    </w:p>
    <w:p>
      <w:pPr>
        <w:spacing w:after="0" w:line="229" w:lineRule="exact"/>
        <w:rPr>
          <w:sz w:val="20"/>
          <w:szCs w:val="20"/>
          <w:color w:val="auto"/>
        </w:rPr>
      </w:pPr>
    </w:p>
    <w:p>
      <w:pPr>
        <w:jc w:val="both"/>
        <w:ind w:firstLine="872"/>
        <w:spacing w:after="0" w:line="268" w:lineRule="auto"/>
        <w:tabs>
          <w:tab w:leader="none" w:pos="1811" w:val="left"/>
        </w:tabs>
        <w:numPr>
          <w:ilvl w:val="0"/>
          <w:numId w:val="259"/>
        </w:numPr>
        <w:rPr>
          <w:rFonts w:ascii="Arial" w:cs="Arial" w:eastAsia="Arial" w:hAnsi="Arial"/>
          <w:sz w:val="19"/>
          <w:szCs w:val="19"/>
          <w:color w:val="auto"/>
        </w:rPr>
      </w:pPr>
      <w:r>
        <w:rPr>
          <w:rFonts w:ascii="Arial" w:cs="Arial" w:eastAsia="Arial" w:hAnsi="Arial"/>
          <w:sz w:val="18"/>
          <w:szCs w:val="18"/>
          <w:color w:val="auto"/>
        </w:rPr>
        <w:t xml:space="preserve">Pursuant to that certain amended and restated senior secured term loan credit facility agreement dated as of September 28, 2018, as amended by that certain amendment no. 1 thereto dated as of February 14, 2019, as further amended by that certain amendment no. 2 thereto dated as of June 17, 2019, as further amended by that certain amendment no. 3 thereto dated as of December 23, 2019, as further amended by that certain amendment no. 4 thereto dated as of March 25, 2021, as further amended by that certain amendment no. 5 thereto dated as of September 28, 2021, as further amended by that certain amendment no. 6 thereto dated as of November 30, 2021 and as amended and restated by that certain amendment no. 7 thereto dated as of December 31, 2021(the form of the second amended and restated credit facility agreement being attached as Annex A to amendment no. 7) (as amended and amended and restated, and as may be further amended, amended and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entered into by and among, inter alios, (1) SEACOR OFFSHORE OSV LLC, SEACOR BRAVE LLC, SEACOR CHIEF LLC, SEACOR COURAGEOUS LLC, SEACOR FEARLESS LLC, and SEACOR RESOLUTE LLC, each a limited liability company organized and existing under the laws of the State of Delaware, as joint and several borrowers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Borrower</w:t>
      </w:r>
      <w:r>
        <w:rPr>
          <w:rFonts w:ascii="Arial" w:cs="Arial" w:eastAsia="Arial" w:hAnsi="Arial"/>
          <w:sz w:val="18"/>
          <w:szCs w:val="18"/>
          <w:color w:val="auto"/>
        </w:rPr>
        <w:t>”), (2) the banks and financial institutions listed on Schedule I of the Credit Facility Agreement, as lenders (together with any bank or financial institution which becomes a Lender pursuant to Section 10 of the Credit Facility Agreement, the “</w:t>
      </w:r>
      <w:r>
        <w:rPr>
          <w:rFonts w:ascii="Arial" w:cs="Arial" w:eastAsia="Arial" w:hAnsi="Arial"/>
          <w:sz w:val="18"/>
          <w:szCs w:val="18"/>
          <w:u w:val="single" w:color="auto"/>
          <w:color w:val="auto"/>
        </w:rPr>
        <w:t>Lenders</w:t>
      </w:r>
      <w:r>
        <w:rPr>
          <w:rFonts w:ascii="Arial" w:cs="Arial" w:eastAsia="Arial" w:hAnsi="Arial"/>
          <w:sz w:val="18"/>
          <w:szCs w:val="18"/>
          <w:color w:val="auto"/>
        </w:rPr>
        <w:t>” and each a “</w:t>
      </w:r>
      <w:r>
        <w:rPr>
          <w:rFonts w:ascii="Arial" w:cs="Arial" w:eastAsia="Arial" w:hAnsi="Arial"/>
          <w:sz w:val="18"/>
          <w:szCs w:val="18"/>
          <w:u w:val="single" w:color="auto"/>
          <w:color w:val="auto"/>
        </w:rPr>
        <w:t>Lender</w:t>
      </w:r>
      <w:r>
        <w:rPr>
          <w:rFonts w:ascii="Arial" w:cs="Arial" w:eastAsia="Arial" w:hAnsi="Arial"/>
          <w:sz w:val="18"/>
          <w:szCs w:val="18"/>
          <w:color w:val="auto"/>
        </w:rPr>
        <w:t>”), (3) DNB MARKETS, INC., as bookrunner and mandated lead arranger, (4) DNB,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as security trustee (in such capacity, the “</w:t>
      </w:r>
      <w:r>
        <w:rPr>
          <w:rFonts w:ascii="Arial" w:cs="Arial" w:eastAsia="Arial" w:hAnsi="Arial"/>
          <w:sz w:val="18"/>
          <w:szCs w:val="18"/>
          <w:u w:val="single" w:color="auto"/>
          <w:color w:val="auto"/>
        </w:rPr>
        <w:t>Security Trustee</w:t>
      </w:r>
      <w:r>
        <w:rPr>
          <w:rFonts w:ascii="Arial" w:cs="Arial" w:eastAsia="Arial" w:hAnsi="Arial"/>
          <w:sz w:val="18"/>
          <w:szCs w:val="18"/>
          <w:color w:val="auto"/>
        </w:rPr>
        <w:t>”), and (5) COMERICA BANK, as facility agent, the Lenders agreed to provide to the Borrowers, on a joint and several basis, a secured term loan facility in the amount of up to Twenty Seven Million Two Hundred Seventy One Thousand Seven Hundred Twelve Dollars and 59 Hundredths ($27,271,712.59) (the “</w:t>
      </w:r>
      <w:r>
        <w:rPr>
          <w:rFonts w:ascii="Arial" w:cs="Arial" w:eastAsia="Arial" w:hAnsi="Arial"/>
          <w:sz w:val="18"/>
          <w:szCs w:val="18"/>
          <w:u w:val="single" w:color="auto"/>
          <w:color w:val="auto"/>
        </w:rPr>
        <w:t>Loan</w:t>
      </w:r>
      <w:r>
        <w:rPr>
          <w:rFonts w:ascii="Arial" w:cs="Arial" w:eastAsia="Arial" w:hAnsi="Arial"/>
          <w:sz w:val="18"/>
          <w:szCs w:val="18"/>
          <w:color w:val="auto"/>
        </w:rPr>
        <w:t>”), of which amount Eighteen Million Fifty Two Thousand Three Hundred Eleven Dollars and Eighty Hundredths ($18,052,311.80) remains outstanding as of the date hereof; and</w:t>
      </w:r>
    </w:p>
    <w:p>
      <w:pPr>
        <w:spacing w:after="0" w:line="187" w:lineRule="exact"/>
        <w:rPr>
          <w:rFonts w:ascii="Arial" w:cs="Arial" w:eastAsia="Arial" w:hAnsi="Arial"/>
          <w:sz w:val="19"/>
          <w:szCs w:val="19"/>
          <w:color w:val="auto"/>
        </w:rPr>
      </w:pPr>
    </w:p>
    <w:p>
      <w:pPr>
        <w:ind w:firstLine="872"/>
        <w:spacing w:after="0" w:line="238" w:lineRule="auto"/>
        <w:tabs>
          <w:tab w:leader="none" w:pos="1800" w:val="left"/>
        </w:tabs>
        <w:numPr>
          <w:ilvl w:val="0"/>
          <w:numId w:val="259"/>
        </w:numPr>
        <w:rPr>
          <w:rFonts w:ascii="Arial" w:cs="Arial" w:eastAsia="Arial" w:hAnsi="Arial"/>
          <w:sz w:val="22"/>
          <w:szCs w:val="22"/>
          <w:color w:val="auto"/>
        </w:rPr>
      </w:pPr>
      <w:r>
        <w:rPr>
          <w:rFonts w:ascii="Arial" w:cs="Arial" w:eastAsia="Arial" w:hAnsi="Arial"/>
          <w:sz w:val="20"/>
          <w:szCs w:val="20"/>
          <w:color w:val="auto"/>
        </w:rPr>
        <w:t>It is a condition under the Credit Agreement that the Guarantor enter into this Guaranty and otherwise agree to be bound by the terms of this Guaranty.</w:t>
      </w:r>
    </w:p>
    <w:p>
      <w:pPr>
        <w:spacing w:after="0" w:line="196"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NOW, THEREFORE, in consideration of the premises and for other good and valuable consideration, the receipt and adequacy of which the Guarantor hereby acknowledges, the Guarantor hereby agrees as follows:</w:t>
      </w:r>
    </w:p>
    <w:p>
      <w:pPr>
        <w:spacing w:after="0" w:line="177" w:lineRule="exact"/>
        <w:rPr>
          <w:sz w:val="20"/>
          <w:szCs w:val="20"/>
          <w:color w:val="auto"/>
        </w:rPr>
      </w:pPr>
    </w:p>
    <w:p>
      <w:pPr>
        <w:ind w:left="1660" w:hanging="788"/>
        <w:spacing w:after="0"/>
        <w:tabs>
          <w:tab w:leader="none" w:pos="1660" w:val="left"/>
        </w:tabs>
        <w:numPr>
          <w:ilvl w:val="0"/>
          <w:numId w:val="260"/>
        </w:numPr>
        <w:rPr>
          <w:rFonts w:ascii="Arial" w:cs="Arial" w:eastAsia="Arial" w:hAnsi="Arial"/>
          <w:sz w:val="20"/>
          <w:szCs w:val="20"/>
          <w:color w:val="auto"/>
        </w:rPr>
      </w:pPr>
      <w:r>
        <w:rPr>
          <w:rFonts w:ascii="Arial" w:cs="Arial" w:eastAsia="Arial" w:hAnsi="Arial"/>
          <w:sz w:val="20"/>
          <w:szCs w:val="20"/>
          <w:u w:val="single" w:color="auto"/>
          <w:color w:val="auto"/>
        </w:rPr>
        <w:t>DEFINITIONS</w:t>
      </w:r>
    </w:p>
    <w:p>
      <w:pPr>
        <w:spacing w:after="0" w:line="216" w:lineRule="exact"/>
        <w:rPr>
          <w:sz w:val="20"/>
          <w:szCs w:val="20"/>
          <w:color w:val="auto"/>
        </w:rPr>
      </w:pPr>
    </w:p>
    <w:p>
      <w:pPr>
        <w:ind w:left="1740"/>
        <w:spacing w:after="0"/>
        <w:tabs>
          <w:tab w:leader="none" w:pos="26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u w:val="single" w:color="auto"/>
          <w:color w:val="auto"/>
        </w:rPr>
        <w:t>Specific Definitions</w:t>
      </w:r>
      <w:r>
        <w:rPr>
          <w:rFonts w:ascii="Arial" w:cs="Arial" w:eastAsia="Arial" w:hAnsi="Arial"/>
          <w:sz w:val="18"/>
          <w:szCs w:val="18"/>
          <w:color w:val="auto"/>
        </w:rPr>
        <w:t>. In this Guaranty, unless the context otherwise requires:</w:t>
      </w:r>
    </w:p>
    <w:p>
      <w:pPr>
        <w:spacing w:after="0" w:line="216" w:lineRule="exact"/>
        <w:rPr>
          <w:sz w:val="20"/>
          <w:szCs w:val="20"/>
          <w:color w:val="auto"/>
        </w:rPr>
      </w:pPr>
    </w:p>
    <w:p>
      <w:pPr>
        <w:jc w:val="both"/>
        <w:ind w:left="880"/>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September 2018 Credit Agreement</w:t>
      </w:r>
      <w:r>
        <w:rPr>
          <w:rFonts w:ascii="Arial" w:cs="Arial" w:eastAsia="Arial" w:hAnsi="Arial"/>
          <w:sz w:val="20"/>
          <w:szCs w:val="20"/>
          <w:color w:val="auto"/>
        </w:rPr>
        <w:t xml:space="preserve">” means that certain credit agreement dated as of September 26, 2018 made by and among, </w:t>
      </w:r>
      <w:r>
        <w:rPr>
          <w:rFonts w:ascii="Arial" w:cs="Arial" w:eastAsia="Arial" w:hAnsi="Arial"/>
          <w:sz w:val="20"/>
          <w:szCs w:val="20"/>
          <w:i w:val="1"/>
          <w:iCs w:val="1"/>
          <w:color w:val="auto"/>
        </w:rPr>
        <w:t>inter alios</w:t>
      </w:r>
      <w:r>
        <w:rPr>
          <w:rFonts w:ascii="Arial" w:cs="Arial" w:eastAsia="Arial" w:hAnsi="Arial"/>
          <w:sz w:val="20"/>
          <w:szCs w:val="20"/>
          <w:color w:val="auto"/>
        </w:rPr>
        <w:t>, (i) SEACOR Marine Foreign Holdings Inc. (“SMFH”), a corporation incorporated and existing under the laws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Republic of the Marshall Islands, as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SK 00382 0203 9123836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67" w:name="page268"/>
    <w:bookmarkEnd w:id="267"/>
    <w:p>
      <w:pPr>
        <w:jc w:val="both"/>
        <w:ind w:left="880"/>
        <w:spacing w:after="0" w:line="244" w:lineRule="auto"/>
        <w:rPr>
          <w:sz w:val="20"/>
          <w:szCs w:val="20"/>
          <w:color w:val="auto"/>
        </w:rPr>
      </w:pPr>
      <w:r>
        <w:rPr>
          <w:rFonts w:ascii="Arial" w:cs="Arial" w:eastAsia="Arial" w:hAnsi="Arial"/>
          <w:sz w:val="20"/>
          <w:szCs w:val="20"/>
          <w:color w:val="auto"/>
        </w:rPr>
        <w:t xml:space="preserve">borrower, (ii) DNB, as facility agent and security trustee and (iii) the financial institutions identified on Schedule 1 thereto (together with any bank or financial institution which becomes a lender pursuant to Section 10 of the Credit Agreement), as lenders (the “SMFH </w:t>
      </w:r>
      <w:r>
        <w:rPr>
          <w:rFonts w:ascii="Arial" w:cs="Arial" w:eastAsia="Arial" w:hAnsi="Arial"/>
          <w:sz w:val="20"/>
          <w:szCs w:val="20"/>
          <w:u w:val="single" w:color="auto"/>
          <w:color w:val="auto"/>
        </w:rPr>
        <w:t>Lenders</w:t>
      </w:r>
      <w:r>
        <w:rPr>
          <w:rFonts w:ascii="Arial" w:cs="Arial" w:eastAsia="Arial" w:hAnsi="Arial"/>
          <w:sz w:val="20"/>
          <w:szCs w:val="20"/>
          <w:color w:val="auto"/>
        </w:rPr>
        <w:t>”), pursuant to which the SMFH Lenders provided to SMFH a senior secured term loan facility in the aggregate amount of One Hundred Thirty Million United States Dollars ($130,000,000), as the same may be amended, supplemented or otherwise modified from time to time.</w:t>
      </w:r>
    </w:p>
    <w:p>
      <w:pPr>
        <w:spacing w:after="0" w:line="194" w:lineRule="exact"/>
        <w:rPr>
          <w:sz w:val="20"/>
          <w:szCs w:val="20"/>
          <w:color w:val="auto"/>
        </w:rPr>
      </w:pPr>
    </w:p>
    <w:p>
      <w:pPr>
        <w:jc w:val="both"/>
        <w:ind w:left="880"/>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September 2018 Guaranty</w:t>
      </w:r>
      <w:r>
        <w:rPr>
          <w:rFonts w:ascii="Arial" w:cs="Arial" w:eastAsia="Arial" w:hAnsi="Arial"/>
          <w:sz w:val="20"/>
          <w:szCs w:val="20"/>
          <w:color w:val="auto"/>
        </w:rPr>
        <w:t>” means that certain guaranty dated as of September 28, 2018 made by the Guarantor in favor of DNB as security trustee pursuant to the September 2018 Credit Agreement, as the same may be amended, supplemented or otherwise modified from time to time</w:t>
      </w:r>
    </w:p>
    <w:p>
      <w:pPr>
        <w:spacing w:after="0" w:line="186" w:lineRule="exact"/>
        <w:rPr>
          <w:sz w:val="20"/>
          <w:szCs w:val="20"/>
          <w:color w:val="auto"/>
        </w:rPr>
      </w:pPr>
    </w:p>
    <w:p>
      <w:pPr>
        <w:ind w:right="20" w:firstLine="1727"/>
        <w:spacing w:after="0" w:line="26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Defined Expressions</w:t>
      </w:r>
      <w:r>
        <w:rPr>
          <w:rFonts w:ascii="Arial" w:cs="Arial" w:eastAsia="Arial" w:hAnsi="Arial"/>
          <w:sz w:val="20"/>
          <w:szCs w:val="20"/>
          <w:color w:val="auto"/>
        </w:rPr>
        <w:t>. Unless otherwise defined herein, terms defined in the Credit Agreement shall have the same meanings when used herein, including in the preamble and recitals hereof.</w:t>
      </w:r>
    </w:p>
    <w:p>
      <w:pPr>
        <w:spacing w:after="0" w:line="177" w:lineRule="exact"/>
        <w:rPr>
          <w:sz w:val="20"/>
          <w:szCs w:val="20"/>
          <w:color w:val="auto"/>
        </w:rPr>
      </w:pPr>
    </w:p>
    <w:p>
      <w:pPr>
        <w:ind w:left="1660" w:hanging="788"/>
        <w:spacing w:after="0"/>
        <w:tabs>
          <w:tab w:leader="none" w:pos="1660" w:val="left"/>
        </w:tabs>
        <w:numPr>
          <w:ilvl w:val="0"/>
          <w:numId w:val="261"/>
        </w:numPr>
        <w:rPr>
          <w:rFonts w:ascii="Arial" w:cs="Arial" w:eastAsia="Arial" w:hAnsi="Arial"/>
          <w:sz w:val="20"/>
          <w:szCs w:val="20"/>
          <w:color w:val="auto"/>
        </w:rPr>
      </w:pPr>
      <w:r>
        <w:rPr>
          <w:rFonts w:ascii="Arial" w:cs="Arial" w:eastAsia="Arial" w:hAnsi="Arial"/>
          <w:sz w:val="20"/>
          <w:szCs w:val="20"/>
          <w:u w:val="single" w:color="auto"/>
          <w:color w:val="auto"/>
        </w:rPr>
        <w:t>GUARANTY</w:t>
      </w:r>
    </w:p>
    <w:p>
      <w:pPr>
        <w:spacing w:after="0" w:line="215" w:lineRule="exact"/>
        <w:rPr>
          <w:rFonts w:ascii="Arial" w:cs="Arial" w:eastAsia="Arial" w:hAnsi="Arial"/>
          <w:sz w:val="20"/>
          <w:szCs w:val="20"/>
          <w:color w:val="auto"/>
        </w:rPr>
      </w:pPr>
    </w:p>
    <w:p>
      <w:pPr>
        <w:ind w:left="2600" w:hanging="865"/>
        <w:spacing w:after="0"/>
        <w:tabs>
          <w:tab w:leader="none" w:pos="2600" w:val="left"/>
        </w:tabs>
        <w:numPr>
          <w:ilvl w:val="1"/>
          <w:numId w:val="261"/>
        </w:numPr>
        <w:rPr>
          <w:rFonts w:ascii="Arial" w:cs="Arial" w:eastAsia="Arial" w:hAnsi="Arial"/>
          <w:sz w:val="20"/>
          <w:szCs w:val="20"/>
          <w:color w:val="auto"/>
        </w:rPr>
      </w:pPr>
      <w:r>
        <w:rPr>
          <w:rFonts w:ascii="Arial" w:cs="Arial" w:eastAsia="Arial" w:hAnsi="Arial"/>
          <w:sz w:val="20"/>
          <w:szCs w:val="20"/>
          <w:color w:val="auto"/>
        </w:rPr>
        <w:t>The Guarantor hereby unconditionally and irrevocably:</w:t>
      </w:r>
    </w:p>
    <w:p>
      <w:pPr>
        <w:spacing w:after="0" w:line="215" w:lineRule="exact"/>
        <w:rPr>
          <w:rFonts w:ascii="Arial" w:cs="Arial" w:eastAsia="Arial" w:hAnsi="Arial"/>
          <w:sz w:val="20"/>
          <w:szCs w:val="20"/>
          <w:color w:val="auto"/>
        </w:rPr>
      </w:pPr>
    </w:p>
    <w:p>
      <w:pPr>
        <w:jc w:val="both"/>
        <w:ind w:left="880" w:firstLine="1586"/>
        <w:spacing w:after="0" w:line="250" w:lineRule="auto"/>
        <w:tabs>
          <w:tab w:leader="none" w:pos="3309" w:val="left"/>
        </w:tabs>
        <w:numPr>
          <w:ilvl w:val="2"/>
          <w:numId w:val="261"/>
        </w:numPr>
        <w:rPr>
          <w:rFonts w:ascii="Arial" w:cs="Arial" w:eastAsia="Arial" w:hAnsi="Arial"/>
          <w:sz w:val="20"/>
          <w:szCs w:val="20"/>
          <w:color w:val="auto"/>
        </w:rPr>
      </w:pPr>
      <w:r>
        <w:rPr>
          <w:rFonts w:ascii="Arial" w:cs="Arial" w:eastAsia="Arial" w:hAnsi="Arial"/>
          <w:sz w:val="20"/>
          <w:szCs w:val="20"/>
          <w:color w:val="auto"/>
        </w:rPr>
        <w:t>guarantees to the Security Trustee for the account of the Creditors, as a primary obligor and not merely as a surety, punctual payment and performance by the Borrowers of all their respective payment and performance obligations under the Transaction Documents;</w:t>
      </w:r>
    </w:p>
    <w:p>
      <w:pPr>
        <w:spacing w:after="0" w:line="185" w:lineRule="exact"/>
        <w:rPr>
          <w:rFonts w:ascii="Arial" w:cs="Arial" w:eastAsia="Arial" w:hAnsi="Arial"/>
          <w:sz w:val="20"/>
          <w:szCs w:val="20"/>
          <w:color w:val="auto"/>
        </w:rPr>
      </w:pPr>
    </w:p>
    <w:p>
      <w:pPr>
        <w:jc w:val="both"/>
        <w:ind w:left="880" w:firstLine="1586"/>
        <w:spacing w:after="0" w:line="246" w:lineRule="auto"/>
        <w:tabs>
          <w:tab w:leader="none" w:pos="3364" w:val="left"/>
        </w:tabs>
        <w:numPr>
          <w:ilvl w:val="2"/>
          <w:numId w:val="261"/>
        </w:numPr>
        <w:rPr>
          <w:rFonts w:ascii="Arial" w:cs="Arial" w:eastAsia="Arial" w:hAnsi="Arial"/>
          <w:sz w:val="20"/>
          <w:szCs w:val="20"/>
          <w:color w:val="auto"/>
        </w:rPr>
      </w:pPr>
      <w:r>
        <w:rPr>
          <w:rFonts w:ascii="Arial" w:cs="Arial" w:eastAsia="Arial" w:hAnsi="Arial"/>
          <w:sz w:val="20"/>
          <w:szCs w:val="20"/>
          <w:color w:val="auto"/>
        </w:rPr>
        <w:t>undertakes with the Security Trustee on behalf of the Creditors that whenever the Borrowers does not pay any amount (whether for principal, interest, fees, expenses or otherwise) when due (whether at stated maturity, by acceleration or otherwise) under or in connection with any Transaction Document, the Guarantor shall immediately on demand pay that amount as if it were the primary obligor; and</w:t>
      </w:r>
    </w:p>
    <w:p>
      <w:pPr>
        <w:spacing w:after="0" w:line="191" w:lineRule="exact"/>
        <w:rPr>
          <w:rFonts w:ascii="Arial" w:cs="Arial" w:eastAsia="Arial" w:hAnsi="Arial"/>
          <w:sz w:val="20"/>
          <w:szCs w:val="20"/>
          <w:color w:val="auto"/>
        </w:rPr>
      </w:pPr>
    </w:p>
    <w:p>
      <w:pPr>
        <w:jc w:val="both"/>
        <w:ind w:left="880" w:firstLine="1586"/>
        <w:spacing w:after="0" w:line="257" w:lineRule="auto"/>
        <w:tabs>
          <w:tab w:leader="none" w:pos="3419" w:val="left"/>
        </w:tabs>
        <w:numPr>
          <w:ilvl w:val="2"/>
          <w:numId w:val="261"/>
        </w:numPr>
        <w:rPr>
          <w:rFonts w:ascii="Arial" w:cs="Arial" w:eastAsia="Arial" w:hAnsi="Arial"/>
          <w:sz w:val="19"/>
          <w:szCs w:val="19"/>
          <w:color w:val="auto"/>
        </w:rPr>
      </w:pPr>
      <w:r>
        <w:rPr>
          <w:rFonts w:ascii="Arial" w:cs="Arial" w:eastAsia="Arial" w:hAnsi="Arial"/>
          <w:sz w:val="19"/>
          <w:szCs w:val="19"/>
          <w:color w:val="auto"/>
        </w:rPr>
        <w:t>agrees with the Security Trustee on behalf of the Creditors that if any obligation guaranteed by it is or becomes unenforceable, invalid or illegal, it will, as an independent and primary obligation, indemnify that Creditor immediately on demand against any cost, loss or liability it incurs as a result of the Borrowers not paying any amount which would, but for such unenforceability, invalidity or illegality, have been payable by it under any Transaction Document on the date when it would have been due. The amount payable by such Guarantor under this indemnity will not exceed the amount it would have had to pay under this Guaranty if the amount claimed had been recoverable on the basis of a guarantee (all obligations referred to in clauses (i) through (iii) above are herein referred to as the “Obligations”).</w:t>
      </w:r>
    </w:p>
    <w:p>
      <w:pPr>
        <w:spacing w:after="0" w:line="184" w:lineRule="exact"/>
        <w:rPr>
          <w:rFonts w:ascii="Arial" w:cs="Arial" w:eastAsia="Arial" w:hAnsi="Arial"/>
          <w:sz w:val="19"/>
          <w:szCs w:val="19"/>
          <w:color w:val="auto"/>
        </w:rPr>
      </w:pPr>
    </w:p>
    <w:p>
      <w:pPr>
        <w:jc w:val="both"/>
        <w:ind w:firstLine="1735"/>
        <w:spacing w:after="0" w:line="271" w:lineRule="auto"/>
        <w:tabs>
          <w:tab w:leader="none" w:pos="2606"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This Guaranty is a guaranty of payment and not of collection and the Guarantor expressly agrees that it shall not be necessary or required that any of the Creditors exercise any right, assert any claim or demand or enforce any remedy whatsoever against the Borrowers or any other Person before or as a condition to the obligations of the Guarantor hereunder. This Guaranty is a primary obligation of the Guarantor and shall be an absolute, unconditional, present, and continuing obligation and shall not be subject to any counterclaim, setoff, deduction, diminution, abatement, recoupment, suspension, deferment, reduction, or defense based on any claim the Guarantor or any other person may have against the Borrowers, or any other person, and shall not be released, discharged or affected by any circumstance whatsoever, including without limitation: (a) the unenforceability, invalidity, irregularity or lack of genuineness of the Credit Agreement, the Notes, any other Transaction Document or any of the obligations under the Credit Agreement, the Notes and the other Transaction Documents; (b) any amendment, modification, termination, or removal of, or addition or supplement to, the Credit Agreement, the Notes or any other Transaction Document, or any change in time, manner, or place of payment or performance of any Obligation; (c) 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SK 00382 0203 9123836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68" w:name="page269"/>
    <w:bookmarkEnd w:id="268"/>
    <w:p>
      <w:pPr>
        <w:jc w:val="both"/>
        <w:spacing w:after="0" w:line="269" w:lineRule="auto"/>
        <w:rPr>
          <w:sz w:val="20"/>
          <w:szCs w:val="20"/>
          <w:color w:val="auto"/>
        </w:rPr>
      </w:pPr>
      <w:r>
        <w:rPr>
          <w:rFonts w:ascii="Arial" w:cs="Arial" w:eastAsia="Arial" w:hAnsi="Arial"/>
          <w:sz w:val="18"/>
          <w:szCs w:val="18"/>
          <w:color w:val="auto"/>
        </w:rPr>
        <w:t>assignment, mortgage, release, exchange, addition, or transfer of any Collateral; (d) any failure, refusal, omission or delay on the part of the Borrowers, or any other Person to conform or comply with any term of the Credit Agreement, the Notes or any other Transaction Document or any other agreement; (e) any waiver, consent, extension, indulgence, surrender, settlement, subordination, release, compromise, or other agreement, or the exercise or non-exercise of any right or remedy thereunder, with or without consideration; (f) the occurrence and/or continuance of any bankruptcy, insolvency, reorganization, liquidation, arrangement, adjustment of debt, relief of debtors, dissolution, or similar proceeding with respect to the Borrowers, or any other Person, including without limitation any modification of the Borrowers’ obligations under the Credit Agreement, the Notes or any other Transaction Document in connection with any such proceeding; (g) any defect in the title, condition, compliance with specifications, design, operation, or fitness for use of, or any damage to or loss of, or governmental prohibition or restriction, condemnation, requisition, or seizure of, any Collateral for any reason; (h) any merger, consolidation, restructuring, termination of existence, sale of assets, or change in the ownership of any membership interests or shares of capital stock of either of the Borrowers or the Guarantor; (i) any present or future law, regulation, or order in any jurisdiction (whether of right or in fact) or any agency thereof affecting any term of any Obligation or any rights of any of the Creditors with respect thereto, including, without limitation, any law, regulation or order purporting to vary the terms of payment or to restrict the right or power of the Borrowers or of the Guarantor to make payment of its Obligations to the Creditors; or (j) any other circumstances whatsoever which might otherwise constitute a defense available to, or a discharge of, the Borrowers or the Guarantor.</w:t>
      </w:r>
    </w:p>
    <w:p>
      <w:pPr>
        <w:spacing w:after="0" w:line="179" w:lineRule="exact"/>
        <w:rPr>
          <w:sz w:val="20"/>
          <w:szCs w:val="20"/>
          <w:color w:val="auto"/>
        </w:rPr>
      </w:pPr>
    </w:p>
    <w:p>
      <w:pPr>
        <w:ind w:left="1660" w:hanging="788"/>
        <w:spacing w:after="0"/>
        <w:tabs>
          <w:tab w:leader="none" w:pos="1660" w:val="left"/>
        </w:tabs>
        <w:numPr>
          <w:ilvl w:val="0"/>
          <w:numId w:val="262"/>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p>
    <w:p>
      <w:pPr>
        <w:spacing w:after="0" w:line="216" w:lineRule="exact"/>
        <w:rPr>
          <w:sz w:val="20"/>
          <w:szCs w:val="20"/>
          <w:color w:val="auto"/>
        </w:rPr>
      </w:pPr>
    </w:p>
    <w:p>
      <w:pPr>
        <w:ind w:firstLine="1727"/>
        <w:spacing w:after="0" w:line="287" w:lineRule="auto"/>
        <w:rPr>
          <w:sz w:val="20"/>
          <w:szCs w:val="20"/>
          <w:color w:val="auto"/>
        </w:rPr>
      </w:pPr>
      <w:r>
        <w:rPr>
          <w:rFonts w:ascii="Arial" w:cs="Arial" w:eastAsia="Arial" w:hAnsi="Arial"/>
          <w:sz w:val="19"/>
          <w:szCs w:val="19"/>
          <w:color w:val="auto"/>
        </w:rPr>
        <w:t>The Guarantor hereby makes all of the representations and warranties expressly applicable to the Guarantor set forth in Section 2 of the September 2018 Credit Agreement as if they were set forth in this Guaranty with necessary logical changes.</w:t>
      </w:r>
    </w:p>
    <w:p>
      <w:pPr>
        <w:spacing w:after="0" w:line="152" w:lineRule="exact"/>
        <w:rPr>
          <w:sz w:val="20"/>
          <w:szCs w:val="20"/>
          <w:color w:val="auto"/>
        </w:rPr>
      </w:pPr>
    </w:p>
    <w:p>
      <w:pPr>
        <w:ind w:left="1660" w:hanging="788"/>
        <w:spacing w:after="0"/>
        <w:tabs>
          <w:tab w:leader="none" w:pos="1660" w:val="left"/>
        </w:tabs>
        <w:numPr>
          <w:ilvl w:val="0"/>
          <w:numId w:val="263"/>
        </w:numPr>
        <w:rPr>
          <w:rFonts w:ascii="Arial" w:cs="Arial" w:eastAsia="Arial" w:hAnsi="Arial"/>
          <w:sz w:val="20"/>
          <w:szCs w:val="20"/>
          <w:color w:val="auto"/>
        </w:rPr>
      </w:pPr>
      <w:r>
        <w:rPr>
          <w:rFonts w:ascii="Arial" w:cs="Arial" w:eastAsia="Arial" w:hAnsi="Arial"/>
          <w:sz w:val="20"/>
          <w:szCs w:val="20"/>
          <w:u w:val="single" w:color="auto"/>
          <w:color w:val="auto"/>
        </w:rPr>
        <w:t>COVENANTS</w:t>
      </w:r>
    </w:p>
    <w:p>
      <w:pPr>
        <w:spacing w:after="0" w:line="21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0"/>
          <w:szCs w:val="20"/>
          <w:color w:val="auto"/>
        </w:rPr>
        <w:t>The Guarantor hereby covenants and undertakes with the Security Trustee on behalf of the Creditors that from the date hereof and so long as any principal, interest or other monies are owing by the Credit Parties under or in connection with the Credit Agreement, the Notes, the other Transaction Documents, or any of them, it will:</w:t>
      </w:r>
    </w:p>
    <w:p>
      <w:pPr>
        <w:spacing w:after="0" w:line="186" w:lineRule="exact"/>
        <w:rPr>
          <w:sz w:val="20"/>
          <w:szCs w:val="20"/>
          <w:color w:val="auto"/>
        </w:rPr>
      </w:pPr>
    </w:p>
    <w:p>
      <w:pPr>
        <w:jc w:val="both"/>
        <w:ind w:firstLine="1735"/>
        <w:spacing w:after="0" w:line="282" w:lineRule="auto"/>
        <w:tabs>
          <w:tab w:leader="none" w:pos="259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comply with each of the covenants and undertakings set forth in Section 4 of the September 2018 Guaranty as if they were set forth in this Guaranty with necessary logical changes, provided that (x) terms used in the September 2018 Guaranty which are defined herein shall have such meanings given thereto in this Guaranty, and (y) all other terms shall have the meanings given thereto in the September 2018 Guaranty (excluding the “Facility Agent” which shall be deemed to refer to the “Adminsitrative Agent” hereunder); and</w:t>
      </w:r>
    </w:p>
    <w:p>
      <w:pPr>
        <w:spacing w:after="0" w:line="161" w:lineRule="exact"/>
        <w:rPr>
          <w:rFonts w:ascii="Arial" w:cs="Arial" w:eastAsia="Arial" w:hAnsi="Arial"/>
          <w:sz w:val="18"/>
          <w:szCs w:val="18"/>
          <w:color w:val="auto"/>
        </w:rPr>
      </w:pPr>
    </w:p>
    <w:p>
      <w:pPr>
        <w:jc w:val="both"/>
        <w:ind w:firstLine="1735"/>
        <w:spacing w:after="0" w:line="246" w:lineRule="auto"/>
        <w:tabs>
          <w:tab w:leader="none" w:pos="2606" w:val="left"/>
        </w:tabs>
        <w:numPr>
          <w:ilvl w:val="0"/>
          <w:numId w:val="264"/>
        </w:numPr>
        <w:rPr>
          <w:rFonts w:ascii="Arial" w:cs="Arial" w:eastAsia="Arial" w:hAnsi="Arial"/>
          <w:sz w:val="20"/>
          <w:szCs w:val="20"/>
          <w:color w:val="auto"/>
        </w:rPr>
      </w:pPr>
      <w:r>
        <w:rPr>
          <w:rFonts w:ascii="Arial" w:cs="Arial" w:eastAsia="Arial" w:hAnsi="Arial"/>
          <w:sz w:val="20"/>
          <w:szCs w:val="20"/>
          <w:color w:val="auto"/>
        </w:rPr>
        <w:t>deliver to the Administrative Agent for further distribution to the Lenders, (x) no later than the date hereof, a complete copy of the September 2018 Credit agreement and the September 2018 Guaranty (including all amendments thereto through the date hereof), and (y) promptly (but it any event within five (5) Banking Days) upon entering into any amendment to the September 2018 Credit Agreement or September 2018 Guaranty, a copy of any such amendment.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SK 00382 0203 9123836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69" w:name="page270"/>
    <w:bookmarkEnd w:id="269"/>
    <w:p>
      <w:pPr>
        <w:ind w:left="1660" w:hanging="788"/>
        <w:spacing w:after="0"/>
        <w:tabs>
          <w:tab w:leader="none" w:pos="1660" w:val="left"/>
        </w:tabs>
        <w:numPr>
          <w:ilvl w:val="0"/>
          <w:numId w:val="265"/>
        </w:numPr>
        <w:rPr>
          <w:rFonts w:ascii="Arial" w:cs="Arial" w:eastAsia="Arial" w:hAnsi="Arial"/>
          <w:sz w:val="20"/>
          <w:szCs w:val="20"/>
          <w:color w:val="auto"/>
        </w:rPr>
      </w:pPr>
      <w:r>
        <w:rPr>
          <w:rFonts w:ascii="Arial" w:cs="Arial" w:eastAsia="Arial" w:hAnsi="Arial"/>
          <w:sz w:val="20"/>
          <w:szCs w:val="20"/>
          <w:u w:val="single" w:color="auto"/>
          <w:color w:val="auto"/>
        </w:rPr>
        <w:t>PAYMENTS</w:t>
      </w:r>
    </w:p>
    <w:p>
      <w:pPr>
        <w:spacing w:after="0" w:line="216" w:lineRule="exact"/>
        <w:rPr>
          <w:sz w:val="20"/>
          <w:szCs w:val="20"/>
          <w:color w:val="auto"/>
        </w:rPr>
      </w:pPr>
    </w:p>
    <w:p>
      <w:pPr>
        <w:ind w:firstLine="1727"/>
        <w:spacing w:after="0" w:line="260"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Payment</w:t>
      </w:r>
      <w:r>
        <w:rPr>
          <w:rFonts w:ascii="Arial" w:cs="Arial" w:eastAsia="Arial" w:hAnsi="Arial"/>
          <w:sz w:val="20"/>
          <w:szCs w:val="20"/>
          <w:color w:val="auto"/>
        </w:rPr>
        <w:t>. (a) All payments by the Guarantor under this Guaranty shall be made in the same manner as the Borrowers are required to make payments under the Credit Agreement as specifically set forth therein.</w:t>
      </w:r>
    </w:p>
    <w:p>
      <w:pPr>
        <w:spacing w:after="0" w:line="177" w:lineRule="exact"/>
        <w:rPr>
          <w:sz w:val="20"/>
          <w:szCs w:val="20"/>
          <w:color w:val="auto"/>
        </w:rPr>
      </w:pPr>
    </w:p>
    <w:p>
      <w:pPr>
        <w:jc w:val="both"/>
        <w:ind w:firstLine="1735"/>
        <w:spacing w:after="0" w:line="250" w:lineRule="auto"/>
        <w:tabs>
          <w:tab w:leader="none" w:pos="2595" w:val="left"/>
        </w:tabs>
        <w:numPr>
          <w:ilvl w:val="0"/>
          <w:numId w:val="266"/>
        </w:numPr>
        <w:rPr>
          <w:rFonts w:ascii="Arial" w:cs="Arial" w:eastAsia="Arial" w:hAnsi="Arial"/>
          <w:sz w:val="20"/>
          <w:szCs w:val="20"/>
          <w:color w:val="auto"/>
        </w:rPr>
      </w:pPr>
      <w:r>
        <w:rPr>
          <w:rFonts w:ascii="Arial" w:cs="Arial" w:eastAsia="Arial" w:hAnsi="Arial"/>
          <w:sz w:val="20"/>
          <w:szCs w:val="20"/>
          <w:color w:val="auto"/>
        </w:rPr>
        <w:t>On all sum or sums for which the Guarantor is liable hereunder interest shall be due at the Default Rate specified in Section 6 in the Credit Agreement from the due date thereof under the Credit Agreement until the date of payment of such amount by the Guarantor.</w:t>
      </w:r>
    </w:p>
    <w:p>
      <w:pPr>
        <w:spacing w:after="0" w:line="186" w:lineRule="exact"/>
        <w:rPr>
          <w:sz w:val="20"/>
          <w:szCs w:val="20"/>
          <w:color w:val="auto"/>
        </w:rPr>
      </w:pPr>
    </w:p>
    <w:p>
      <w:pPr>
        <w:jc w:val="both"/>
        <w:ind w:firstLine="1727"/>
        <w:spacing w:after="0" w:line="26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Taxes; Withholdings</w:t>
      </w:r>
      <w:r>
        <w:rPr>
          <w:rFonts w:ascii="Arial" w:cs="Arial" w:eastAsia="Arial" w:hAnsi="Arial"/>
          <w:sz w:val="18"/>
          <w:szCs w:val="18"/>
          <w:color w:val="auto"/>
        </w:rPr>
        <w:t>. Should the Guarantor be compelled by law, regulation, decree, order or stipulation to make any deduction or withholding on account of any present or future taxes (including, without limitation, property, sales, use, consumption, franchise, capital, occupational, license, value added, excise, stamp, levies and imposts taxes and customs and other duties), assessments, fees (including, without limitation, documentation, license, filing and registration fees), deductions, withholdings and charges, of any kind or nature whatsoever, together with any penalties, fines, additions to tax or interest thereon, however imposed, withheld, levied, or assessed by any country or governmental subdivision thereof or therein, any international authority or any other taxing authority (“Taxes”) from any payment due under this Guaranty for the account of the Creditors, the sum due from the Guarantor in respect of such payment shall be increased by such additional amounts necessary to ensure that, after the making of such deduction or withholding with respect to Taxes, each of the Creditors receives a net sum equal to the sum which it would have received had no such deduction or withholding with respect to Taxes been made and the Guarantor shall indemnify each of the Creditors against any losses or costs incurred by it by reason of any failure of the Guarantor to make any such deduction or withholding or by reason of any such additional payment not being made to the relevant Creditor on the due date for such payment. The Guarantor will deliver to the relevant Creditor evidence satisfactory to such Creditor including all relevant tax receipts that such Tax has been duly remitted to the appropriate authority. Notwithstanding the preceding sentence, the Guarantor shall not be required to pay additional amounts or otherwise indemnify any Creditor for or on account of:</w:t>
      </w:r>
    </w:p>
    <w:p>
      <w:pPr>
        <w:spacing w:after="0" w:line="181" w:lineRule="exact"/>
        <w:rPr>
          <w:sz w:val="20"/>
          <w:szCs w:val="20"/>
          <w:color w:val="auto"/>
        </w:rPr>
      </w:pPr>
    </w:p>
    <w:p>
      <w:pPr>
        <w:jc w:val="both"/>
        <w:ind w:left="880" w:right="20" w:firstLine="1586"/>
        <w:spacing w:after="0" w:line="291" w:lineRule="auto"/>
        <w:tabs>
          <w:tab w:leader="none" w:pos="3309"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Taxes based on or measured by the overall net income of any Creditor or Taxes in the nature of franchise taxes or taxes for the privilege of doing business imposed by any jurisdiction or any political subdivision or taxing authority therein unless such are imposed as a result of the activities of the Credit Parties within the relevant taxing jurisdiction; or</w:t>
      </w:r>
    </w:p>
    <w:p>
      <w:pPr>
        <w:spacing w:after="0" w:line="151" w:lineRule="exact"/>
        <w:rPr>
          <w:rFonts w:ascii="Arial" w:cs="Arial" w:eastAsia="Arial" w:hAnsi="Arial"/>
          <w:sz w:val="18"/>
          <w:szCs w:val="18"/>
          <w:color w:val="auto"/>
        </w:rPr>
      </w:pPr>
    </w:p>
    <w:p>
      <w:pPr>
        <w:jc w:val="both"/>
        <w:ind w:left="880" w:firstLine="1586"/>
        <w:spacing w:after="0" w:line="243" w:lineRule="auto"/>
        <w:tabs>
          <w:tab w:leader="none" w:pos="3364" w:val="left"/>
        </w:tabs>
        <w:numPr>
          <w:ilvl w:val="0"/>
          <w:numId w:val="267"/>
        </w:numPr>
        <w:rPr>
          <w:rFonts w:ascii="Arial" w:cs="Arial" w:eastAsia="Arial" w:hAnsi="Arial"/>
          <w:sz w:val="20"/>
          <w:szCs w:val="20"/>
          <w:color w:val="auto"/>
        </w:rPr>
      </w:pPr>
      <w:r>
        <w:rPr>
          <w:rFonts w:ascii="Arial" w:cs="Arial" w:eastAsia="Arial" w:hAnsi="Arial"/>
          <w:sz w:val="20"/>
          <w:szCs w:val="20"/>
          <w:color w:val="auto"/>
        </w:rPr>
        <w:t>Taxes imposed by any jurisdiction or any political subdivision or taxing authority therein on such Creditor that would not have been imposed but for such Creditor's being organized in or conducting business in or maintaining a place of business in the relevant taxing jurisdiction, or engaging in activities or transactions in the relevant taxing jurisdiction that are unrelated to the transactions contemplated by the Credit Agreement, but only to the extent such Taxes are not imposed as a result of the activities of the Credit Parties within the relevant taxing jurisdiction or the legal status of the Credit Parties under the laws of the taxing jurisdiction.</w:t>
      </w:r>
    </w:p>
    <w:p>
      <w:pPr>
        <w:spacing w:after="0" w:line="196" w:lineRule="exact"/>
        <w:rPr>
          <w:sz w:val="20"/>
          <w:szCs w:val="20"/>
          <w:color w:val="auto"/>
        </w:rPr>
      </w:pPr>
    </w:p>
    <w:p>
      <w:pPr>
        <w:jc w:val="both"/>
        <w:ind w:right="20" w:firstLine="1727"/>
        <w:spacing w:after="0" w:line="260"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Delivery of Tax Forms</w:t>
      </w:r>
      <w:r>
        <w:rPr>
          <w:rFonts w:ascii="Arial" w:cs="Arial" w:eastAsia="Arial" w:hAnsi="Arial"/>
          <w:sz w:val="20"/>
          <w:szCs w:val="20"/>
          <w:color w:val="auto"/>
        </w:rPr>
        <w:t>. Section 7.4 of the Credit Agreement (</w:t>
      </w:r>
      <w:r>
        <w:rPr>
          <w:rFonts w:ascii="Arial" w:cs="Arial" w:eastAsia="Arial" w:hAnsi="Arial"/>
          <w:sz w:val="20"/>
          <w:szCs w:val="20"/>
          <w:i w:val="1"/>
          <w:iCs w:val="1"/>
          <w:color w:val="auto"/>
        </w:rPr>
        <w:t>Delivery of Tax Forms</w:t>
      </w:r>
      <w:r>
        <w:rPr>
          <w:rFonts w:ascii="Arial" w:cs="Arial" w:eastAsia="Arial" w:hAnsi="Arial"/>
          <w:sz w:val="20"/>
          <w:szCs w:val="20"/>
          <w:color w:val="auto"/>
        </w:rPr>
        <w:t>) is incorporated herein by reference with necessary changes to substitute the Guarantor for the Borrowers.</w:t>
      </w:r>
    </w:p>
    <w:p>
      <w:pPr>
        <w:spacing w:after="0" w:line="177"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FATCA Information; FATCA Withholding</w:t>
      </w:r>
      <w:r>
        <w:rPr>
          <w:rFonts w:ascii="Arial" w:cs="Arial" w:eastAsia="Arial" w:hAnsi="Arial"/>
          <w:sz w:val="20"/>
          <w:szCs w:val="20"/>
          <w:color w:val="auto"/>
        </w:rPr>
        <w:t>. Sections 7.5 and 7.6 of the Credit Agreement (</w:t>
      </w:r>
      <w:r>
        <w:rPr>
          <w:rFonts w:ascii="Arial" w:cs="Arial" w:eastAsia="Arial" w:hAnsi="Arial"/>
          <w:sz w:val="20"/>
          <w:szCs w:val="20"/>
          <w:i w:val="1"/>
          <w:iCs w:val="1"/>
          <w:color w:val="auto"/>
        </w:rPr>
        <w:t>FATCA</w:t>
      </w:r>
      <w:r>
        <w:rPr>
          <w:rFonts w:ascii="Arial" w:cs="Arial" w:eastAsia="Arial" w:hAnsi="Arial"/>
          <w:sz w:val="20"/>
          <w:szCs w:val="20"/>
          <w:color w:val="auto"/>
        </w:rPr>
        <w:t xml:space="preserve"> </w:t>
      </w:r>
      <w:r>
        <w:rPr>
          <w:rFonts w:ascii="Arial" w:cs="Arial" w:eastAsia="Arial" w:hAnsi="Arial"/>
          <w:sz w:val="20"/>
          <w:szCs w:val="20"/>
          <w:i w:val="1"/>
          <w:iCs w:val="1"/>
          <w:color w:val="auto"/>
        </w:rPr>
        <w:t>Information</w:t>
      </w:r>
      <w:r>
        <w:rPr>
          <w:rFonts w:ascii="Arial" w:cs="Arial" w:eastAsia="Arial" w:hAnsi="Arial"/>
          <w:sz w:val="20"/>
          <w:szCs w:val="20"/>
          <w:color w:val="auto"/>
        </w:rPr>
        <w:t>) and (</w:t>
      </w:r>
      <w:r>
        <w:rPr>
          <w:rFonts w:ascii="Arial" w:cs="Arial" w:eastAsia="Arial" w:hAnsi="Arial"/>
          <w:sz w:val="20"/>
          <w:szCs w:val="20"/>
          <w:i w:val="1"/>
          <w:iCs w:val="1"/>
          <w:color w:val="auto"/>
        </w:rPr>
        <w:t>FATCA Withholding</w:t>
      </w:r>
      <w:r>
        <w:rPr>
          <w:rFonts w:ascii="Arial" w:cs="Arial" w:eastAsia="Arial" w:hAnsi="Arial"/>
          <w:sz w:val="20"/>
          <w:szCs w:val="20"/>
          <w:color w:val="auto"/>
        </w:rPr>
        <w:t>), respectively, are incorporated herein by reference with necessary changes to substitute the Guarantor</w:t>
      </w:r>
      <w:r>
        <w:rPr>
          <w:rFonts w:ascii="Arial" w:cs="Arial" w:eastAsia="Arial" w:hAnsi="Arial"/>
          <w:sz w:val="20"/>
          <w:szCs w:val="20"/>
          <w:i w:val="1"/>
          <w:iCs w:val="1"/>
          <w:color w:val="auto"/>
        </w:rPr>
        <w:t xml:space="preserve"> </w:t>
      </w:r>
      <w:r>
        <w:rPr>
          <w:rFonts w:ascii="Arial" w:cs="Arial" w:eastAsia="Arial" w:hAnsi="Arial"/>
          <w:sz w:val="20"/>
          <w:szCs w:val="20"/>
          <w:color w:val="auto"/>
        </w:rPr>
        <w:t>for the Borrowers.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SK 00382 0203 9123836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70" w:name="page271"/>
    <w:bookmarkEnd w:id="270"/>
    <w:p>
      <w:pPr>
        <w:ind w:left="1660" w:hanging="788"/>
        <w:spacing w:after="0"/>
        <w:tabs>
          <w:tab w:leader="none" w:pos="1660" w:val="left"/>
        </w:tabs>
        <w:numPr>
          <w:ilvl w:val="0"/>
          <w:numId w:val="268"/>
        </w:numPr>
        <w:rPr>
          <w:rFonts w:ascii="Arial" w:cs="Arial" w:eastAsia="Arial" w:hAnsi="Arial"/>
          <w:sz w:val="20"/>
          <w:szCs w:val="20"/>
          <w:color w:val="auto"/>
        </w:rPr>
      </w:pPr>
      <w:r>
        <w:rPr>
          <w:rFonts w:ascii="Arial" w:cs="Arial" w:eastAsia="Arial" w:hAnsi="Arial"/>
          <w:sz w:val="20"/>
          <w:szCs w:val="20"/>
          <w:u w:val="single" w:color="auto"/>
          <w:color w:val="auto"/>
        </w:rPr>
        <w:t>PRESERVATION OF RIGHTS</w:t>
      </w:r>
    </w:p>
    <w:p>
      <w:pPr>
        <w:spacing w:after="0" w:line="215" w:lineRule="exact"/>
        <w:rPr>
          <w:rFonts w:ascii="Arial" w:cs="Arial" w:eastAsia="Arial" w:hAnsi="Arial"/>
          <w:sz w:val="20"/>
          <w:szCs w:val="20"/>
          <w:color w:val="auto"/>
        </w:rPr>
      </w:pPr>
    </w:p>
    <w:p>
      <w:pPr>
        <w:jc w:val="both"/>
        <w:ind w:firstLine="1735"/>
        <w:spacing w:after="0" w:line="271" w:lineRule="auto"/>
        <w:tabs>
          <w:tab w:leader="none" w:pos="2595"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Guarantor hereby consents that from time to time, without notice to or further consent of the Guarantor, the time for the performance and/or observance by the Borrowers, or any of them, of any of the agreements, covenants or conditions in the Credit Agreement, the Notes or the other Transaction Document, or any of them, on the part of the Borrowers, or any of them, to be performed and/or observed may be waived or the time of performance thereof extended by any of the Creditors and payment of any sums owing or payable under any such document may be extended or any such document may be renewed in whole or in part or modified in any respect or any collateral or arrangement provided for by any such document as security for any obligation contemplated by any such document may be exchanged, surrendered, released or otherwise dealt with as the Creditors may determine, that the time for the making of any payment of any obligation hereby guaranteed may be accelerated in accordance with any agreement between any of the Creditors and the Borrowers, or any of them, and that any of the acts mentioned in any of said documents may be done and that any document or security therefor may be released in whole or in part without affecting the obligations of the Guarantor hereunder.</w:t>
      </w:r>
    </w:p>
    <w:p>
      <w:pPr>
        <w:spacing w:after="0" w:line="173" w:lineRule="exact"/>
        <w:rPr>
          <w:rFonts w:ascii="Arial" w:cs="Arial" w:eastAsia="Arial" w:hAnsi="Arial"/>
          <w:sz w:val="18"/>
          <w:szCs w:val="18"/>
          <w:color w:val="auto"/>
        </w:rPr>
      </w:pPr>
    </w:p>
    <w:p>
      <w:pPr>
        <w:jc w:val="both"/>
        <w:ind w:firstLine="1735"/>
        <w:spacing w:after="0" w:line="268" w:lineRule="auto"/>
        <w:tabs>
          <w:tab w:leader="none" w:pos="2606"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Guarantor hereby waives, to the extent permitted by applicable law: (i) any notice required by law or otherwise to preserve any rights hereunder or under the Credit Agreement, the Notes or any other Transaction Document against the Guarantor or against the other Credit Parties, or any of them, including without limitation: (A) acceptance, presentment, demand, protest, or proof of nonperformance of any Obligation, (B) notice of the sale of any Collateral or the transfer the Credit Parties, or any of them, of any interest in any Collateral or the Credit Agreement, the Notes or any other Transaction Document, (C) notice of the acceptance of this Guaranty and of any change in any of the Credit Parties’ financial condition, (D) notices of the creation, renewal, extension, or accrual of any Obligation or any of the matters referred to in Section 2 hereof, or any notice of or proof of reliance by any of the Creditors upon this Guaranty or acceptance of this Guaranty (the Obligations, and any of them, shall conclusively be deemed to have been created, contracted, incurred or renewed, extended, amended or waived in reliance upon this Guaranty and all dealings between the Credit Parties or the Guarantor and the Creditors shall be conclusively presumed to have been had or consummated in reliance upon this Guaranty), and (E) notices which may be required by statute, rule of law or otherwise, now or hereafter in effect, to preserve intact any rights of any of the Creditors against the Guarantor; (ii) the prior exercise of any remedy contained in the Credit Agreement, the Notes or any other Transaction Document or otherwise available to the Creditors; (iii) any requirement of diligence on the part of any Person including without limitation diligence in making any claim or commencing suit hereon or on the Credit Agreement, the Notes or any other Transaction Document, and any requirement to mitigate damages or exhaust remedies under the Credit Agreement, the Notes or any other Transaction Document; (iv) the right to interpose all substantive and procedural defense of the law of guaranty, indemnification, suretyship, or other applicable law except the defense of prior payment or prior performance by any of the Credit Parties or the Guarantor of the Obligations; (v) all rights and remedies accorded by applicable laws to guarantors or sureties, including any extension of time conferred by any law now or hereafter in effect; (vi) any right or claim of right to cause a marshaling of any of the Credit Parties’ assets or to cause any of the Creditors to proceed against any of the Credit Parties or any collateral held by any of the Creditors at any time or in any particular order; (vii) rights to the enforcement, assertion, or exercise by any of the Creditors of any right, power, privilege, or remedy conferred herein or in the Credit Agreement, the Notes or any other Transaction Document or otherwise; (viii) notices of the sale, transfer or other disposition of any right, title to, or interest in the Credit Agreement, the Notes or any other Transaction Document; and (ix) any other right whatsoever which might otherwise constitute a discharge, release, or defense of the Guarantor hereunder or of any of the other Credit Parties under the Credit Agreement, the Notes or any other Transaction Document or which might otherwise limit recourse against the other Credit Parties. No failure to exercise and no delay in exercising, on the part of any of the Creditors, any right, power, or privilege shall operate as a waiver thereof, nor shall any single or partial exercise of any right, power, or privilege preclude any other or further exercise thereof, or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SK 00382 0203 9123836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71" w:name="page272"/>
    <w:bookmarkEnd w:id="271"/>
    <w:p>
      <w:pPr>
        <w:jc w:val="both"/>
        <w:spacing w:after="0" w:line="250" w:lineRule="auto"/>
        <w:rPr>
          <w:sz w:val="20"/>
          <w:szCs w:val="20"/>
          <w:color w:val="auto"/>
        </w:rPr>
      </w:pPr>
      <w:r>
        <w:rPr>
          <w:rFonts w:ascii="Arial" w:cs="Arial" w:eastAsia="Arial" w:hAnsi="Arial"/>
          <w:sz w:val="20"/>
          <w:szCs w:val="20"/>
          <w:color w:val="auto"/>
        </w:rPr>
        <w:t>exercise of any other power or right. The obligations of the Guarantor hereunder shall not be affected by receipt by any of the Creditors of any proceeds of any security at any time held by any of the Creditors. The rights and remedies herein provided are cumulative and not exclusive of any rights or remedies provided by law.</w:t>
      </w:r>
    </w:p>
    <w:p>
      <w:pPr>
        <w:spacing w:after="0" w:line="186" w:lineRule="exact"/>
        <w:rPr>
          <w:sz w:val="20"/>
          <w:szCs w:val="20"/>
          <w:color w:val="auto"/>
        </w:rPr>
      </w:pPr>
    </w:p>
    <w:p>
      <w:pPr>
        <w:jc w:val="both"/>
        <w:ind w:firstLine="1735"/>
        <w:spacing w:after="0" w:line="255" w:lineRule="auto"/>
        <w:tabs>
          <w:tab w:leader="none" w:pos="2595" w:val="left"/>
        </w:tabs>
        <w:numPr>
          <w:ilvl w:val="0"/>
          <w:numId w:val="269"/>
        </w:numPr>
        <w:rPr>
          <w:rFonts w:ascii="Arial" w:cs="Arial" w:eastAsia="Arial" w:hAnsi="Arial"/>
          <w:sz w:val="19"/>
          <w:szCs w:val="19"/>
          <w:color w:val="auto"/>
        </w:rPr>
      </w:pPr>
      <w:r>
        <w:rPr>
          <w:rFonts w:ascii="Arial" w:cs="Arial" w:eastAsia="Arial" w:hAnsi="Arial"/>
          <w:sz w:val="19"/>
          <w:szCs w:val="19"/>
          <w:color w:val="auto"/>
        </w:rPr>
        <w:t>The Guarantor agrees that so long as any of the Borrowers remains under any actual or contingent liability under the Credit Agreement, the Notes and the other Transaction Documents any rights which the Guarantor may at any time have by reason of the performance by the Guarantor of its obligations hereunder (a) to be indemnified by any of the Borrowers and/or (b) to claim any contribution from the Borrowers or any other guarantor of the Borrowers’ obligations under the Credit Agreement, the Notes or the other Transaction Documents and/or (c) to take the benefit (in whole or in part) of any security taken pursuant to this Guaranty or the Credit Agreement, the Notes or any other Transaction Documents by, all or any of the persons to whom the benefit of the Guarantor's obligations are given, shall be exercised by the Guarantor in such manner and upon such terms as the Creditors may require and further agrees to hold any monies at any time received by it as a result of the exercise of any such rights or otherwise for and on behalf of and to the order of the Creditors for application in or towards payment of any sums at any time owed by the Credit Parties under the Credit Agreement, the Notes or the other Transaction Documents.</w:t>
      </w:r>
    </w:p>
    <w:p>
      <w:pPr>
        <w:spacing w:after="0" w:line="189" w:lineRule="exact"/>
        <w:rPr>
          <w:rFonts w:ascii="Arial" w:cs="Arial" w:eastAsia="Arial" w:hAnsi="Arial"/>
          <w:sz w:val="19"/>
          <w:szCs w:val="19"/>
          <w:color w:val="auto"/>
        </w:rPr>
      </w:pPr>
    </w:p>
    <w:p>
      <w:pPr>
        <w:jc w:val="both"/>
        <w:ind w:firstLine="1735"/>
        <w:spacing w:after="0" w:line="243" w:lineRule="auto"/>
        <w:tabs>
          <w:tab w:leader="none" w:pos="2606" w:val="left"/>
        </w:tabs>
        <w:numPr>
          <w:ilvl w:val="0"/>
          <w:numId w:val="269"/>
        </w:numPr>
        <w:rPr>
          <w:rFonts w:ascii="Arial" w:cs="Arial" w:eastAsia="Arial" w:hAnsi="Arial"/>
          <w:sz w:val="20"/>
          <w:szCs w:val="20"/>
          <w:color w:val="auto"/>
        </w:rPr>
      </w:pPr>
      <w:r>
        <w:rPr>
          <w:rFonts w:ascii="Arial" w:cs="Arial" w:eastAsia="Arial" w:hAnsi="Arial"/>
          <w:sz w:val="20"/>
          <w:szCs w:val="20"/>
          <w:color w:val="auto"/>
        </w:rPr>
        <w:t>The Guarantor further agrees that its liabilities hereunder shall be unconditional irrespective of any other circumstance which might otherwise constitute a discharge at law or in equity of a guarantor or surety. The Guarantor further guarantees that all payments made by the Borrowers, the Guarantor, or any of them, to any of the Creditors on any obligation hereby guaranteed will, when made, be final and agrees that, if any such payment is recovered from, or repaid by, any of the Creditors in whole or in part in any bankruptcy, insolvency or similar proceeding instituted by or against the Borrowers, the Guarantor, or any of them, this Guaranty shall continue to be fully applicable to such obligation to the same extent as though the payment so recovered or repaid had never been originally made on such obligation.</w:t>
      </w:r>
    </w:p>
    <w:p>
      <w:pPr>
        <w:spacing w:after="0" w:line="192" w:lineRule="exact"/>
        <w:rPr>
          <w:rFonts w:ascii="Arial" w:cs="Arial" w:eastAsia="Arial" w:hAnsi="Arial"/>
          <w:sz w:val="20"/>
          <w:szCs w:val="20"/>
          <w:color w:val="auto"/>
        </w:rPr>
      </w:pPr>
    </w:p>
    <w:p>
      <w:pPr>
        <w:jc w:val="both"/>
        <w:ind w:firstLine="1735"/>
        <w:spacing w:after="0" w:line="250" w:lineRule="auto"/>
        <w:tabs>
          <w:tab w:leader="none" w:pos="2595" w:val="left"/>
        </w:tabs>
        <w:numPr>
          <w:ilvl w:val="0"/>
          <w:numId w:val="269"/>
        </w:numPr>
        <w:rPr>
          <w:rFonts w:ascii="Arial" w:cs="Arial" w:eastAsia="Arial" w:hAnsi="Arial"/>
          <w:sz w:val="20"/>
          <w:szCs w:val="20"/>
          <w:color w:val="auto"/>
        </w:rPr>
      </w:pPr>
      <w:r>
        <w:rPr>
          <w:rFonts w:ascii="Arial" w:cs="Arial" w:eastAsia="Arial" w:hAnsi="Arial"/>
          <w:sz w:val="20"/>
          <w:szCs w:val="20"/>
          <w:color w:val="auto"/>
        </w:rPr>
        <w:t>The Creditors may enforce the obligations of the Guarantor hereunder without in any way first pursuing or exhausting any other rights or remedies which the Creditors may have against any of the Borrowers, or against any other person, firm or corporation, or against any security any of the Creditors may hold.</w:t>
      </w:r>
    </w:p>
    <w:p>
      <w:pPr>
        <w:spacing w:after="0" w:line="185" w:lineRule="exact"/>
        <w:rPr>
          <w:rFonts w:ascii="Arial" w:cs="Arial" w:eastAsia="Arial" w:hAnsi="Arial"/>
          <w:sz w:val="20"/>
          <w:szCs w:val="20"/>
          <w:color w:val="auto"/>
        </w:rPr>
      </w:pPr>
    </w:p>
    <w:p>
      <w:pPr>
        <w:jc w:val="both"/>
        <w:ind w:firstLine="1735"/>
        <w:spacing w:after="0" w:line="243" w:lineRule="auto"/>
        <w:tabs>
          <w:tab w:leader="none" w:pos="2573" w:val="left"/>
        </w:tabs>
        <w:numPr>
          <w:ilvl w:val="0"/>
          <w:numId w:val="269"/>
        </w:numPr>
        <w:rPr>
          <w:rFonts w:ascii="Arial" w:cs="Arial" w:eastAsia="Arial" w:hAnsi="Arial"/>
          <w:sz w:val="20"/>
          <w:szCs w:val="20"/>
          <w:color w:val="auto"/>
        </w:rPr>
      </w:pPr>
      <w:r>
        <w:rPr>
          <w:rFonts w:ascii="Arial" w:cs="Arial" w:eastAsia="Arial" w:hAnsi="Arial"/>
          <w:sz w:val="20"/>
          <w:szCs w:val="20"/>
          <w:color w:val="auto"/>
        </w:rPr>
        <w:t>The Guarantor hereby irrevocably waives all rights of subrogation (whether contractual, under Section 509 of Title 11 of the United States Code entitled “Bankruptcy” as now or hereafter in effect, or any successor thereto (herein called the “</w:t>
      </w:r>
      <w:r>
        <w:rPr>
          <w:rFonts w:ascii="Arial" w:cs="Arial" w:eastAsia="Arial" w:hAnsi="Arial"/>
          <w:sz w:val="20"/>
          <w:szCs w:val="20"/>
          <w:u w:val="single" w:color="auto"/>
          <w:color w:val="auto"/>
        </w:rPr>
        <w:t>Bankruptcy Code</w:t>
      </w:r>
      <w:r>
        <w:rPr>
          <w:rFonts w:ascii="Arial" w:cs="Arial" w:eastAsia="Arial" w:hAnsi="Arial"/>
          <w:sz w:val="20"/>
          <w:szCs w:val="20"/>
          <w:color w:val="auto"/>
        </w:rPr>
        <w:t>”), under common law, or otherwise) to the claims of any of the Creditors against the Borrowers, or any of them, and all contractual, statutory or common law rights of contribution, reimbursement, indemnification and similar rights and “claims” (as such term is defined in the Bankruptcy Code) against the Credit Parties, or any of them, which arise in connection with, or as a result of, this Guaranty, until such time as the obligations of the Credit Parties under or in connection with the Credit Agreement, the Notes and the other Transaction Documents have been indefeasibly paid in full.</w:t>
      </w:r>
    </w:p>
    <w:p>
      <w:pPr>
        <w:spacing w:after="0" w:line="192" w:lineRule="exact"/>
        <w:rPr>
          <w:rFonts w:ascii="Arial" w:cs="Arial" w:eastAsia="Arial" w:hAnsi="Arial"/>
          <w:sz w:val="20"/>
          <w:szCs w:val="20"/>
          <w:color w:val="auto"/>
        </w:rPr>
      </w:pPr>
    </w:p>
    <w:p>
      <w:pPr>
        <w:jc w:val="both"/>
        <w:ind w:firstLine="1735"/>
        <w:spacing w:after="0" w:line="250" w:lineRule="auto"/>
        <w:tabs>
          <w:tab w:leader="none" w:pos="2606" w:val="left"/>
        </w:tabs>
        <w:numPr>
          <w:ilvl w:val="0"/>
          <w:numId w:val="269"/>
        </w:numPr>
        <w:rPr>
          <w:rFonts w:ascii="Arial" w:cs="Arial" w:eastAsia="Arial" w:hAnsi="Arial"/>
          <w:sz w:val="20"/>
          <w:szCs w:val="20"/>
          <w:color w:val="auto"/>
        </w:rPr>
      </w:pPr>
      <w:r>
        <w:rPr>
          <w:rFonts w:ascii="Arial" w:cs="Arial" w:eastAsia="Arial" w:hAnsi="Arial"/>
          <w:sz w:val="20"/>
          <w:szCs w:val="20"/>
          <w:color w:val="auto"/>
        </w:rPr>
        <w:t>The Guarantor shall not assign, transfer, hypothecate or dispose of any claim that it has or may have against the Borrowers, or any of them, while any indebtedness of the Borrowers to any of the Creditors remains unpaid, without the written consent of the Creditors.</w:t>
      </w:r>
    </w:p>
    <w:p>
      <w:pPr>
        <w:spacing w:after="0" w:line="185" w:lineRule="exact"/>
        <w:rPr>
          <w:rFonts w:ascii="Arial" w:cs="Arial" w:eastAsia="Arial" w:hAnsi="Arial"/>
          <w:sz w:val="20"/>
          <w:szCs w:val="20"/>
          <w:color w:val="auto"/>
        </w:rPr>
      </w:pPr>
    </w:p>
    <w:p>
      <w:pPr>
        <w:jc w:val="both"/>
        <w:ind w:firstLine="1735"/>
        <w:spacing w:after="0" w:line="250" w:lineRule="auto"/>
        <w:tabs>
          <w:tab w:leader="none" w:pos="2606" w:val="left"/>
        </w:tabs>
        <w:numPr>
          <w:ilvl w:val="0"/>
          <w:numId w:val="269"/>
        </w:numPr>
        <w:rPr>
          <w:rFonts w:ascii="Arial" w:cs="Arial" w:eastAsia="Arial" w:hAnsi="Arial"/>
          <w:sz w:val="20"/>
          <w:szCs w:val="20"/>
          <w:color w:val="auto"/>
        </w:rPr>
      </w:pPr>
      <w:r>
        <w:rPr>
          <w:rFonts w:ascii="Arial" w:cs="Arial" w:eastAsia="Arial" w:hAnsi="Arial"/>
          <w:sz w:val="20"/>
          <w:szCs w:val="20"/>
          <w:color w:val="auto"/>
        </w:rPr>
        <w:t>Any delay in or failure to exercise any right or remedy of any of the Creditors shall not be deemed a waiver of any obligation of the Guarantor or right of any of the Creditors. This Guaranty may be modified, and the Creditors’ rights hereunder waived, only by an agreement in writing signed by the Creditors.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SK 00382 0203 9123836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72" w:name="page273"/>
    <w:bookmarkEnd w:id="272"/>
    <w:p>
      <w:pPr>
        <w:jc w:val="both"/>
        <w:ind w:firstLine="1735"/>
        <w:spacing w:after="0" w:line="250" w:lineRule="auto"/>
        <w:tabs>
          <w:tab w:leader="none" w:pos="2562" w:val="left"/>
        </w:tabs>
        <w:numPr>
          <w:ilvl w:val="1"/>
          <w:numId w:val="270"/>
        </w:numPr>
        <w:rPr>
          <w:rFonts w:ascii="Arial" w:cs="Arial" w:eastAsia="Arial" w:hAnsi="Arial"/>
          <w:sz w:val="20"/>
          <w:szCs w:val="20"/>
          <w:color w:val="auto"/>
        </w:rPr>
      </w:pPr>
      <w:r>
        <w:rPr>
          <w:rFonts w:ascii="Arial" w:cs="Arial" w:eastAsia="Arial" w:hAnsi="Arial"/>
          <w:sz w:val="20"/>
          <w:szCs w:val="20"/>
          <w:color w:val="auto"/>
        </w:rPr>
        <w:t>Notice of acceptance by the Creditors of this Guaranty and of the incurring of any or all of the obligations hereby guaranteed is hereby waived by the Guarantor, and this Guaranty and all of the terms and provisions hereof shall immediately be binding upon the Guarantor from the date of execution hereof.</w:t>
      </w:r>
    </w:p>
    <w:p>
      <w:pPr>
        <w:spacing w:after="0" w:line="185" w:lineRule="exact"/>
        <w:rPr>
          <w:rFonts w:ascii="Arial" w:cs="Arial" w:eastAsia="Arial" w:hAnsi="Arial"/>
          <w:sz w:val="20"/>
          <w:szCs w:val="20"/>
          <w:color w:val="auto"/>
        </w:rPr>
      </w:pPr>
    </w:p>
    <w:p>
      <w:pPr>
        <w:ind w:left="1660" w:hanging="788"/>
        <w:spacing w:after="0"/>
        <w:tabs>
          <w:tab w:leader="none" w:pos="1660" w:val="left"/>
        </w:tabs>
        <w:numPr>
          <w:ilvl w:val="0"/>
          <w:numId w:val="271"/>
        </w:numPr>
        <w:rPr>
          <w:rFonts w:ascii="Arial" w:cs="Arial" w:eastAsia="Arial" w:hAnsi="Arial"/>
          <w:sz w:val="20"/>
          <w:szCs w:val="20"/>
          <w:color w:val="auto"/>
        </w:rPr>
      </w:pPr>
      <w:r>
        <w:rPr>
          <w:rFonts w:ascii="Arial" w:cs="Arial" w:eastAsia="Arial" w:hAnsi="Arial"/>
          <w:sz w:val="20"/>
          <w:szCs w:val="20"/>
          <w:u w:val="single" w:color="auto"/>
          <w:color w:val="auto"/>
        </w:rPr>
        <w:t>BENEFIT OF GUARANTY; ASSIGNMENT</w:t>
      </w:r>
    </w:p>
    <w:p>
      <w:pPr>
        <w:spacing w:after="0" w:line="216"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This Guaranty shall inure to the benefit of the Creditors, their successors and assigns, and shall bind the successors and assigns of the Guarantor.</w:t>
      </w:r>
    </w:p>
    <w:p>
      <w:pPr>
        <w:spacing w:after="0" w:line="177" w:lineRule="exact"/>
        <w:rPr>
          <w:sz w:val="20"/>
          <w:szCs w:val="20"/>
          <w:color w:val="auto"/>
        </w:rPr>
      </w:pPr>
    </w:p>
    <w:p>
      <w:pPr>
        <w:ind w:left="1660" w:hanging="788"/>
        <w:spacing w:after="0"/>
        <w:tabs>
          <w:tab w:leader="none" w:pos="1660" w:val="left"/>
        </w:tabs>
        <w:numPr>
          <w:ilvl w:val="0"/>
          <w:numId w:val="272"/>
        </w:numPr>
        <w:rPr>
          <w:rFonts w:ascii="Arial" w:cs="Arial" w:eastAsia="Arial" w:hAnsi="Arial"/>
          <w:sz w:val="20"/>
          <w:szCs w:val="20"/>
          <w:color w:val="auto"/>
        </w:rPr>
      </w:pPr>
      <w:r>
        <w:rPr>
          <w:rFonts w:ascii="Arial" w:cs="Arial" w:eastAsia="Arial" w:hAnsi="Arial"/>
          <w:sz w:val="20"/>
          <w:szCs w:val="20"/>
          <w:u w:val="single" w:color="auto"/>
          <w:color w:val="auto"/>
        </w:rPr>
        <w:t>WAIVER OF JURY TRIAL; GOVERNING LAW; JURISDICTION</w:t>
      </w:r>
    </w:p>
    <w:p>
      <w:pPr>
        <w:spacing w:after="0" w:line="210"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EACH OF THE PARENT GUARANTOR AND, BY ITS ACCEPTANCE HEREOF, THE SECURITY TRUSTEE AND EACH OF THE OTHER CREDITORS, HEREBY WAIVES TRIAL BY JURY IN ANY ACTION, PROCEEDING OR COUNTERCLAIM BROUGHT BY ANY PARTY HERETO OR BENEFICIARY HEREOF ON ANY MATTER WHATSOEVER ARISING OUT OF OR IN ANY WAY CONNECTED WITH THIS GUARANTY.</w:t>
      </w:r>
    </w:p>
    <w:p>
      <w:pPr>
        <w:spacing w:after="0" w:line="183"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TO THE EXTENT THAT THE PARENT GUARANTOR HAS OR HEREAFTER MAY ACQUIRE ANY IMMUNITY FROM SUIT, JURISDICTION OF ANY COURT OR ANY LEGAL PROCESS (WHETHER THROUGH ATTACHMENT PRIOR TO JUDGMENT, ATTACHMENT IN AID OF EXECUTION, EXECUTION OF A JUDGMENT, OR FROM ANY OTHER LEGAL PROCESS OR REMEDY) WITH RESPECT TO ITSELF OR ITS PROPERTY, THE PARENT GUARANTOR HEREBY IRREVOCABLY WAIVES SUCH IMMUNITY IN RESPECT OF ITS OBLIGATIONS UNDER THIS GUARANTY.</w:t>
      </w:r>
    </w:p>
    <w:p>
      <w:pPr>
        <w:spacing w:after="0" w:line="185"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THIS GUARANTY AND ALL RIGHTS, OBLIGATIONS AND LIABILITIES ARISING HEREUNDER SHALL BE CONSTRUED ACCORDING TO THE LAWS OF THE STATE OF NEW YORK.</w:t>
      </w:r>
    </w:p>
    <w:p>
      <w:pPr>
        <w:spacing w:after="0" w:line="169"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Unless the context otherwise requires, all terms used herein which are defined in the New York Uniform Commercial Code shall have the meanings therein stated.</w:t>
      </w:r>
    </w:p>
    <w:p>
      <w:pPr>
        <w:spacing w:after="0" w:line="177"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Any legal action or proceeding against the Guarantor with respect to this Guaranty or the obligations guaranteed hereby may be brought in the courts of the State of New York, United States of America, the United States Federal Courts in such State, or in the courts of any other appropriate jurisdiction, as the Creditors may elect, and the Guarantor hereby irrevocably submits to the jurisdiction of such courts for the purpose of any such action or proceeding. The Guarantor hereby agrees that service of process in any such action or proceeding brought in New York may be made upon it by serving a copy of the summons and other legal process in any such action or proceeding on the Guarantor by mailing or delivering the same by hand to the Guarantor at the address indicated for notices in Section 9 hereof. The service, as herein provided, of such summons or other legal process in any such action or proceeding shall be deemed personal service and accepted by the Guarantor as such, and shall be legal and binding by the Guarantor for all the purposes of any such action or proceeding. In the event that the Guarantor shall not be conveniently available for such service, the Guarantor hereby irrevocably appoints Farkouh, Furman &amp; Faccio, LLP, 460 Park Avenue, New York, NY 10022, Attention: Fred Farkouh as its agent for service of process in respect of the proceeding before such courts (and agrees that service on such agent shall be deemed personal service).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SK 00382 0203 9123836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73" w:name="page274"/>
    <w:bookmarkEnd w:id="273"/>
    <w:p>
      <w:pPr>
        <w:ind w:left="1660" w:hanging="788"/>
        <w:spacing w:after="0"/>
        <w:tabs>
          <w:tab w:leader="none" w:pos="1660" w:val="left"/>
        </w:tabs>
        <w:numPr>
          <w:ilvl w:val="0"/>
          <w:numId w:val="273"/>
        </w:numPr>
        <w:rPr>
          <w:rFonts w:ascii="Arial" w:cs="Arial" w:eastAsia="Arial" w:hAnsi="Arial"/>
          <w:sz w:val="20"/>
          <w:szCs w:val="20"/>
          <w:color w:val="auto"/>
        </w:rPr>
      </w:pPr>
      <w:r>
        <w:rPr>
          <w:rFonts w:ascii="Arial" w:cs="Arial" w:eastAsia="Arial" w:hAnsi="Arial"/>
          <w:sz w:val="20"/>
          <w:szCs w:val="20"/>
          <w:u w:val="single" w:color="auto"/>
          <w:color w:val="auto"/>
        </w:rPr>
        <w:t>NOTICES</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Notices and other communications hereunder shall be in writing and may be given or made by facsimile as follows: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If to the Guarantor:</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c/o SEACOR Marine Holdings Inc.</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12121 Wickchester Lane</w:t>
      </w:r>
    </w:p>
    <w:p>
      <w:pPr>
        <w:ind w:left="880"/>
        <w:spacing w:after="0"/>
        <w:rPr>
          <w:sz w:val="20"/>
          <w:szCs w:val="20"/>
          <w:color w:val="auto"/>
        </w:rPr>
      </w:pPr>
      <w:r>
        <w:rPr>
          <w:rFonts w:ascii="Arial" w:cs="Arial" w:eastAsia="Arial" w:hAnsi="Arial"/>
          <w:sz w:val="20"/>
          <w:szCs w:val="20"/>
          <w:color w:val="auto"/>
        </w:rPr>
        <w:t>Suite 500</w:t>
      </w:r>
    </w:p>
    <w:p>
      <w:pPr>
        <w:ind w:left="880"/>
        <w:spacing w:after="0"/>
        <w:rPr>
          <w:sz w:val="20"/>
          <w:szCs w:val="20"/>
          <w:color w:val="auto"/>
        </w:rPr>
      </w:pPr>
      <w:r>
        <w:rPr>
          <w:rFonts w:ascii="Arial" w:cs="Arial" w:eastAsia="Arial" w:hAnsi="Arial"/>
          <w:sz w:val="20"/>
          <w:szCs w:val="20"/>
          <w:color w:val="auto"/>
        </w:rPr>
        <w:t>Houston, Texas 77079</w:t>
      </w:r>
    </w:p>
    <w:p>
      <w:pPr>
        <w:ind w:left="880"/>
        <w:spacing w:after="0"/>
        <w:rPr>
          <w:sz w:val="20"/>
          <w:szCs w:val="20"/>
          <w:color w:val="auto"/>
        </w:rPr>
      </w:pPr>
      <w:r>
        <w:rPr>
          <w:rFonts w:ascii="Arial" w:cs="Arial" w:eastAsia="Arial" w:hAnsi="Arial"/>
          <w:sz w:val="20"/>
          <w:szCs w:val="20"/>
          <w:color w:val="auto"/>
        </w:rPr>
        <w:t>Facsimile No: (346) 589 0255</w:t>
      </w:r>
    </w:p>
    <w:p>
      <w:pPr>
        <w:ind w:left="880"/>
        <w:spacing w:after="0"/>
        <w:rPr>
          <w:sz w:val="20"/>
          <w:szCs w:val="20"/>
          <w:color w:val="auto"/>
        </w:rPr>
      </w:pPr>
      <w:r>
        <w:rPr>
          <w:rFonts w:ascii="Arial" w:cs="Arial" w:eastAsia="Arial" w:hAnsi="Arial"/>
          <w:sz w:val="20"/>
          <w:szCs w:val="20"/>
          <w:color w:val="auto"/>
        </w:rPr>
        <w:t>Attention: Legal Department</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If to the Administrative Agent or Security Trustee: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DNB BANK ASA, New York Branch</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30 Hudson Yards, 81</w:t>
      </w:r>
      <w:r>
        <w:rPr>
          <w:rFonts w:ascii="Arial" w:cs="Arial" w:eastAsia="Arial" w:hAnsi="Arial"/>
          <w:sz w:val="16"/>
          <w:szCs w:val="16"/>
          <w:color w:val="auto"/>
        </w:rPr>
        <w:t>st</w:t>
      </w:r>
      <w:r>
        <w:rPr>
          <w:rFonts w:ascii="Arial" w:cs="Arial" w:eastAsia="Arial" w:hAnsi="Arial"/>
          <w:sz w:val="20"/>
          <w:szCs w:val="20"/>
          <w:color w:val="auto"/>
        </w:rPr>
        <w:t xml:space="preserve"> Floor</w:t>
      </w:r>
    </w:p>
    <w:p>
      <w:pPr>
        <w:ind w:left="880"/>
        <w:spacing w:after="0"/>
        <w:rPr>
          <w:sz w:val="20"/>
          <w:szCs w:val="20"/>
          <w:color w:val="auto"/>
        </w:rPr>
      </w:pPr>
      <w:r>
        <w:rPr>
          <w:rFonts w:ascii="Arial" w:cs="Arial" w:eastAsia="Arial" w:hAnsi="Arial"/>
          <w:sz w:val="20"/>
          <w:szCs w:val="20"/>
          <w:color w:val="auto"/>
        </w:rPr>
        <w:t>New York, New York 10001</w:t>
      </w:r>
    </w:p>
    <w:p>
      <w:pPr>
        <w:ind w:left="880"/>
        <w:spacing w:after="0"/>
        <w:rPr>
          <w:sz w:val="20"/>
          <w:szCs w:val="20"/>
          <w:color w:val="auto"/>
        </w:rPr>
      </w:pPr>
      <w:r>
        <w:rPr>
          <w:rFonts w:ascii="Arial" w:cs="Arial" w:eastAsia="Arial" w:hAnsi="Arial"/>
          <w:sz w:val="20"/>
          <w:szCs w:val="20"/>
          <w:color w:val="auto"/>
        </w:rPr>
        <w:t>Attn: Mr. Andreas Hundven</w:t>
      </w:r>
    </w:p>
    <w:p>
      <w:pPr>
        <w:ind w:left="880"/>
        <w:spacing w:after="0"/>
        <w:rPr>
          <w:sz w:val="20"/>
          <w:szCs w:val="20"/>
          <w:color w:val="auto"/>
        </w:rPr>
      </w:pPr>
      <w:r>
        <w:rPr>
          <w:rFonts w:ascii="Arial" w:cs="Arial" w:eastAsia="Arial" w:hAnsi="Arial"/>
          <w:sz w:val="20"/>
          <w:szCs w:val="20"/>
          <w:color w:val="auto"/>
        </w:rPr>
        <w:t>Facsimile No.: (212) 681-3900</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or to such other address as any party shall from time to time specify in writing. Any notice sent by facsimile shall be confirmed by letter dispatched as soon as practicable thereafter.</w:t>
      </w:r>
    </w:p>
    <w:p>
      <w:pPr>
        <w:spacing w:after="0" w:line="177"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Every notice or demand shall, except so far as otherwise expressly provided by this Guaranty, be deemed to have been received (provided that it is received prior to 2 p.m. New York time), in the case of a facsimile, on the date of dispatch thereof (provided that if the date of dispatch is not a Banking Day in the locality of the party to whom such notice or communication is sent it shall be deemed to have been received on the next following Banking Day in such locality), in the case of a letter, at the time of receipt thereof.</w:t>
      </w:r>
    </w:p>
    <w:p>
      <w:pPr>
        <w:spacing w:after="0" w:line="161" w:lineRule="exact"/>
        <w:rPr>
          <w:sz w:val="20"/>
          <w:szCs w:val="20"/>
          <w:color w:val="auto"/>
        </w:rPr>
      </w:pPr>
    </w:p>
    <w:p>
      <w:pPr>
        <w:ind w:left="1760" w:hanging="888"/>
        <w:spacing w:after="0"/>
        <w:tabs>
          <w:tab w:leader="none" w:pos="1760" w:val="left"/>
        </w:tabs>
        <w:numPr>
          <w:ilvl w:val="0"/>
          <w:numId w:val="274"/>
        </w:numPr>
        <w:rPr>
          <w:rFonts w:ascii="Arial" w:cs="Arial" w:eastAsia="Arial" w:hAnsi="Arial"/>
          <w:sz w:val="20"/>
          <w:szCs w:val="20"/>
          <w:color w:val="auto"/>
        </w:rPr>
      </w:pPr>
      <w:r>
        <w:rPr>
          <w:rFonts w:ascii="Arial" w:cs="Arial" w:eastAsia="Arial" w:hAnsi="Arial"/>
          <w:sz w:val="20"/>
          <w:szCs w:val="20"/>
          <w:u w:val="single" w:color="auto"/>
          <w:color w:val="auto"/>
        </w:rPr>
        <w:t>CEA ELIGIBLE CONTRACT PARTICIPANT</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Notwithstanding anything to the contrary in any Transaction Document, the Guarantor shall not be deemed to guarantee, become jointly and severally obligated for or pledge assets in support of a “swap,” as defined in Section 1(a)(47) of the Commodity Exchange Act (“CEA”), of any Credit Party if at the time that swap is entered into, the Guarantor is not an “eligible contract participant” as defined in Section 1(a)(18) of the CEA.</w:t>
      </w:r>
    </w:p>
    <w:p>
      <w:pPr>
        <w:spacing w:after="0" w:line="191" w:lineRule="exact"/>
        <w:rPr>
          <w:sz w:val="20"/>
          <w:szCs w:val="20"/>
          <w:color w:val="auto"/>
        </w:rPr>
      </w:pPr>
    </w:p>
    <w:p>
      <w:pPr>
        <w:ind w:left="1760" w:hanging="888"/>
        <w:spacing w:after="0"/>
        <w:tabs>
          <w:tab w:leader="none" w:pos="1760" w:val="left"/>
        </w:tabs>
        <w:numPr>
          <w:ilvl w:val="0"/>
          <w:numId w:val="275"/>
        </w:numPr>
        <w:rPr>
          <w:rFonts w:ascii="Arial" w:cs="Arial" w:eastAsia="Arial" w:hAnsi="Arial"/>
          <w:sz w:val="20"/>
          <w:szCs w:val="20"/>
          <w:color w:val="auto"/>
        </w:rPr>
      </w:pPr>
      <w:r>
        <w:rPr>
          <w:rFonts w:ascii="Arial" w:cs="Arial" w:eastAsia="Arial" w:hAnsi="Arial"/>
          <w:sz w:val="20"/>
          <w:szCs w:val="20"/>
          <w:u w:val="single" w:color="auto"/>
          <w:color w:val="auto"/>
        </w:rPr>
        <w:t>HEADINGS</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this Guaranty, Section headings are inserted for convenience of reference only and shall be ignored in the interpretation hereof.</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SK 00382 0203 9123836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74" w:name="page275"/>
    <w:bookmarkEnd w:id="274"/>
    <w:p>
      <w:pPr>
        <w:ind w:left="880"/>
        <w:spacing w:after="0"/>
        <w:rPr>
          <w:sz w:val="20"/>
          <w:szCs w:val="20"/>
          <w:color w:val="auto"/>
        </w:rPr>
      </w:pPr>
      <w:r>
        <w:rPr>
          <w:rFonts w:ascii="Arial" w:cs="Arial" w:eastAsia="Arial" w:hAnsi="Arial"/>
          <w:sz w:val="16"/>
          <w:szCs w:val="16"/>
          <w:color w:val="auto"/>
        </w:rPr>
        <w:t>IN WITNESS WHEREOF, this Guaranty has been duly executed by the Guarantor as of the 31st day of December, 2021.</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SEACOR MARINE HOLDINGS INC.</w:t>
      </w:r>
    </w:p>
    <w:p>
      <w:pPr>
        <w:spacing w:after="0" w:line="200" w:lineRule="exact"/>
        <w:rPr>
          <w:sz w:val="20"/>
          <w:szCs w:val="20"/>
          <w:color w:val="auto"/>
        </w:rPr>
      </w:pPr>
    </w:p>
    <w:p>
      <w:pPr>
        <w:spacing w:after="0" w:line="259"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20"/>
          <w:szCs w:val="20"/>
          <w:color w:val="auto"/>
        </w:rPr>
        <w:t>By:</w:t>
        <w:tab/>
        <w:t>/s/Jesús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10160</wp:posOffset>
            </wp:positionV>
            <wp:extent cx="32232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auto"/>
        </w:rPr>
        <w:t>Name:Jesús Llorca</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Title: Executive Vice President and</w:t>
      </w:r>
    </w:p>
    <w:p>
      <w:pPr>
        <w:ind w:left="6160"/>
        <w:spacing w:after="0"/>
        <w:rPr>
          <w:sz w:val="20"/>
          <w:szCs w:val="20"/>
          <w:color w:val="auto"/>
        </w:rPr>
      </w:pP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SMHI Guaranty]</w:t>
      </w:r>
    </w:p>
    <w:p>
      <w:pPr>
        <w:sectPr>
          <w:pgSz w:w="11900" w:h="16838" w:orient="portrait"/>
          <w:cols w:equalWidth="0" w:num="1">
            <w:col w:w="10480"/>
          </w:cols>
          <w:pgMar w:left="320" w:top="555" w:right="1099" w:bottom="1440" w:gutter="0" w:footer="0" w:header="0"/>
        </w:sectPr>
      </w:pPr>
    </w:p>
    <w:bookmarkStart w:id="275" w:name="page276"/>
    <w:bookmarkEnd w:id="275"/>
    <w:p>
      <w:pPr>
        <w:ind w:left="10140"/>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60" w:type="dxa"/>
            <w:vAlign w:val="bottom"/>
            <w:gridSpan w:val="3"/>
          </w:tcPr>
          <w:p>
            <w:pPr>
              <w:jc w:val="center"/>
              <w:spacing w:after="0"/>
              <w:rPr>
                <w:sz w:val="20"/>
                <w:szCs w:val="20"/>
                <w:color w:val="auto"/>
              </w:rPr>
            </w:pPr>
            <w:r>
              <w:rPr>
                <w:rFonts w:ascii="Arial" w:cs="Arial" w:eastAsia="Arial" w:hAnsi="Arial"/>
                <w:sz w:val="18"/>
                <w:szCs w:val="18"/>
                <w:b w:val="1"/>
                <w:bCs w:val="1"/>
                <w:color w:val="auto"/>
              </w:rPr>
              <w:t>SEACOR MARINE HOLDINGS INC.</w:t>
            </w:r>
          </w:p>
        </w:tc>
      </w:tr>
      <w:tr>
        <w:trPr>
          <w:trHeight w:val="216"/>
        </w:trPr>
        <w:tc>
          <w:tcPr>
            <w:tcW w:w="6820" w:type="dxa"/>
            <w:vAlign w:val="bottom"/>
          </w:tcPr>
          <w:p>
            <w:pPr>
              <w:jc w:val="center"/>
              <w:ind w:left="4350"/>
              <w:spacing w:after="0"/>
              <w:rPr>
                <w:sz w:val="20"/>
                <w:szCs w:val="20"/>
                <w:color w:val="auto"/>
              </w:rPr>
            </w:pPr>
            <w:r>
              <w:rPr>
                <w:rFonts w:ascii="Arial" w:cs="Arial" w:eastAsia="Arial" w:hAnsi="Arial"/>
                <w:sz w:val="18"/>
                <w:szCs w:val="18"/>
                <w:b w:val="1"/>
                <w:bCs w:val="1"/>
                <w:color w:val="auto"/>
                <w:w w:val="98"/>
              </w:rPr>
              <w:t>SUBSIDIARIES</w:t>
            </w:r>
          </w:p>
        </w:tc>
        <w:tc>
          <w:tcPr>
            <w:tcW w:w="21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34"/>
        </w:trPr>
        <w:tc>
          <w:tcPr>
            <w:tcW w:w="6820" w:type="dxa"/>
            <w:vAlign w:val="bottom"/>
          </w:tcPr>
          <w:p>
            <w:pPr>
              <w:jc w:val="center"/>
              <w:ind w:left="4330"/>
              <w:spacing w:after="0"/>
              <w:rPr>
                <w:sz w:val="20"/>
                <w:szCs w:val="20"/>
                <w:color w:val="auto"/>
              </w:rPr>
            </w:pPr>
            <w:r>
              <w:rPr>
                <w:rFonts w:ascii="Arial" w:cs="Arial" w:eastAsia="Arial" w:hAnsi="Arial"/>
                <w:sz w:val="18"/>
                <w:szCs w:val="18"/>
                <w:b w:val="1"/>
                <w:bCs w:val="1"/>
                <w:color w:val="auto"/>
                <w:w w:val="95"/>
              </w:rPr>
              <w:t>AS OF DECEMBER 31, 2021</w:t>
            </w:r>
          </w:p>
        </w:tc>
        <w:tc>
          <w:tcPr>
            <w:tcW w:w="214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846"/>
        </w:trPr>
        <w:tc>
          <w:tcPr>
            <w:tcW w:w="6820" w:type="dxa"/>
            <w:vAlign w:val="bottom"/>
          </w:tcPr>
          <w:p>
            <w:pPr>
              <w:spacing w:after="0"/>
              <w:rPr>
                <w:sz w:val="24"/>
                <w:szCs w:val="24"/>
                <w:color w:val="auto"/>
              </w:rPr>
            </w:pPr>
          </w:p>
        </w:tc>
        <w:tc>
          <w:tcPr>
            <w:tcW w:w="4440" w:type="dxa"/>
            <w:vAlign w:val="bottom"/>
            <w:gridSpan w:val="2"/>
          </w:tcPr>
          <w:p>
            <w:pPr>
              <w:ind w:left="580"/>
              <w:spacing w:after="0"/>
              <w:rPr>
                <w:sz w:val="20"/>
                <w:szCs w:val="20"/>
                <w:color w:val="auto"/>
              </w:rPr>
            </w:pPr>
            <w:r>
              <w:rPr>
                <w:rFonts w:ascii="Arial" w:cs="Arial" w:eastAsia="Arial" w:hAnsi="Arial"/>
                <w:sz w:val="18"/>
                <w:szCs w:val="18"/>
                <w:b w:val="1"/>
                <w:bCs w:val="1"/>
                <w:color w:val="auto"/>
              </w:rPr>
              <w:t>Jurisdiction</w:t>
            </w:r>
          </w:p>
        </w:tc>
      </w:tr>
      <w:tr>
        <w:trPr>
          <w:trHeight w:val="194"/>
        </w:trPr>
        <w:tc>
          <w:tcPr>
            <w:tcW w:w="6820" w:type="dxa"/>
            <w:vAlign w:val="bottom"/>
          </w:tcPr>
          <w:p>
            <w:pPr>
              <w:spacing w:after="0"/>
              <w:rPr>
                <w:sz w:val="16"/>
                <w:szCs w:val="16"/>
                <w:color w:val="auto"/>
              </w:rPr>
            </w:pPr>
          </w:p>
        </w:tc>
        <w:tc>
          <w:tcPr>
            <w:tcW w:w="44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of Incorporation/Formation</w:t>
            </w:r>
          </w:p>
        </w:tc>
      </w:tr>
      <w:tr>
        <w:trPr>
          <w:trHeight w:val="222"/>
        </w:trPr>
        <w:tc>
          <w:tcPr>
            <w:tcW w:w="6820" w:type="dxa"/>
            <w:vAlign w:val="bottom"/>
          </w:tcPr>
          <w:p>
            <w:pPr>
              <w:ind w:left="180"/>
              <w:spacing w:after="0"/>
              <w:rPr>
                <w:sz w:val="20"/>
                <w:szCs w:val="20"/>
                <w:color w:val="auto"/>
              </w:rPr>
            </w:pPr>
            <w:r>
              <w:rPr>
                <w:rFonts w:ascii="Arial" w:cs="Arial" w:eastAsia="Arial" w:hAnsi="Arial"/>
                <w:sz w:val="18"/>
                <w:szCs w:val="18"/>
                <w:color w:val="auto"/>
              </w:rPr>
              <w:t>Aaron S McCall LLC</w:t>
            </w: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c>
          <w:tcPr>
            <w:tcW w:w="2300" w:type="dxa"/>
            <w:vAlign w:val="bottom"/>
          </w:tcPr>
          <w:p>
            <w:pPr>
              <w:spacing w:after="0"/>
              <w:rPr>
                <w:sz w:val="19"/>
                <w:szCs w:val="19"/>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Alya McCall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C-Lift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Compania Empresarial Del Mar Y Navegacion S.A. de C.V.</w:t>
            </w:r>
          </w:p>
        </w:tc>
        <w:tc>
          <w:tcPr>
            <w:tcW w:w="44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Cypress Ckor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Falcon Diamond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Falcon Global Holdings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Falcon Global International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Falcon Global Jill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Falcon Global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Falcon Global Offshore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Falcon Global Offshore II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Falcon Global Robert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Falcon Global USA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Falcon Pearl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Graham Offshore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Infraestructura Del Mar, S. de R.L. de C.V.</w:t>
            </w:r>
          </w:p>
        </w:tc>
        <w:tc>
          <w:tcPr>
            <w:tcW w:w="44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Liam J McCall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Maranta S.A.</w:t>
            </w:r>
          </w:p>
        </w:tc>
        <w:tc>
          <w:tcPr>
            <w:tcW w:w="444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McCall’s Boat Rentals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Michael G McCall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Montco Global,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SAN Offshore Marine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 Mar Offshore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Angola Holdings,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Command,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Congo,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Liberia</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E. G. Holdings,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Eagle II,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Freedom,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Ghana Holdings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Global Carriers,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Marine International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Offshore Dubai,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Offshore Equatorial Guinea, S.L.</w:t>
            </w:r>
          </w:p>
        </w:tc>
        <w:tc>
          <w:tcPr>
            <w:tcW w:w="4440" w:type="dxa"/>
            <w:vAlign w:val="bottom"/>
            <w:gridSpan w:val="2"/>
          </w:tcPr>
          <w:p>
            <w:pPr>
              <w:spacing w:after="0"/>
              <w:rPr>
                <w:sz w:val="20"/>
                <w:szCs w:val="20"/>
                <w:color w:val="auto"/>
              </w:rPr>
            </w:pPr>
            <w:r>
              <w:rPr>
                <w:rFonts w:ascii="Arial" w:cs="Arial" w:eastAsia="Arial" w:hAnsi="Arial"/>
                <w:sz w:val="18"/>
                <w:szCs w:val="18"/>
                <w:color w:val="auto"/>
              </w:rPr>
              <w:t>Equatorial Guinea</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Offshore Holdings,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Offshore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Offshore Operators,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Offshore Venture Holdings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Offshore Vessel Holdings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Operators,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Overseas Transport,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South Atlantic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Tims I,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Seabulk Transmarine II, Inc.</w:t>
            </w:r>
          </w:p>
        </w:tc>
        <w:tc>
          <w:tcPr>
            <w:tcW w:w="444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30"/>
        </w:trPr>
        <w:tc>
          <w:tcPr>
            <w:tcW w:w="6820" w:type="dxa"/>
            <w:vAlign w:val="bottom"/>
          </w:tcPr>
          <w:p>
            <w:pPr>
              <w:ind w:left="180"/>
              <w:spacing w:after="0"/>
              <w:rPr>
                <w:sz w:val="20"/>
                <w:szCs w:val="20"/>
                <w:color w:val="auto"/>
              </w:rPr>
            </w:pPr>
            <w:r>
              <w:rPr>
                <w:rFonts w:ascii="Arial" w:cs="Arial" w:eastAsia="Arial" w:hAnsi="Arial"/>
                <w:sz w:val="18"/>
                <w:szCs w:val="18"/>
                <w:color w:val="auto"/>
              </w:rPr>
              <w:t>Sea-cat Crewzer LLC</w:t>
            </w:r>
          </w:p>
        </w:tc>
        <w:tc>
          <w:tcPr>
            <w:tcW w:w="444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115"/>
        </w:trPr>
        <w:tc>
          <w:tcPr>
            <w:tcW w:w="68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Sea-cat Crewzer II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Sea-cat Crewzer III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88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888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Acadian Companies Inc.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Acadian Marine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Alps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Amazon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Andes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Atlas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Brave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Capital (UK) Limited</w:t>
            </w:r>
          </w:p>
        </w:tc>
        <w:tc>
          <w:tcPr>
            <w:tcW w:w="6100" w:type="dxa"/>
            <w:vAlign w:val="bottom"/>
          </w:tcPr>
          <w:p>
            <w:pPr>
              <w:ind w:left="1660"/>
              <w:spacing w:after="0"/>
              <w:rPr>
                <w:sz w:val="20"/>
                <w:szCs w:val="20"/>
                <w:color w:val="auto"/>
              </w:rPr>
            </w:pPr>
            <w:r>
              <w:rPr>
                <w:rFonts w:ascii="Arial" w:cs="Arial" w:eastAsia="Arial" w:hAnsi="Arial"/>
                <w:sz w:val="18"/>
                <w:szCs w:val="18"/>
                <w:color w:val="auto"/>
              </w:rPr>
              <w:t>England and Wales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Chief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Congo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Courageous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Demerara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Doha Holdings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Eagle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Fearless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Flex AS</w:t>
            </w:r>
          </w:p>
        </w:tc>
        <w:tc>
          <w:tcPr>
            <w:tcW w:w="6100" w:type="dxa"/>
            <w:vAlign w:val="bottom"/>
          </w:tcPr>
          <w:p>
            <w:pPr>
              <w:ind w:left="1660"/>
              <w:spacing w:after="0"/>
              <w:rPr>
                <w:sz w:val="20"/>
                <w:szCs w:val="20"/>
                <w:color w:val="auto"/>
              </w:rPr>
            </w:pPr>
            <w:r>
              <w:rPr>
                <w:rFonts w:ascii="Arial" w:cs="Arial" w:eastAsia="Arial" w:hAnsi="Arial"/>
                <w:sz w:val="18"/>
                <w:szCs w:val="18"/>
                <w:color w:val="auto"/>
              </w:rPr>
              <w:t>Norway</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Ghana Holdings Inc.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Hawk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International Chartering Inc.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LB Holdings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LB Offshore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LB Offshore (MI)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LB Realty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Liftboats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Alpine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Asia Holdings Inc.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(Asia) Pte. Ltd.</w:t>
            </w:r>
          </w:p>
        </w:tc>
        <w:tc>
          <w:tcPr>
            <w:tcW w:w="6100" w:type="dxa"/>
            <w:vAlign w:val="bottom"/>
          </w:tcPr>
          <w:p>
            <w:pPr>
              <w:ind w:left="1660"/>
              <w:spacing w:after="0"/>
              <w:rPr>
                <w:sz w:val="20"/>
                <w:szCs w:val="20"/>
                <w:color w:val="auto"/>
              </w:rPr>
            </w:pPr>
            <w:r>
              <w:rPr>
                <w:rFonts w:ascii="Arial" w:cs="Arial" w:eastAsia="Arial" w:hAnsi="Arial"/>
                <w:sz w:val="18"/>
                <w:szCs w:val="18"/>
                <w:color w:val="auto"/>
              </w:rPr>
              <w:t>Singapore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Australia Pty Ltd</w:t>
            </w:r>
          </w:p>
        </w:tc>
        <w:tc>
          <w:tcPr>
            <w:tcW w:w="6100" w:type="dxa"/>
            <w:vAlign w:val="bottom"/>
          </w:tcPr>
          <w:p>
            <w:pPr>
              <w:ind w:left="1660"/>
              <w:spacing w:after="0"/>
              <w:rPr>
                <w:sz w:val="20"/>
                <w:szCs w:val="20"/>
                <w:color w:val="auto"/>
              </w:rPr>
            </w:pPr>
            <w:r>
              <w:rPr>
                <w:rFonts w:ascii="Arial" w:cs="Arial" w:eastAsia="Arial" w:hAnsi="Arial"/>
                <w:sz w:val="18"/>
                <w:szCs w:val="18"/>
                <w:color w:val="auto"/>
              </w:rPr>
              <w:t>Australia</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(Bahamas) Inc.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Capital Inc.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Foreign Holdings Inc.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(Guernsey) Ltd.</w:t>
            </w:r>
          </w:p>
        </w:tc>
        <w:tc>
          <w:tcPr>
            <w:tcW w:w="6100" w:type="dxa"/>
            <w:vAlign w:val="bottom"/>
          </w:tcPr>
          <w:p>
            <w:pPr>
              <w:ind w:left="1660"/>
              <w:spacing w:after="0"/>
              <w:rPr>
                <w:sz w:val="20"/>
                <w:szCs w:val="20"/>
                <w:color w:val="auto"/>
              </w:rPr>
            </w:pPr>
            <w:r>
              <w:rPr>
                <w:rFonts w:ascii="Arial" w:cs="Arial" w:eastAsia="Arial" w:hAnsi="Arial"/>
                <w:sz w:val="18"/>
                <w:szCs w:val="18"/>
                <w:color w:val="auto"/>
              </w:rPr>
              <w:t>Guernsey</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(International) Limited</w:t>
            </w:r>
          </w:p>
        </w:tc>
        <w:tc>
          <w:tcPr>
            <w:tcW w:w="6100" w:type="dxa"/>
            <w:vAlign w:val="bottom"/>
          </w:tcPr>
          <w:p>
            <w:pPr>
              <w:ind w:left="1660"/>
              <w:spacing w:after="0"/>
              <w:rPr>
                <w:sz w:val="20"/>
                <w:szCs w:val="20"/>
                <w:color w:val="auto"/>
              </w:rPr>
            </w:pPr>
            <w:r>
              <w:rPr>
                <w:rFonts w:ascii="Arial" w:cs="Arial" w:eastAsia="Arial" w:hAnsi="Arial"/>
                <w:sz w:val="18"/>
                <w:szCs w:val="18"/>
                <w:color w:val="auto"/>
              </w:rPr>
              <w:t>England and Wales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International B.V.</w:t>
            </w:r>
          </w:p>
        </w:tc>
        <w:tc>
          <w:tcPr>
            <w:tcW w:w="6100" w:type="dxa"/>
            <w:vAlign w:val="bottom"/>
          </w:tcPr>
          <w:p>
            <w:pPr>
              <w:ind w:left="1660"/>
              <w:spacing w:after="0"/>
              <w:rPr>
                <w:sz w:val="20"/>
                <w:szCs w:val="20"/>
                <w:color w:val="auto"/>
              </w:rPr>
            </w:pPr>
            <w:r>
              <w:rPr>
                <w:rFonts w:ascii="Arial" w:cs="Arial" w:eastAsia="Arial" w:hAnsi="Arial"/>
                <w:sz w:val="18"/>
                <w:szCs w:val="18"/>
                <w:color w:val="auto"/>
              </w:rPr>
              <w:t>Netherlands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International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International 2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International Holdings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(Malta) Limited</w:t>
            </w:r>
          </w:p>
        </w:tc>
        <w:tc>
          <w:tcPr>
            <w:tcW w:w="6100" w:type="dxa"/>
            <w:vAlign w:val="bottom"/>
          </w:tcPr>
          <w:p>
            <w:pPr>
              <w:ind w:left="1660"/>
              <w:spacing w:after="0"/>
              <w:rPr>
                <w:sz w:val="20"/>
                <w:szCs w:val="20"/>
                <w:color w:val="auto"/>
              </w:rPr>
            </w:pPr>
            <w:r>
              <w:rPr>
                <w:rFonts w:ascii="Arial" w:cs="Arial" w:eastAsia="Arial" w:hAnsi="Arial"/>
                <w:sz w:val="18"/>
                <w:szCs w:val="18"/>
                <w:color w:val="auto"/>
              </w:rPr>
              <w:t>Malta</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(Nigeria) L.L.C.</w:t>
            </w:r>
          </w:p>
        </w:tc>
        <w:tc>
          <w:tcPr>
            <w:tcW w:w="6100" w:type="dxa"/>
            <w:vAlign w:val="bottom"/>
          </w:tcPr>
          <w:p>
            <w:pPr>
              <w:ind w:left="1660"/>
              <w:spacing w:after="0"/>
              <w:rPr>
                <w:sz w:val="20"/>
                <w:szCs w:val="20"/>
                <w:color w:val="auto"/>
              </w:rPr>
            </w:pPr>
            <w:r>
              <w:rPr>
                <w:rFonts w:ascii="Arial" w:cs="Arial" w:eastAsia="Arial" w:hAnsi="Arial"/>
                <w:sz w:val="18"/>
                <w:szCs w:val="18"/>
                <w:color w:val="auto"/>
              </w:rPr>
              <w:t>Louisiana</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Payroll Management LLC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Property Limited</w:t>
            </w:r>
          </w:p>
        </w:tc>
        <w:tc>
          <w:tcPr>
            <w:tcW w:w="6100" w:type="dxa"/>
            <w:vAlign w:val="bottom"/>
          </w:tcPr>
          <w:p>
            <w:pPr>
              <w:ind w:left="1660"/>
              <w:spacing w:after="0"/>
              <w:rPr>
                <w:sz w:val="20"/>
                <w:szCs w:val="20"/>
                <w:color w:val="auto"/>
              </w:rPr>
            </w:pPr>
            <w:r>
              <w:rPr>
                <w:rFonts w:ascii="Arial" w:cs="Arial" w:eastAsia="Arial" w:hAnsi="Arial"/>
                <w:sz w:val="18"/>
                <w:szCs w:val="18"/>
                <w:color w:val="auto"/>
              </w:rPr>
              <w:t>United Arab Emirates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Marine Services Doha LLC</w:t>
            </w:r>
          </w:p>
        </w:tc>
        <w:tc>
          <w:tcPr>
            <w:tcW w:w="6100" w:type="dxa"/>
            <w:vAlign w:val="bottom"/>
          </w:tcPr>
          <w:p>
            <w:pPr>
              <w:ind w:left="1660"/>
              <w:spacing w:after="0"/>
              <w:rPr>
                <w:sz w:val="20"/>
                <w:szCs w:val="20"/>
                <w:color w:val="auto"/>
              </w:rPr>
            </w:pPr>
            <w:r>
              <w:rPr>
                <w:rFonts w:ascii="Arial" w:cs="Arial" w:eastAsia="Arial" w:hAnsi="Arial"/>
                <w:sz w:val="18"/>
                <w:szCs w:val="18"/>
                <w:color w:val="auto"/>
              </w:rPr>
              <w:t>Qatar</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Mekong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Murray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Nile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Ocean Boats Inc.</w:t>
            </w:r>
          </w:p>
        </w:tc>
        <w:tc>
          <w:tcPr>
            <w:tcW w:w="610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Offshore 191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Offshore Abu Dhabi, Inc.</w:t>
            </w:r>
          </w:p>
        </w:tc>
        <w:tc>
          <w:tcPr>
            <w:tcW w:w="6100" w:type="dxa"/>
            <w:vAlign w:val="bottom"/>
          </w:tcPr>
          <w:p>
            <w:pPr>
              <w:ind w:left="1660"/>
              <w:spacing w:after="0"/>
              <w:rPr>
                <w:sz w:val="20"/>
                <w:szCs w:val="20"/>
                <w:color w:val="auto"/>
              </w:rPr>
            </w:pPr>
            <w:r>
              <w:rPr>
                <w:rFonts w:ascii="Arial" w:cs="Arial" w:eastAsia="Arial" w:hAnsi="Arial"/>
                <w:sz w:val="18"/>
                <w:szCs w:val="18"/>
                <w:color w:val="auto"/>
              </w:rPr>
              <w:t>Florida</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Offshore Asia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SEACOR Offshore do Brasil Ltda.</w:t>
            </w:r>
          </w:p>
        </w:tc>
        <w:tc>
          <w:tcPr>
            <w:tcW w:w="6100" w:type="dxa"/>
            <w:vAlign w:val="bottom"/>
          </w:tcPr>
          <w:p>
            <w:pPr>
              <w:ind w:left="1660"/>
              <w:spacing w:after="0"/>
              <w:rPr>
                <w:sz w:val="20"/>
                <w:szCs w:val="20"/>
                <w:color w:val="auto"/>
              </w:rPr>
            </w:pPr>
            <w:r>
              <w:rPr>
                <w:rFonts w:ascii="Arial" w:cs="Arial" w:eastAsia="Arial" w:hAnsi="Arial"/>
                <w:sz w:val="18"/>
                <w:szCs w:val="18"/>
                <w:color w:val="auto"/>
              </w:rPr>
              <w:t>Brazil</w:t>
            </w: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SEACOR Offshore Delta LLC</w:t>
            </w:r>
          </w:p>
        </w:tc>
        <w:tc>
          <w:tcPr>
            <w:tcW w:w="6100" w:type="dxa"/>
            <w:vAlign w:val="bottom"/>
          </w:tcPr>
          <w:p>
            <w:pPr>
              <w:ind w:left="1660"/>
              <w:spacing w:after="0"/>
              <w:rPr>
                <w:sz w:val="20"/>
                <w:szCs w:val="20"/>
                <w:color w:val="auto"/>
              </w:rPr>
            </w:pPr>
            <w:r>
              <w:rPr>
                <w:rFonts w:ascii="Arial" w:cs="Arial" w:eastAsia="Arial" w:hAnsi="Arial"/>
                <w:sz w:val="18"/>
                <w:szCs w:val="18"/>
                <w:color w:val="auto"/>
              </w:rPr>
              <w:t>Marshall Islands</w:t>
            </w:r>
          </w:p>
        </w:tc>
      </w:tr>
      <w:tr>
        <w:trPr>
          <w:trHeight w:val="115"/>
        </w:trPr>
        <w:tc>
          <w:tcPr>
            <w:tcW w:w="5160" w:type="dxa"/>
            <w:vAlign w:val="bottom"/>
            <w:tcBorders>
              <w:bottom w:val="single" w:sz="8" w:color="9A9A9A"/>
            </w:tcBorders>
          </w:tcPr>
          <w:p>
            <w:pPr>
              <w:spacing w:after="0"/>
              <w:rPr>
                <w:sz w:val="10"/>
                <w:szCs w:val="10"/>
                <w:color w:val="auto"/>
              </w:rPr>
            </w:pPr>
          </w:p>
        </w:tc>
        <w:tc>
          <w:tcPr>
            <w:tcW w:w="6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color w:val="auto"/>
        </w:rPr>
        <w:t>SEACOR Offshore Dubai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Eight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SEACOR Offshore (Marshall Islands)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McCall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Mischief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Mystery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OSV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Vessel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Ohio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OSV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OSV Partners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Parana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Paula McCall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Resolute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Rio Grande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Strong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Subco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SEACOR-SMIT Offshore (International)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SEACOR Worldwide (AZ)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Worldwide (Ghana)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Worldwide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Yangtze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Stirling Offshore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Stirling Shipping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Stirling Shipping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VEESEA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VENSEA Marine,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Windlift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Arab Emirates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ectPr>
          <w:pgSz w:w="11900" w:h="16838" w:orient="portrait"/>
          <w:cols w:equalWidth="0" w:num="2">
            <w:col w:w="5920" w:space="720"/>
            <w:col w:w="3319"/>
          </w:cols>
          <w:pgMar w:left="500" w:top="125" w:right="1440"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issued our report dated March 10, 2022, with respect to the consolidated financial statements and schedule included in the Annual Report of SEACOR Marine Holdings Inc. on Form 10-K for the year ended December 31, 2021. We consent to the incorporation by reference of said report in the Registration Statements of SEACOR Marine Holdings Inc. on Forms S-8 (File No. 333-221680 and File No. 333-239051) and Forms S-3 (File No. 333-225686, File No. 333-230667, File No. 333-238308, and File No. 333-262447).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ectPr>
          <w:pgSz w:w="11900" w:h="16838" w:orient="portrait"/>
          <w:cols w:equalWidth="0" w:num="1">
            <w:col w:w="11240"/>
          </w:cols>
          <w:pgMar w:left="320" w:top="121" w:right="33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OF THE SECURITIES EXCHANGE ACT,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John Gellert, certify that:</w:t>
      </w:r>
    </w:p>
    <w:p>
      <w:pPr>
        <w:spacing w:after="0" w:line="185" w:lineRule="exact"/>
        <w:rPr>
          <w:sz w:val="20"/>
          <w:szCs w:val="20"/>
          <w:color w:val="auto"/>
        </w:rPr>
      </w:pPr>
    </w:p>
    <w:p>
      <w:pPr>
        <w:ind w:left="900" w:hanging="447"/>
        <w:spacing w:after="0"/>
        <w:tabs>
          <w:tab w:leader="none" w:pos="9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SEACOR Marine Holdings Inc.;</w:t>
      </w:r>
    </w:p>
    <w:p>
      <w:pPr>
        <w:spacing w:after="0" w:line="184"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900" w:right="20" w:hanging="447"/>
        <w:spacing w:after="0" w:line="308" w:lineRule="auto"/>
        <w:tabs>
          <w:tab w:leader="none" w:pos="90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900" w:hanging="447"/>
        <w:spacing w:after="0" w:line="291" w:lineRule="auto"/>
        <w:tabs>
          <w:tab w:leader="none" w:pos="90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70" w:lineRule="exact"/>
        <w:rPr>
          <w:rFonts w:ascii="Arial" w:cs="Arial" w:eastAsia="Arial" w:hAnsi="Arial"/>
          <w:sz w:val="16"/>
          <w:szCs w:val="16"/>
          <w:color w:val="auto"/>
        </w:rPr>
      </w:pPr>
    </w:p>
    <w:p>
      <w:pPr>
        <w:jc w:val="both"/>
        <w:ind w:left="1340" w:hanging="441"/>
        <w:spacing w:after="0" w:line="263" w:lineRule="auto"/>
        <w:tabs>
          <w:tab w:leader="none" w:pos="134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340" w:hanging="441"/>
        <w:spacing w:after="0" w:line="263" w:lineRule="auto"/>
        <w:tabs>
          <w:tab w:leader="none" w:pos="134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340" w:hanging="441"/>
        <w:spacing w:after="0" w:line="342" w:lineRule="auto"/>
        <w:tabs>
          <w:tab w:leader="none" w:pos="1340" w:val="left"/>
        </w:tabs>
        <w:numPr>
          <w:ilvl w:val="1"/>
          <w:numId w:val="2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40" w:hanging="441"/>
        <w:spacing w:after="0" w:line="263" w:lineRule="auto"/>
        <w:tabs>
          <w:tab w:leader="none" w:pos="134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900" w:hanging="447"/>
        <w:spacing w:after="0" w:line="342" w:lineRule="auto"/>
        <w:tabs>
          <w:tab w:leader="none" w:pos="90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340" w:hanging="441"/>
        <w:spacing w:after="0" w:line="308" w:lineRule="auto"/>
        <w:tabs>
          <w:tab w:leader="none" w:pos="134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340" w:hanging="441"/>
        <w:spacing w:after="0" w:line="277" w:lineRule="auto"/>
        <w:tabs>
          <w:tab w:leader="none" w:pos="134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4900" w:type="dxa"/>
            <w:vAlign w:val="bottom"/>
          </w:tcPr>
          <w:p>
            <w:pPr>
              <w:ind w:left="220"/>
              <w:spacing w:after="0"/>
              <w:rPr>
                <w:sz w:val="20"/>
                <w:szCs w:val="20"/>
                <w:color w:val="auto"/>
              </w:rPr>
            </w:pPr>
            <w:r>
              <w:rPr>
                <w:rFonts w:ascii="Arial" w:cs="Arial" w:eastAsia="Arial" w:hAnsi="Arial"/>
                <w:sz w:val="18"/>
                <w:szCs w:val="18"/>
                <w:color w:val="auto"/>
              </w:rPr>
              <w:t>March 10, 2022</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ind w:left="22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220"/>
              <w:spacing w:after="0"/>
              <w:rPr>
                <w:sz w:val="20"/>
                <w:szCs w:val="20"/>
                <w:color w:val="auto"/>
              </w:rPr>
            </w:pPr>
            <w:r>
              <w:rPr>
                <w:rFonts w:ascii="Arial" w:cs="Arial" w:eastAsia="Arial" w:hAnsi="Arial"/>
                <w:sz w:val="18"/>
                <w:szCs w:val="18"/>
                <w:i w:val="1"/>
                <w:iCs w:val="1"/>
                <w:color w:val="auto"/>
              </w:rPr>
              <w:t>President, Chief Executive Officer and Director</w:t>
            </w:r>
          </w:p>
        </w:tc>
      </w:tr>
      <w:tr>
        <w:trPr>
          <w:trHeight w:val="230"/>
        </w:trPr>
        <w:tc>
          <w:tcPr>
            <w:tcW w:w="720" w:type="dxa"/>
            <w:vAlign w:val="bottom"/>
          </w:tcPr>
          <w:p>
            <w:pPr>
              <w:spacing w:after="0"/>
              <w:rPr>
                <w:sz w:val="20"/>
                <w:szCs w:val="20"/>
                <w:color w:val="auto"/>
              </w:rPr>
            </w:pPr>
          </w:p>
        </w:tc>
        <w:tc>
          <w:tcPr>
            <w:tcW w:w="4900" w:type="dxa"/>
            <w:vAlign w:val="bottom"/>
          </w:tcPr>
          <w:p>
            <w:pPr>
              <w:ind w:left="2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OF THE SECURITIES EXCHANGE ACT,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Jesús Llorca, certify that:</w:t>
      </w:r>
    </w:p>
    <w:p>
      <w:pPr>
        <w:spacing w:after="0" w:line="185" w:lineRule="exact"/>
        <w:rPr>
          <w:sz w:val="20"/>
          <w:szCs w:val="20"/>
          <w:color w:val="auto"/>
        </w:rPr>
      </w:pPr>
    </w:p>
    <w:p>
      <w:pPr>
        <w:ind w:left="900" w:hanging="447"/>
        <w:spacing w:after="0"/>
        <w:tabs>
          <w:tab w:leader="none" w:pos="9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SEACOR Marine Holdings Inc.;</w:t>
      </w:r>
    </w:p>
    <w:p>
      <w:pPr>
        <w:spacing w:after="0" w:line="184" w:lineRule="exact"/>
        <w:rPr>
          <w:rFonts w:ascii="Arial" w:cs="Arial" w:eastAsia="Arial" w:hAnsi="Arial"/>
          <w:sz w:val="18"/>
          <w:szCs w:val="18"/>
          <w:color w:val="auto"/>
        </w:rPr>
      </w:pPr>
    </w:p>
    <w:p>
      <w:pPr>
        <w:jc w:val="both"/>
        <w:ind w:left="900" w:right="140" w:hanging="447"/>
        <w:spacing w:after="0" w:line="263" w:lineRule="auto"/>
        <w:tabs>
          <w:tab w:leader="none" w:pos="9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900" w:right="140" w:hanging="447"/>
        <w:spacing w:after="0" w:line="308" w:lineRule="auto"/>
        <w:tabs>
          <w:tab w:leader="none" w:pos="90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900" w:right="80" w:hanging="447"/>
        <w:spacing w:after="0" w:line="291" w:lineRule="auto"/>
        <w:tabs>
          <w:tab w:leader="none" w:pos="90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70" w:lineRule="exact"/>
        <w:rPr>
          <w:rFonts w:ascii="Arial" w:cs="Arial" w:eastAsia="Arial" w:hAnsi="Arial"/>
          <w:sz w:val="16"/>
          <w:szCs w:val="16"/>
          <w:color w:val="auto"/>
        </w:rPr>
      </w:pPr>
    </w:p>
    <w:p>
      <w:pPr>
        <w:ind w:left="1340" w:right="20" w:hanging="441"/>
        <w:spacing w:after="0" w:line="263" w:lineRule="auto"/>
        <w:tabs>
          <w:tab w:leader="none" w:pos="134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40" w:hanging="441"/>
        <w:spacing w:after="0" w:line="263" w:lineRule="auto"/>
        <w:tabs>
          <w:tab w:leader="none" w:pos="134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340" w:right="160" w:hanging="441"/>
        <w:spacing w:after="0" w:line="342" w:lineRule="auto"/>
        <w:tabs>
          <w:tab w:leader="none" w:pos="1340" w:val="left"/>
        </w:tabs>
        <w:numPr>
          <w:ilvl w:val="1"/>
          <w:numId w:val="2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right="80" w:hanging="441"/>
        <w:spacing w:after="0" w:line="263" w:lineRule="auto"/>
        <w:tabs>
          <w:tab w:leader="none" w:pos="134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900" w:right="160" w:hanging="447"/>
        <w:spacing w:after="0" w:line="342" w:lineRule="auto"/>
        <w:tabs>
          <w:tab w:leader="none" w:pos="90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340" w:right="420" w:hanging="441"/>
        <w:spacing w:after="0" w:line="342" w:lineRule="auto"/>
        <w:tabs>
          <w:tab w:leader="none" w:pos="1340" w:val="left"/>
        </w:tabs>
        <w:numPr>
          <w:ilvl w:val="1"/>
          <w:numId w:val="27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40" w:right="60" w:hanging="441"/>
        <w:spacing w:after="0" w:line="277" w:lineRule="auto"/>
        <w:tabs>
          <w:tab w:leader="none" w:pos="134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960" w:type="dxa"/>
            <w:vAlign w:val="bottom"/>
          </w:tcPr>
          <w:p>
            <w:pPr>
              <w:ind w:left="160"/>
              <w:spacing w:after="0"/>
              <w:rPr>
                <w:sz w:val="20"/>
                <w:szCs w:val="20"/>
                <w:color w:val="auto"/>
              </w:rPr>
            </w:pPr>
            <w:r>
              <w:rPr>
                <w:rFonts w:ascii="Arial" w:cs="Arial" w:eastAsia="Arial" w:hAnsi="Arial"/>
                <w:sz w:val="18"/>
                <w:szCs w:val="18"/>
                <w:color w:val="auto"/>
              </w:rPr>
              <w:t>March 10, 2022</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Jesús Llorca</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ind w:left="160"/>
              <w:spacing w:after="0" w:line="195" w:lineRule="exact"/>
              <w:rPr>
                <w:sz w:val="20"/>
                <w:szCs w:val="20"/>
                <w:color w:val="auto"/>
              </w:rPr>
            </w:pPr>
            <w:r>
              <w:rPr>
                <w:rFonts w:ascii="Arial" w:cs="Arial" w:eastAsia="Arial" w:hAnsi="Arial"/>
                <w:sz w:val="18"/>
                <w:szCs w:val="18"/>
                <w:color w:val="auto"/>
              </w:rPr>
              <w:t>Jesús Llorca</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ind w:left="16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230"/>
        </w:trPr>
        <w:tc>
          <w:tcPr>
            <w:tcW w:w="660" w:type="dxa"/>
            <w:vAlign w:val="bottom"/>
          </w:tcPr>
          <w:p>
            <w:pPr>
              <w:spacing w:after="0"/>
              <w:rPr>
                <w:sz w:val="20"/>
                <w:szCs w:val="20"/>
                <w:color w:val="auto"/>
              </w:rPr>
            </w:pPr>
          </w:p>
        </w:tc>
        <w:tc>
          <w:tcPr>
            <w:tcW w:w="4960" w:type="dxa"/>
            <w:vAlign w:val="bottom"/>
          </w:tcPr>
          <w:p>
            <w:pPr>
              <w:ind w:left="16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121" w:right="33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b w:val="1"/>
          <w:bCs w:val="1"/>
          <w:color w:val="auto"/>
        </w:rPr>
        <w:t>Exhibit 32</w:t>
      </w:r>
    </w:p>
    <w:p>
      <w:pPr>
        <w:spacing w:after="0" w:line="1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PRINCIPAL EXECUTIVE OFFICER AND PRINCIPAL FINANCIAL OFFICER PURSUANT TO 18 U.S.C. SECTION 1350, AS ADOPTED PURSUANT TO SECTION 906 OF THE SARBANES-OXLEY ACT OF 2002</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the undersigned, the Chief Executive Officer and the Chief Financial Officer of SEACOR Marine Holdings Inc. (the “Company”), hereby certifies, to the best of his knowledge and belief, that the Annual Report on Form 10-K of the Company for the year ended December 31, 2021 (the “Annual Report”) accompanying this certification fully complies with the requirements of Section 13(a) or 15(d) of the Securities Exchange Act of 1934, as amended, and that the information contained in the Annual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spacing w:after="0" w:line="192"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140"/>
              <w:spacing w:after="0"/>
              <w:rPr>
                <w:sz w:val="20"/>
                <w:szCs w:val="20"/>
                <w:color w:val="auto"/>
              </w:rPr>
            </w:pPr>
            <w:r>
              <w:rPr>
                <w:rFonts w:ascii="Arial" w:cs="Arial" w:eastAsia="Arial" w:hAnsi="Arial"/>
                <w:sz w:val="18"/>
                <w:szCs w:val="18"/>
                <w:color w:val="auto"/>
              </w:rPr>
              <w:t>March 10, 2022</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ind w:left="14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40"/>
              <w:spacing w:after="0"/>
              <w:rPr>
                <w:sz w:val="20"/>
                <w:szCs w:val="20"/>
                <w:color w:val="auto"/>
              </w:rPr>
            </w:pPr>
            <w:r>
              <w:rPr>
                <w:rFonts w:ascii="Arial" w:cs="Arial" w:eastAsia="Arial" w:hAnsi="Arial"/>
                <w:sz w:val="18"/>
                <w:szCs w:val="18"/>
                <w:i w:val="1"/>
                <w:iCs w:val="1"/>
                <w:color w:val="auto"/>
              </w:rPr>
              <w:t>President, Chief Executive Officer and Director</w:t>
            </w:r>
          </w:p>
        </w:tc>
      </w:tr>
      <w:tr>
        <w:trPr>
          <w:trHeight w:val="230"/>
        </w:trPr>
        <w:tc>
          <w:tcPr>
            <w:tcW w:w="620" w:type="dxa"/>
            <w:vAlign w:val="bottom"/>
          </w:tcPr>
          <w:p>
            <w:pPr>
              <w:spacing w:after="0"/>
              <w:rPr>
                <w:sz w:val="20"/>
                <w:szCs w:val="20"/>
                <w:color w:val="auto"/>
              </w:rPr>
            </w:pPr>
          </w:p>
        </w:tc>
        <w:tc>
          <w:tcPr>
            <w:tcW w:w="5000" w:type="dxa"/>
            <w:vAlign w:val="bottom"/>
          </w:tcPr>
          <w:p>
            <w:pPr>
              <w:ind w:left="140"/>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140"/>
              <w:spacing w:after="0"/>
              <w:rPr>
                <w:sz w:val="20"/>
                <w:szCs w:val="20"/>
                <w:color w:val="auto"/>
              </w:rPr>
            </w:pPr>
            <w:r>
              <w:rPr>
                <w:rFonts w:ascii="Arial" w:cs="Arial" w:eastAsia="Arial" w:hAnsi="Arial"/>
                <w:sz w:val="18"/>
                <w:szCs w:val="18"/>
                <w:color w:val="auto"/>
              </w:rPr>
              <w:t>March 10, 2022</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Jesús Llorca</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ind w:left="140"/>
              <w:spacing w:after="0" w:line="195" w:lineRule="exact"/>
              <w:rPr>
                <w:sz w:val="20"/>
                <w:szCs w:val="20"/>
                <w:color w:val="auto"/>
              </w:rPr>
            </w:pPr>
            <w:r>
              <w:rPr>
                <w:rFonts w:ascii="Arial" w:cs="Arial" w:eastAsia="Arial" w:hAnsi="Arial"/>
                <w:sz w:val="18"/>
                <w:szCs w:val="18"/>
                <w:color w:val="auto"/>
              </w:rPr>
              <w:t>Jesús Llorca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40"/>
              <w:spacing w:after="0"/>
              <w:rPr>
                <w:sz w:val="20"/>
                <w:szCs w:val="20"/>
                <w:color w:val="auto"/>
              </w:rPr>
            </w:pPr>
            <w:r>
              <w:rPr>
                <w:rFonts w:ascii="Arial" w:cs="Arial" w:eastAsia="Arial" w:hAnsi="Arial"/>
                <w:sz w:val="18"/>
                <w:szCs w:val="18"/>
                <w:i w:val="1"/>
                <w:iCs w:val="1"/>
                <w:color w:val="auto"/>
              </w:rPr>
              <w:t>Executive Vice President and</w:t>
            </w:r>
          </w:p>
        </w:tc>
      </w:tr>
      <w:tr>
        <w:trPr>
          <w:trHeight w:val="216"/>
        </w:trPr>
        <w:tc>
          <w:tcPr>
            <w:tcW w:w="620" w:type="dxa"/>
            <w:vAlign w:val="bottom"/>
          </w:tcPr>
          <w:p>
            <w:pPr>
              <w:spacing w:after="0"/>
              <w:rPr>
                <w:sz w:val="18"/>
                <w:szCs w:val="18"/>
                <w:color w:val="auto"/>
              </w:rPr>
            </w:pPr>
          </w:p>
        </w:tc>
        <w:tc>
          <w:tcPr>
            <w:tcW w:w="5000" w:type="dxa"/>
            <w:vAlign w:val="bottom"/>
          </w:tcPr>
          <w:p>
            <w:pPr>
              <w:ind w:left="14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620" w:type="dxa"/>
            <w:vAlign w:val="bottom"/>
          </w:tcPr>
          <w:p>
            <w:pPr>
              <w:spacing w:after="0"/>
              <w:rPr>
                <w:sz w:val="20"/>
                <w:szCs w:val="20"/>
                <w:color w:val="auto"/>
              </w:rPr>
            </w:pPr>
          </w:p>
        </w:tc>
        <w:tc>
          <w:tcPr>
            <w:tcW w:w="5000" w:type="dxa"/>
            <w:vAlign w:val="bottom"/>
          </w:tcPr>
          <w:p>
            <w:pPr>
              <w:ind w:left="14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E99DD7"/>
    <w:multiLevelType w:val="hybridMultilevel"/>
    <w:lvl w:ilvl="0">
      <w:lvlJc w:val="left"/>
      <w:lvlText w:val="☒"/>
      <w:numFmt w:val="bullet"/>
      <w:start w:val="1"/>
    </w:lvl>
  </w:abstractNum>
  <w:abstractNum w:abstractNumId="1">
    <w:nsid w:val="2A31B62D"/>
    <w:multiLevelType w:val="hybridMultilevel"/>
    <w:lvl w:ilvl="0">
      <w:lvlJc w:val="left"/>
      <w:lvlText w:val="☐"/>
      <w:numFmt w:val="bullet"/>
      <w:start w:val="1"/>
    </w:lvl>
  </w:abstractNum>
  <w:abstractNum w:abstractNumId="2">
    <w:nsid w:val="1849C29B"/>
    <w:multiLevelType w:val="hybridMultilevel"/>
    <w:lvl w:ilvl="0">
      <w:lvlJc w:val="left"/>
      <w:lvlText w:val="(%1)"/>
      <w:numFmt w:val="lowerRoman"/>
      <w:start w:val="2"/>
    </w:lvl>
  </w:abstractNum>
  <w:abstractNum w:abstractNumId="3">
    <w:nsid w:val="7DFF9D09"/>
    <w:multiLevelType w:val="hybridMultilevel"/>
    <w:lvl w:ilvl="0">
      <w:lvlJc w:val="left"/>
      <w:lvlText w:val="(%1)"/>
      <w:numFmt w:val="decimal"/>
      <w:start w:val="1"/>
    </w:lvl>
  </w:abstractNum>
  <w:abstractNum w:abstractNumId="4">
    <w:nsid w:val="754342"/>
    <w:multiLevelType w:val="hybridMultilevel"/>
    <w:lvl w:ilvl="0">
      <w:lvlJc w:val="left"/>
      <w:lvlText w:val="(%1)"/>
      <w:numFmt w:val="lowerRoman"/>
      <w:start w:val="5"/>
    </w:lvl>
  </w:abstractNum>
  <w:abstractNum w:abstractNumId="5">
    <w:nsid w:val="69E7F3E5"/>
    <w:multiLevelType w:val="hybridMultilevel"/>
    <w:lvl w:ilvl="0">
      <w:lvlJc w:val="left"/>
      <w:lvlText w:val="•"/>
      <w:numFmt w:val="bullet"/>
      <w:start w:val="1"/>
    </w:lvl>
  </w:abstractNum>
  <w:abstractNum w:abstractNumId="6">
    <w:nsid w:val="2A6DE806"/>
    <w:multiLevelType w:val="hybridMultilevel"/>
    <w:lvl w:ilvl="0">
      <w:lvlJc w:val="left"/>
      <w:lvlText w:val="•"/>
      <w:numFmt w:val="bullet"/>
      <w:start w:val="1"/>
    </w:lvl>
  </w:abstractNum>
  <w:abstractNum w:abstractNumId="7">
    <w:nsid w:val="1816F8C4"/>
    <w:multiLevelType w:val="hybridMultilevel"/>
    <w:lvl w:ilvl="0">
      <w:lvlJc w:val="left"/>
      <w:lvlText w:val="•"/>
      <w:numFmt w:val="bullet"/>
      <w:start w:val="1"/>
    </w:lvl>
  </w:abstractNum>
  <w:abstractNum w:abstractNumId="8">
    <w:nsid w:val="37DF2233"/>
    <w:multiLevelType w:val="hybridMultilevel"/>
    <w:lvl w:ilvl="0">
      <w:lvlJc w:val="left"/>
      <w:lvlText w:val="•"/>
      <w:numFmt w:val="bullet"/>
      <w:start w:val="1"/>
    </w:lvl>
  </w:abstractNum>
  <w:abstractNum w:abstractNumId="9">
    <w:nsid w:val="7AB49DAF"/>
    <w:multiLevelType w:val="hybridMultilevel"/>
    <w:lvl w:ilvl="0">
      <w:lvlJc w:val="left"/>
      <w:lvlText w:val="•"/>
      <w:numFmt w:val="bullet"/>
      <w:start w:val="1"/>
    </w:lvl>
  </w:abstractNum>
  <w:abstractNum w:abstractNumId="10">
    <w:nsid w:val="759F82CD"/>
    <w:multiLevelType w:val="hybridMultilevel"/>
    <w:lvl w:ilvl="0">
      <w:lvlJc w:val="left"/>
      <w:lvlText w:val="•"/>
      <w:numFmt w:val="bullet"/>
      <w:start w:val="1"/>
    </w:lvl>
  </w:abstractNum>
  <w:abstractNum w:abstractNumId="11">
    <w:nsid w:val="61E74EA3"/>
    <w:multiLevelType w:val="hybridMultilevel"/>
    <w:lvl w:ilvl="0">
      <w:lvlJc w:val="left"/>
      <w:lvlText w:val="•"/>
      <w:numFmt w:val="bullet"/>
      <w:start w:val="1"/>
    </w:lvl>
  </w:abstractNum>
  <w:abstractNum w:abstractNumId="12">
    <w:nsid w:val="597B4D84"/>
    <w:multiLevelType w:val="hybridMultilevel"/>
    <w:lvl w:ilvl="0">
      <w:lvlJc w:val="left"/>
      <w:lvlText w:val="•"/>
      <w:numFmt w:val="bullet"/>
      <w:start w:val="1"/>
    </w:lvl>
  </w:abstractNum>
  <w:abstractNum w:abstractNumId="13">
    <w:nsid w:val="F819E7F"/>
    <w:multiLevelType w:val="hybridMultilevel"/>
    <w:lvl w:ilvl="0">
      <w:lvlJc w:val="left"/>
      <w:lvlText w:val="•"/>
      <w:numFmt w:val="bullet"/>
      <w:start w:val="1"/>
    </w:lvl>
  </w:abstractNum>
  <w:abstractNum w:abstractNumId="14">
    <w:nsid w:val="57C7D42D"/>
    <w:multiLevelType w:val="hybridMultilevel"/>
    <w:lvl w:ilvl="0">
      <w:lvlJc w:val="left"/>
      <w:lvlText w:val="(%1)"/>
      <w:numFmt w:val="lowerRoman"/>
      <w:start w:val="1"/>
    </w:lvl>
  </w:abstractNum>
  <w:abstractNum w:abstractNumId="15">
    <w:nsid w:val="312167AD"/>
    <w:multiLevelType w:val="hybridMultilevel"/>
    <w:lvl w:ilvl="0">
      <w:lvlJc w:val="left"/>
      <w:lvlText w:val="•"/>
      <w:numFmt w:val="bullet"/>
      <w:start w:val="1"/>
    </w:lvl>
  </w:abstractNum>
  <w:abstractNum w:abstractNumId="16">
    <w:nsid w:val="631B64D4"/>
    <w:multiLevelType w:val="hybridMultilevel"/>
    <w:lvl w:ilvl="0">
      <w:lvlJc w:val="left"/>
      <w:lvlText w:val="•"/>
      <w:numFmt w:val="bullet"/>
      <w:start w:val="1"/>
    </w:lvl>
  </w:abstractNum>
  <w:abstractNum w:abstractNumId="17">
    <w:nsid w:val="78B5E776"/>
    <w:multiLevelType w:val="hybridMultilevel"/>
    <w:lvl w:ilvl="0">
      <w:lvlJc w:val="left"/>
      <w:lvlText w:val="•"/>
      <w:numFmt w:val="bullet"/>
      <w:start w:val="1"/>
    </w:lvl>
  </w:abstractNum>
  <w:abstractNum w:abstractNumId="18">
    <w:nsid w:val="75486E47"/>
    <w:multiLevelType w:val="hybridMultilevel"/>
    <w:lvl w:ilvl="0">
      <w:lvlJc w:val="left"/>
      <w:lvlText w:val="•"/>
      <w:numFmt w:val="bullet"/>
      <w:start w:val="1"/>
    </w:lvl>
  </w:abstractNum>
  <w:abstractNum w:abstractNumId="19">
    <w:nsid w:val="6E534CDE"/>
    <w:multiLevelType w:val="hybridMultilevel"/>
    <w:lvl w:ilvl="0">
      <w:lvlJc w:val="left"/>
      <w:lvlText w:val="(%1)"/>
      <w:numFmt w:val="lowerRoman"/>
      <w:start w:val="1"/>
    </w:lvl>
  </w:abstractNum>
  <w:abstractNum w:abstractNumId="20">
    <w:nsid w:val="1A0DDE32"/>
    <w:multiLevelType w:val="hybridMultilevel"/>
    <w:lvl w:ilvl="0">
      <w:lvlJc w:val="left"/>
      <w:lvlText w:val="•"/>
      <w:numFmt w:val="bullet"/>
      <w:start w:val="1"/>
    </w:lvl>
  </w:abstractNum>
  <w:abstractNum w:abstractNumId="21">
    <w:nsid w:val="65968C1C"/>
    <w:multiLevelType w:val="hybridMultilevel"/>
    <w:lvl w:ilvl="0">
      <w:lvlJc w:val="left"/>
      <w:lvlText w:val="•"/>
      <w:numFmt w:val="bullet"/>
      <w:start w:val="1"/>
    </w:lvl>
  </w:abstractNum>
  <w:abstractNum w:abstractNumId="22">
    <w:nsid w:val="46263DEC"/>
    <w:multiLevelType w:val="hybridMultilevel"/>
    <w:lvl w:ilvl="0">
      <w:lvlJc w:val="left"/>
      <w:lvlText w:val="(%1)"/>
      <w:numFmt w:val="decimal"/>
      <w:start w:val="1"/>
    </w:lvl>
  </w:abstractNum>
  <w:abstractNum w:abstractNumId="23">
    <w:nsid w:val="260D8C4A"/>
    <w:multiLevelType w:val="hybridMultilevel"/>
    <w:lvl w:ilvl="0">
      <w:lvlJc w:val="left"/>
      <w:lvlText w:val="(%1)"/>
      <w:numFmt w:val="decimal"/>
      <w:start w:val="1"/>
    </w:lvl>
  </w:abstractNum>
  <w:abstractNum w:abstractNumId="24">
    <w:nsid w:val="73D4D3C4"/>
    <w:multiLevelType w:val="hybridMultilevel"/>
    <w:lvl w:ilvl="0">
      <w:lvlJc w:val="left"/>
      <w:lvlText w:val="(%1)"/>
      <w:numFmt w:val="decimal"/>
      <w:start w:val="1"/>
    </w:lvl>
  </w:abstractNum>
  <w:abstractNum w:abstractNumId="25">
    <w:nsid w:val="746F2E30"/>
    <w:multiLevelType w:val="hybridMultilevel"/>
    <w:lvl w:ilvl="0">
      <w:lvlJc w:val="left"/>
      <w:lvlText w:val="(%1)"/>
      <w:numFmt w:val="decimal"/>
      <w:start w:val="1"/>
    </w:lvl>
  </w:abstractNum>
  <w:abstractNum w:abstractNumId="26">
    <w:nsid w:val="6FDE8AF6"/>
    <w:multiLevelType w:val="hybridMultilevel"/>
    <w:lvl w:ilvl="0">
      <w:lvlJc w:val="left"/>
      <w:lvlText w:val="(%1)"/>
      <w:numFmt w:val="decimal"/>
      <w:start w:val="4"/>
    </w:lvl>
  </w:abstractNum>
  <w:abstractNum w:abstractNumId="27">
    <w:nsid w:val="3FC32E20"/>
    <w:multiLevelType w:val="hybridMultilevel"/>
    <w:lvl w:ilvl="0">
      <w:lvlJc w:val="left"/>
      <w:lvlText w:val="(%1)"/>
      <w:numFmt w:val="decimal"/>
      <w:start w:val="1"/>
    </w:lvl>
  </w:abstractNum>
  <w:abstractNum w:abstractNumId="28">
    <w:nsid w:val="49C0E823"/>
    <w:multiLevelType w:val="hybridMultilevel"/>
    <w:lvl w:ilvl="0">
      <w:lvlJc w:val="left"/>
      <w:lvlText w:val="•"/>
      <w:numFmt w:val="bullet"/>
      <w:start w:val="1"/>
    </w:lvl>
  </w:abstractNum>
  <w:abstractNum w:abstractNumId="29">
    <w:nsid w:val="14D53685"/>
    <w:multiLevelType w:val="hybridMultilevel"/>
    <w:lvl w:ilvl="0">
      <w:lvlJc w:val="left"/>
      <w:lvlText w:val="•"/>
      <w:numFmt w:val="bullet"/>
      <w:start w:val="1"/>
    </w:lvl>
  </w:abstractNum>
  <w:abstractNum w:abstractNumId="30">
    <w:nsid w:val="230F856C"/>
    <w:multiLevelType w:val="hybridMultilevel"/>
    <w:lvl w:ilvl="0">
      <w:lvlJc w:val="left"/>
      <w:lvlText w:val="•"/>
      <w:numFmt w:val="bullet"/>
      <w:start w:val="1"/>
    </w:lvl>
  </w:abstractNum>
  <w:abstractNum w:abstractNumId="31">
    <w:nsid w:val="6EAA85FB"/>
    <w:multiLevelType w:val="hybridMultilevel"/>
    <w:lvl w:ilvl="0">
      <w:lvlJc w:val="left"/>
      <w:lvlText w:val="•"/>
      <w:numFmt w:val="bullet"/>
      <w:start w:val="1"/>
    </w:lvl>
  </w:abstractNum>
  <w:abstractNum w:abstractNumId="32">
    <w:nsid w:val="3F06ECB2"/>
    <w:multiLevelType w:val="hybridMultilevel"/>
    <w:lvl w:ilvl="0">
      <w:lvlJc w:val="left"/>
      <w:lvlText w:val="•"/>
      <w:numFmt w:val="bullet"/>
      <w:start w:val="1"/>
    </w:lvl>
  </w:abstractNum>
  <w:abstractNum w:abstractNumId="33">
    <w:nsid w:val="3B594807"/>
    <w:multiLevelType w:val="hybridMultilevel"/>
    <w:lvl w:ilvl="0">
      <w:lvlJc w:val="left"/>
      <w:lvlText w:val="•"/>
      <w:numFmt w:val="bullet"/>
      <w:start w:val="1"/>
    </w:lvl>
  </w:abstractNum>
  <w:abstractNum w:abstractNumId="34">
    <w:nsid w:val="6CAA2304"/>
    <w:multiLevelType w:val="hybridMultilevel"/>
    <w:lvl w:ilvl="0">
      <w:lvlJc w:val="left"/>
      <w:lvlText w:val="•"/>
      <w:numFmt w:val="bullet"/>
      <w:start w:val="1"/>
    </w:lvl>
  </w:abstractNum>
  <w:abstractNum w:abstractNumId="35">
    <w:nsid w:val="3F7C2FF4"/>
    <w:multiLevelType w:val="hybridMultilevel"/>
    <w:lvl w:ilvl="0">
      <w:lvlJc w:val="left"/>
      <w:lvlText w:val="•"/>
      <w:numFmt w:val="bullet"/>
      <w:start w:val="1"/>
    </w:lvl>
  </w:abstractNum>
  <w:abstractNum w:abstractNumId="36">
    <w:nsid w:val="25413BEC"/>
    <w:multiLevelType w:val="hybridMultilevel"/>
    <w:lvl w:ilvl="0">
      <w:lvlJc w:val="left"/>
      <w:lvlText w:val="(%1)"/>
      <w:numFmt w:val="lowerLetter"/>
      <w:start w:val="1"/>
    </w:lvl>
    <w:lvl w:ilvl="1">
      <w:lvlJc w:val="left"/>
      <w:lvlText w:val="%2."/>
      <w:numFmt w:val="decimal"/>
      <w:start w:val="1"/>
    </w:lvl>
  </w:abstractNum>
  <w:abstractNum w:abstractNumId="37">
    <w:nsid w:val="17180B0B"/>
    <w:multiLevelType w:val="hybridMultilevel"/>
    <w:lvl w:ilvl="0">
      <w:lvlJc w:val="left"/>
      <w:lvlText w:val="%1"/>
      <w:numFmt w:val="decimal"/>
      <w:start w:val="32"/>
    </w:lvl>
  </w:abstractNum>
  <w:abstractNum w:abstractNumId="38">
    <w:nsid w:val="579328B9"/>
    <w:multiLevelType w:val="hybridMultilevel"/>
    <w:lvl w:ilvl="0">
      <w:lvlJc w:val="left"/>
      <w:lvlText w:val="*"/>
      <w:numFmt w:val="bullet"/>
      <w:start w:val="1"/>
    </w:lvl>
    <w:lvl w:ilvl="1">
      <w:lvlJc w:val="left"/>
      <w:lvlText w:val="%2"/>
      <w:numFmt w:val="decimal"/>
      <w:start w:val="104"/>
    </w:lvl>
  </w:abstractNum>
  <w:abstractNum w:abstractNumId="39">
    <w:nsid w:val="5D205E20"/>
    <w:multiLevelType w:val="hybridMultilevel"/>
    <w:lvl w:ilvl="0">
      <w:lvlJc w:val="left"/>
      <w:lvlText w:val="+"/>
      <w:numFmt w:val="bullet"/>
      <w:start w:val="1"/>
    </w:lvl>
  </w:abstractNum>
  <w:abstractNum w:abstractNumId="40">
    <w:nsid w:val="11CCA8BA"/>
    <w:multiLevelType w:val="hybridMultilevel"/>
    <w:lvl w:ilvl="0">
      <w:lvlJc w:val="left"/>
      <w:lvlText w:val="**"/>
      <w:numFmt w:val="bullet"/>
      <w:start w:val="1"/>
    </w:lvl>
  </w:abstractNum>
  <w:abstractNum w:abstractNumId="41">
    <w:nsid w:val="4D32AB86"/>
    <w:multiLevelType w:val="hybridMultilevel"/>
    <w:lvl w:ilvl="0">
      <w:lvlJc w:val="left"/>
      <w:lvlText w:val="%1."/>
      <w:numFmt w:val="decimal"/>
      <w:start w:val="1"/>
    </w:lvl>
  </w:abstractNum>
  <w:abstractNum w:abstractNumId="42">
    <w:nsid w:val="3F07ACC3"/>
    <w:multiLevelType w:val="hybridMultilevel"/>
    <w:lvl w:ilvl="0">
      <w:lvlJc w:val="left"/>
      <w:lvlText w:val="(%1)"/>
      <w:numFmt w:val="decimal"/>
      <w:start w:val="1"/>
    </w:lvl>
  </w:abstractNum>
  <w:abstractNum w:abstractNumId="43">
    <w:nsid w:val="6B47F63E"/>
    <w:multiLevelType w:val="hybridMultilevel"/>
    <w:lvl w:ilvl="0">
      <w:lvlJc w:val="left"/>
      <w:lvlText w:val="%1."/>
      <w:numFmt w:val="decimal"/>
      <w:start w:val="2"/>
    </w:lvl>
  </w:abstractNum>
  <w:abstractNum w:abstractNumId="44">
    <w:nsid w:val="5CB44A05"/>
    <w:multiLevelType w:val="hybridMultilevel"/>
    <w:lvl w:ilvl="0">
      <w:lvlJc w:val="left"/>
      <w:lvlText w:val="%1."/>
      <w:numFmt w:val="decimal"/>
      <w:start w:val="3"/>
    </w:lvl>
  </w:abstractNum>
  <w:abstractNum w:abstractNumId="45">
    <w:nsid w:val="16CF80F1"/>
    <w:multiLevelType w:val="hybridMultilevel"/>
    <w:lvl w:ilvl="0">
      <w:lvlJc w:val="left"/>
      <w:lvlText w:val="(%1)"/>
      <w:numFmt w:val="lowerRoman"/>
      <w:start w:val="1"/>
    </w:lvl>
  </w:abstractNum>
  <w:abstractNum w:abstractNumId="46">
    <w:nsid w:val="1C695DEC"/>
    <w:multiLevelType w:val="hybridMultilevel"/>
    <w:lvl w:ilvl="0">
      <w:lvlJc w:val="left"/>
      <w:lvlText w:val="%1."/>
      <w:numFmt w:val="decimal"/>
      <w:start w:val="4"/>
    </w:lvl>
  </w:abstractNum>
  <w:abstractNum w:abstractNumId="47">
    <w:nsid w:val="3FCFAED9"/>
    <w:multiLevelType w:val="hybridMultilevel"/>
    <w:lvl w:ilvl="0">
      <w:lvlJc w:val="left"/>
      <w:lvlText w:val="(%1)"/>
      <w:numFmt w:val="decimal"/>
      <w:start w:val="1"/>
    </w:lvl>
  </w:abstractNum>
  <w:abstractNum w:abstractNumId="48">
    <w:nsid w:val="F856867"/>
    <w:multiLevelType w:val="hybridMultilevel"/>
    <w:lvl w:ilvl="0">
      <w:lvlJc w:val="left"/>
      <w:lvlText w:val="(%1)"/>
      <w:numFmt w:val="decimal"/>
      <w:start w:val="1"/>
    </w:lvl>
  </w:abstractNum>
  <w:abstractNum w:abstractNumId="49">
    <w:nsid w:val="11B1CC33"/>
    <w:multiLevelType w:val="hybridMultilevel"/>
    <w:lvl w:ilvl="0">
      <w:lvlJc w:val="left"/>
      <w:lvlText w:val="%1."/>
      <w:numFmt w:val="decimal"/>
      <w:start w:val="5"/>
    </w:lvl>
  </w:abstractNum>
  <w:abstractNum w:abstractNumId="50">
    <w:nsid w:val="2E22FBB7"/>
    <w:multiLevelType w:val="hybridMultilevel"/>
    <w:lvl w:ilvl="0">
      <w:lvlJc w:val="left"/>
      <w:lvlText w:val="(%1)"/>
      <w:numFmt w:val="decimal"/>
      <w:start w:val="1"/>
    </w:lvl>
  </w:abstractNum>
  <w:abstractNum w:abstractNumId="51">
    <w:nsid w:val="29934699"/>
    <w:multiLevelType w:val="hybridMultilevel"/>
    <w:lvl w:ilvl="0">
      <w:lvlJc w:val="left"/>
      <w:lvlText w:val="%1."/>
      <w:numFmt w:val="decimal"/>
      <w:start w:val="6"/>
    </w:lvl>
  </w:abstractNum>
  <w:abstractNum w:abstractNumId="52">
    <w:nsid w:val="77485850"/>
    <w:multiLevelType w:val="hybridMultilevel"/>
    <w:lvl w:ilvl="0">
      <w:lvlJc w:val="left"/>
      <w:lvlText w:val="%1."/>
      <w:numFmt w:val="decimal"/>
      <w:start w:val="7"/>
    </w:lvl>
  </w:abstractNum>
  <w:abstractNum w:abstractNumId="53">
    <w:nsid w:val="744939A3"/>
    <w:multiLevelType w:val="hybridMultilevel"/>
    <w:lvl w:ilvl="0">
      <w:lvlJc w:val="left"/>
      <w:lvlText w:val="(%1)"/>
      <w:numFmt w:val="decimal"/>
      <w:start w:val="1"/>
    </w:lvl>
  </w:abstractNum>
  <w:abstractNum w:abstractNumId="54">
    <w:nsid w:val="4FA0D2E3"/>
    <w:multiLevelType w:val="hybridMultilevel"/>
    <w:lvl w:ilvl="0">
      <w:lvlJc w:val="left"/>
      <w:lvlText w:val="%1."/>
      <w:numFmt w:val="decimal"/>
      <w:start w:val="8"/>
    </w:lvl>
  </w:abstractNum>
  <w:abstractNum w:abstractNumId="55">
    <w:nsid w:val="6B1D2C14"/>
    <w:multiLevelType w:val="hybridMultilevel"/>
    <w:lvl w:ilvl="0">
      <w:lvlJc w:val="left"/>
      <w:lvlText w:val="(%1)"/>
      <w:numFmt w:val="decimal"/>
      <w:start w:val="1"/>
    </w:lvl>
  </w:abstractNum>
  <w:abstractNum w:abstractNumId="56">
    <w:nsid w:val="68B867D3"/>
    <w:multiLevelType w:val="hybridMultilevel"/>
    <w:lvl w:ilvl="0">
      <w:lvlJc w:val="left"/>
      <w:lvlText w:val="(%1)"/>
      <w:numFmt w:val="lowerRoman"/>
      <w:start w:val="2"/>
    </w:lvl>
  </w:abstractNum>
  <w:abstractNum w:abstractNumId="57">
    <w:nsid w:val="3F7F5DD9"/>
    <w:multiLevelType w:val="hybridMultilevel"/>
    <w:lvl w:ilvl="0">
      <w:lvlJc w:val="left"/>
      <w:lvlText w:val="%1."/>
      <w:numFmt w:val="decimal"/>
      <w:start w:val="9"/>
    </w:lvl>
  </w:abstractNum>
  <w:abstractNum w:abstractNumId="58">
    <w:nsid w:val="2AE05A34"/>
    <w:multiLevelType w:val="hybridMultilevel"/>
    <w:lvl w:ilvl="0">
      <w:lvlJc w:val="left"/>
      <w:lvlText w:val="%1."/>
      <w:numFmt w:val="decimal"/>
      <w:start w:val="10"/>
    </w:lvl>
  </w:abstractNum>
  <w:abstractNum w:abstractNumId="59">
    <w:nsid w:val="32794FF7"/>
    <w:multiLevelType w:val="hybridMultilevel"/>
    <w:lvl w:ilvl="0">
      <w:lvlJc w:val="left"/>
      <w:lvlText w:val="•"/>
      <w:numFmt w:val="bullet"/>
      <w:start w:val="1"/>
    </w:lvl>
  </w:abstractNum>
  <w:abstractNum w:abstractNumId="60">
    <w:nsid w:val="5454945E"/>
    <w:multiLevelType w:val="hybridMultilevel"/>
    <w:lvl w:ilvl="0">
      <w:lvlJc w:val="left"/>
      <w:lvlText w:val="%1."/>
      <w:numFmt w:val="decimal"/>
      <w:start w:val="11"/>
    </w:lvl>
  </w:abstractNum>
  <w:abstractNum w:abstractNumId="61">
    <w:nsid w:val="4DEFDFA0"/>
    <w:multiLevelType w:val="hybridMultilevel"/>
    <w:lvl w:ilvl="0">
      <w:lvlJc w:val="left"/>
      <w:lvlText w:val="%1."/>
      <w:numFmt w:val="decimal"/>
      <w:start w:val="12"/>
    </w:lvl>
  </w:abstractNum>
  <w:abstractNum w:abstractNumId="62">
    <w:nsid w:val="2123D5F2"/>
    <w:multiLevelType w:val="hybridMultilevel"/>
    <w:lvl w:ilvl="0">
      <w:lvlJc w:val="left"/>
      <w:lvlText w:val="%1."/>
      <w:numFmt w:val="decimal"/>
      <w:start w:val="13"/>
    </w:lvl>
  </w:abstractNum>
  <w:abstractNum w:abstractNumId="63">
    <w:nsid w:val="135B8110"/>
    <w:multiLevelType w:val="hybridMultilevel"/>
    <w:lvl w:ilvl="0">
      <w:lvlJc w:val="left"/>
      <w:lvlText w:val="(%1)"/>
      <w:numFmt w:val="lowerRoman"/>
      <w:start w:val="1"/>
    </w:lvl>
  </w:abstractNum>
  <w:abstractNum w:abstractNumId="64">
    <w:nsid w:val="94927A8"/>
    <w:multiLevelType w:val="hybridMultilevel"/>
    <w:lvl w:ilvl="0">
      <w:lvlJc w:val="left"/>
      <w:lvlText w:val="%1."/>
      <w:numFmt w:val="decimal"/>
      <w:start w:val="14"/>
    </w:lvl>
  </w:abstractNum>
  <w:abstractNum w:abstractNumId="65">
    <w:nsid w:val="DCDF8F6"/>
    <w:multiLevelType w:val="hybridMultilevel"/>
    <w:lvl w:ilvl="0">
      <w:lvlJc w:val="left"/>
      <w:lvlText w:val="%1."/>
      <w:numFmt w:val="decimal"/>
      <w:start w:val="15"/>
    </w:lvl>
  </w:abstractNum>
  <w:abstractNum w:abstractNumId="66">
    <w:nsid w:val="52D7B105"/>
    <w:multiLevelType w:val="hybridMultilevel"/>
    <w:lvl w:ilvl="0">
      <w:lvlJc w:val="left"/>
      <w:lvlText w:val="%1."/>
      <w:numFmt w:val="decimal"/>
      <w:start w:val="16"/>
    </w:lvl>
  </w:abstractNum>
  <w:abstractNum w:abstractNumId="67">
    <w:nsid w:val="2E8A6394"/>
    <w:multiLevelType w:val="hybridMultilevel"/>
    <w:lvl w:ilvl="0">
      <w:lvlJc w:val="left"/>
      <w:lvlText w:val="(%1)"/>
      <w:numFmt w:val="lowerLetter"/>
      <w:start w:val="2"/>
    </w:lvl>
  </w:abstractNum>
  <w:abstractNum w:abstractNumId="68">
    <w:nsid w:val="24E60401"/>
    <w:multiLevelType w:val="hybridMultilevel"/>
    <w:lvl w:ilvl="0">
      <w:lvlJc w:val="left"/>
      <w:lvlText w:val="(%1)"/>
      <w:numFmt w:val="decimal"/>
      <w:start w:val="1"/>
    </w:lvl>
  </w:abstractNum>
  <w:abstractNum w:abstractNumId="69">
    <w:nsid w:val="2A6AD9BE"/>
    <w:multiLevelType w:val="hybridMultilevel"/>
    <w:lvl w:ilvl="0">
      <w:lvlJc w:val="left"/>
      <w:lvlText w:val="(%1)"/>
      <w:numFmt w:val="decimal"/>
      <w:start w:val="1"/>
    </w:lvl>
  </w:abstractNum>
  <w:abstractNum w:abstractNumId="70">
    <w:nsid w:val="BAAC1B4"/>
    <w:multiLevelType w:val="hybridMultilevel"/>
    <w:lvl w:ilvl="0">
      <w:lvlJc w:val="left"/>
      <w:lvlText w:val="%1."/>
      <w:numFmt w:val="decimal"/>
      <w:start w:val="17"/>
    </w:lvl>
  </w:abstractNum>
  <w:abstractNum w:abstractNumId="71">
    <w:nsid w:val="36B2ACBC"/>
    <w:multiLevelType w:val="hybridMultilevel"/>
    <w:lvl w:ilvl="0">
      <w:lvlJc w:val="left"/>
      <w:lvlText w:val="•"/>
      <w:numFmt w:val="bullet"/>
      <w:start w:val="1"/>
    </w:lvl>
  </w:abstractNum>
  <w:abstractNum w:abstractNumId="72">
    <w:nsid w:val="779D8544"/>
    <w:multiLevelType w:val="hybridMultilevel"/>
    <w:lvl w:ilvl="0">
      <w:lvlJc w:val="left"/>
      <w:lvlText w:val="•"/>
      <w:numFmt w:val="bullet"/>
      <w:start w:val="1"/>
    </w:lvl>
  </w:abstractNum>
  <w:abstractNum w:abstractNumId="73">
    <w:nsid w:val="4AB26E78"/>
    <w:multiLevelType w:val="hybridMultilevel"/>
    <w:lvl w:ilvl="0">
      <w:lvlJc w:val="left"/>
      <w:lvlText w:val="(%1)"/>
      <w:numFmt w:val="lowerRoman"/>
      <w:start w:val="1"/>
    </w:lvl>
  </w:abstractNum>
  <w:abstractNum w:abstractNumId="74">
    <w:nsid w:val="21FAA2FA"/>
    <w:multiLevelType w:val="hybridMultilevel"/>
    <w:lvl w:ilvl="0">
      <w:lvlJc w:val="left"/>
      <w:lvlText w:val="%1"/>
      <w:numFmt w:val="upperLetter"/>
      <w:start w:val="35"/>
    </w:lvl>
  </w:abstractNum>
  <w:abstractNum w:abstractNumId="75">
    <w:nsid w:val="5451CF49"/>
    <w:multiLevelType w:val="hybridMultilevel"/>
    <w:lvl w:ilvl="0">
      <w:lvlJc w:val="left"/>
      <w:lvlText w:val="•"/>
      <w:numFmt w:val="bullet"/>
      <w:start w:val="1"/>
    </w:lvl>
  </w:abstractNum>
  <w:abstractNum w:abstractNumId="76">
    <w:nsid w:val="6181EF69"/>
    <w:multiLevelType w:val="hybridMultilevel"/>
    <w:lvl w:ilvl="0">
      <w:lvlJc w:val="left"/>
      <w:lvlText w:val="%1."/>
      <w:numFmt w:val="decimal"/>
      <w:start w:val="18"/>
    </w:lvl>
  </w:abstractNum>
  <w:abstractNum w:abstractNumId="77">
    <w:nsid w:val="3E6400E6"/>
    <w:multiLevelType w:val="hybridMultilevel"/>
    <w:lvl w:ilvl="0">
      <w:lvlJc w:val="left"/>
      <w:lvlText w:val="%1."/>
      <w:numFmt w:val="decimal"/>
      <w:start w:val="19"/>
    </w:lvl>
  </w:abstractNum>
  <w:abstractNum w:abstractNumId="78">
    <w:nsid w:val="14217E23"/>
    <w:multiLevelType w:val="hybridMultilevel"/>
    <w:lvl w:ilvl="0">
      <w:lvlJc w:val="left"/>
      <w:lvlText w:val="(%1)"/>
      <w:numFmt w:val="decimal"/>
      <w:start w:val="1"/>
    </w:lvl>
  </w:abstractNum>
  <w:abstractNum w:abstractNumId="79">
    <w:nsid w:val="710757D0"/>
    <w:multiLevelType w:val="hybridMultilevel"/>
    <w:lvl w:ilvl="0">
      <w:lvlJc w:val="left"/>
      <w:lvlText w:val="(%1)"/>
      <w:numFmt w:val="decimal"/>
      <w:start w:val="1"/>
    </w:lvl>
  </w:abstractNum>
  <w:abstractNum w:abstractNumId="80">
    <w:nsid w:val="5015CD1A"/>
    <w:multiLevelType w:val="hybridMultilevel"/>
    <w:lvl w:ilvl="0">
      <w:lvlJc w:val="left"/>
      <w:lvlText w:val="(%1)"/>
      <w:numFmt w:val="decimal"/>
      <w:start w:val="1"/>
    </w:lvl>
  </w:abstractNum>
  <w:abstractNum w:abstractNumId="81">
    <w:nsid w:val="424479DA"/>
    <w:multiLevelType w:val="hybridMultilevel"/>
    <w:lvl w:ilvl="0">
      <w:lvlJc w:val="left"/>
      <w:lvlText w:val="%1."/>
      <w:numFmt w:val="decimal"/>
      <w:start w:val="20"/>
    </w:lvl>
  </w:abstractNum>
  <w:abstractNum w:abstractNumId="82">
    <w:nsid w:val="1A9A9E69"/>
    <w:multiLevelType w:val="hybridMultilevel"/>
    <w:lvl w:ilvl="0">
      <w:lvlJc w:val="left"/>
      <w:lvlText w:val="(%1)"/>
      <w:numFmt w:val="decimal"/>
      <w:start w:val="4"/>
    </w:lvl>
  </w:abstractNum>
  <w:abstractNum w:abstractNumId="83">
    <w:nsid w:val="475E256A"/>
    <w:multiLevelType w:val="hybridMultilevel"/>
    <w:lvl w:ilvl="0">
      <w:lvlJc w:val="left"/>
      <w:lvlText w:val="%1."/>
      <w:numFmt w:val="decimal"/>
      <w:start w:val="1"/>
    </w:lvl>
    <w:lvl w:ilvl="1">
      <w:lvlJc w:val="left"/>
      <w:lvlText w:val="(%2)"/>
      <w:numFmt w:val="lowerLetter"/>
      <w:start w:val="1"/>
    </w:lvl>
  </w:abstractNum>
  <w:abstractNum w:abstractNumId="84">
    <w:nsid w:val="368DB37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5">
    <w:nsid w:val="6A3B714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6">
    <w:nsid w:val="327B517E"/>
    <w:multiLevelType w:val="hybridMultilevel"/>
    <w:lvl w:ilvl="0">
      <w:lvlJc w:val="left"/>
      <w:lvlText w:val="%1"/>
      <w:numFmt w:val="lowerLetter"/>
      <w:start w:val="1"/>
    </w:lvl>
    <w:lvl w:ilvl="1">
      <w:lvlJc w:val="left"/>
      <w:lvlText w:val="(%2)"/>
      <w:numFmt w:val="lowerRoman"/>
      <w:start w:val="4"/>
    </w:lvl>
  </w:abstractNum>
  <w:abstractNum w:abstractNumId="87">
    <w:nsid w:val="1F461B51"/>
    <w:multiLevelType w:val="hybridMultilevel"/>
    <w:lvl w:ilvl="0">
      <w:lvlJc w:val="left"/>
      <w:lvlText w:val="(%1)"/>
      <w:numFmt w:val="lowerLetter"/>
      <w:start w:val="3"/>
    </w:lvl>
    <w:lvl w:ilvl="1">
      <w:lvlJc w:val="left"/>
      <w:lvlText w:val="%2"/>
      <w:numFmt w:val="lowerRoman"/>
      <w:start w:val="1"/>
    </w:lvl>
  </w:abstractNum>
  <w:abstractNum w:abstractNumId="88">
    <w:nsid w:val="29BACF25"/>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89">
    <w:nsid w:val="5D5BABB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0">
    <w:nsid w:val="51BF6B48"/>
    <w:multiLevelType w:val="hybridMultilevel"/>
    <w:lvl w:ilvl="0">
      <w:lvlJc w:val="left"/>
      <w:lvlText w:val="%1"/>
      <w:numFmt w:val="decimal"/>
      <w:start w:val="1"/>
    </w:lvl>
    <w:lvl w:ilvl="1">
      <w:lvlJc w:val="left"/>
      <w:lvlText w:val="(%2)"/>
      <w:numFmt w:val="lowerLetter"/>
      <w:start w:val="2"/>
    </w:lvl>
  </w:abstractNum>
  <w:abstractNum w:abstractNumId="91">
    <w:nsid w:val="7E0F6384"/>
    <w:multiLevelType w:val="hybridMultilevel"/>
    <w:lvl w:ilvl="0">
      <w:lvlJc w:val="left"/>
      <w:lvlText w:val="%1."/>
      <w:numFmt w:val="decimal"/>
      <w:start w:val="4"/>
    </w:lvl>
    <w:lvl w:ilvl="1">
      <w:lvlJc w:val="left"/>
      <w:lvlText w:val="(%2)"/>
      <w:numFmt w:val="lowerLetter"/>
      <w:start w:val="1"/>
    </w:lvl>
  </w:abstractNum>
  <w:abstractNum w:abstractNumId="92">
    <w:nsid w:val="2B4B8B53"/>
    <w:multiLevelType w:val="hybridMultilevel"/>
    <w:lvl w:ilvl="0">
      <w:lvlJc w:val="left"/>
      <w:lvlText w:val="%1"/>
      <w:numFmt w:val="decimal"/>
      <w:start w:val="1"/>
    </w:lvl>
    <w:lvl w:ilvl="1">
      <w:lvlJc w:val="left"/>
      <w:lvlText w:val="(%2)"/>
      <w:numFmt w:val="lowerLetter"/>
      <w:start w:val="1"/>
    </w:lvl>
  </w:abstractNum>
  <w:abstractNum w:abstractNumId="93">
    <w:nsid w:val="72E3413A"/>
    <w:multiLevelType w:val="hybridMultilevel"/>
    <w:lvl w:ilvl="0">
      <w:lvlJc w:val="left"/>
      <w:lvlText w:val="%1."/>
      <w:numFmt w:val="decimal"/>
      <w:start w:val="8"/>
    </w:lvl>
    <w:lvl w:ilvl="1">
      <w:lvlJc w:val="left"/>
      <w:lvlText w:val="%2"/>
      <w:numFmt w:val="lowerLetter"/>
      <w:start w:val="1"/>
    </w:lvl>
  </w:abstractNum>
  <w:abstractNum w:abstractNumId="94">
    <w:nsid w:val="116AE494"/>
    <w:multiLevelType w:val="hybridMultilevel"/>
    <w:lvl w:ilvl="0">
      <w:lvlJc w:val="left"/>
      <w:lvlText w:val="I"/>
      <w:numFmt w:val="bullet"/>
      <w:start w:val="1"/>
    </w:lvl>
  </w:abstractNum>
  <w:abstractNum w:abstractNumId="95">
    <w:nsid w:val="3494B2FB"/>
    <w:multiLevelType w:val="hybridMultilevel"/>
    <w:lvl w:ilvl="0">
      <w:lvlJc w:val="left"/>
      <w:lvlText w:val="A"/>
      <w:numFmt w:val="bullet"/>
      <w:start w:val="1"/>
    </w:lvl>
  </w:abstractNum>
  <w:abstractNum w:abstractNumId="96">
    <w:nsid w:val="B13A31"/>
    <w:multiLevelType w:val="hybridMultilevel"/>
    <w:lvl w:ilvl="0">
      <w:lvlJc w:val="left"/>
      <w:lvlText w:val="B"/>
      <w:numFmt w:val="bullet"/>
      <w:start w:val="1"/>
    </w:lvl>
  </w:abstractNum>
  <w:abstractNum w:abstractNumId="97">
    <w:nsid w:val="64429599"/>
    <w:multiLevelType w:val="hybridMultilevel"/>
    <w:lvl w:ilvl="0">
      <w:lvlJc w:val="left"/>
      <w:lvlText w:val="C"/>
      <w:numFmt w:val="bullet"/>
      <w:start w:val="1"/>
    </w:lvl>
  </w:abstractNum>
  <w:abstractNum w:abstractNumId="98">
    <w:nsid w:val="631F1690"/>
    <w:multiLevelType w:val="hybridMultilevel"/>
    <w:lvl w:ilvl="0">
      <w:lvlJc w:val="left"/>
      <w:lvlText w:val="D"/>
      <w:numFmt w:val="bullet"/>
      <w:start w:val="1"/>
    </w:lvl>
  </w:abstractNum>
  <w:abstractNum w:abstractNumId="99">
    <w:nsid w:val="25973E32"/>
    <w:multiLevelType w:val="hybridMultilevel"/>
    <w:lvl w:ilvl="0">
      <w:lvlJc w:val="left"/>
      <w:lvlText w:val="J"/>
      <w:numFmt w:val="bullet"/>
      <w:start w:val="1"/>
    </w:lvl>
  </w:abstractNum>
  <w:abstractNum w:abstractNumId="100">
    <w:nsid w:val="EAD6F57"/>
    <w:multiLevelType w:val="hybridMultilevel"/>
    <w:lvl w:ilvl="0">
      <w:lvlJc w:val="left"/>
      <w:lvlText w:val="K"/>
      <w:numFmt w:val="bullet"/>
      <w:start w:val="1"/>
    </w:lvl>
  </w:abstractNum>
  <w:abstractNum w:abstractNumId="101">
    <w:nsid w:val="6EC9D844"/>
    <w:multiLevelType w:val="hybridMultilevel"/>
    <w:lvl w:ilvl="0">
      <w:lvlJc w:val="left"/>
      <w:lvlText w:val="%1."/>
      <w:numFmt w:val="decimal"/>
      <w:start w:val="1"/>
    </w:lvl>
  </w:abstractNum>
  <w:abstractNum w:abstractNumId="102">
    <w:nsid w:val="5C49EAEE"/>
    <w:multiLevelType w:val="hybridMultilevel"/>
    <w:lvl w:ilvl="0">
      <w:lvlJc w:val="left"/>
      <w:lvlText w:val="(%1)"/>
      <w:numFmt w:val="lowerRoman"/>
      <w:start w:val="2"/>
    </w:lvl>
  </w:abstractNum>
  <w:abstractNum w:abstractNumId="103">
    <w:nsid w:val="64AF49B"/>
    <w:multiLevelType w:val="hybridMultilevel"/>
    <w:lvl w:ilvl="0">
      <w:lvlJc w:val="left"/>
      <w:lvlText w:val="(%1)"/>
      <w:numFmt w:val="lowerLetter"/>
      <w:start w:val="3"/>
    </w:lvl>
  </w:abstractNum>
  <w:abstractNum w:abstractNumId="104">
    <w:nsid w:val="397C46BC"/>
    <w:multiLevelType w:val="hybridMultilevel"/>
    <w:lvl w:ilvl="0">
      <w:lvlJc w:val="left"/>
      <w:lvlText w:val="(%1)"/>
      <w:numFmt w:val="lowerRoman"/>
      <w:start w:val="1"/>
    </w:lvl>
  </w:abstractNum>
  <w:abstractNum w:abstractNumId="105">
    <w:nsid w:val="7E448DE9"/>
    <w:multiLevelType w:val="hybridMultilevel"/>
    <w:lvl w:ilvl="0">
      <w:lvlJc w:val="left"/>
      <w:lvlText w:val="(%1)"/>
      <w:numFmt w:val="lowerLetter"/>
      <w:start w:val="2"/>
    </w:lvl>
  </w:abstractNum>
  <w:abstractNum w:abstractNumId="106">
    <w:nsid w:val="5A9CC3E5"/>
    <w:multiLevelType w:val="hybridMultilevel"/>
    <w:lvl w:ilvl="0">
      <w:lvlJc w:val="left"/>
      <w:lvlText w:val="(%1)"/>
      <w:numFmt w:val="lowerLetter"/>
      <w:start w:val="3"/>
    </w:lvl>
  </w:abstractNum>
  <w:abstractNum w:abstractNumId="107">
    <w:nsid w:val="1AFE3625"/>
    <w:multiLevelType w:val="hybridMultilevel"/>
    <w:lvl w:ilvl="0">
      <w:lvlJc w:val="left"/>
      <w:lvlText w:val="%1."/>
      <w:numFmt w:val="decimal"/>
      <w:start w:val="2"/>
    </w:lvl>
  </w:abstractNum>
  <w:abstractNum w:abstractNumId="108">
    <w:nsid w:val="3CA88ECF"/>
    <w:multiLevelType w:val="hybridMultilevel"/>
    <w:lvl w:ilvl="0">
      <w:lvlJc w:val="left"/>
      <w:lvlText w:val="(%1)"/>
      <w:numFmt w:val="lowerLetter"/>
      <w:start w:val="1"/>
    </w:lvl>
  </w:abstractNum>
  <w:abstractNum w:abstractNumId="109">
    <w:nsid w:val="6EBE4208"/>
    <w:multiLevelType w:val="hybridMultilevel"/>
    <w:lvl w:ilvl="0">
      <w:lvlJc w:val="left"/>
      <w:lvlText w:val="(%1)"/>
      <w:numFmt w:val="lowerLetter"/>
      <w:start w:val="2"/>
    </w:lvl>
    <w:lvl w:ilvl="1">
      <w:lvlJc w:val="left"/>
      <w:lvlText w:val="(%2)"/>
      <w:numFmt w:val="lowerRoman"/>
      <w:start w:val="1"/>
    </w:lvl>
  </w:abstractNum>
  <w:abstractNum w:abstractNumId="110">
    <w:nsid w:val="C058DF5"/>
    <w:multiLevelType w:val="hybridMultilevel"/>
    <w:lvl w:ilvl="0">
      <w:lvlJc w:val="left"/>
      <w:lvlText w:val="%1"/>
      <w:numFmt w:val="lowerLetter"/>
      <w:start w:val="1"/>
    </w:lvl>
    <w:lvl w:ilvl="1">
      <w:lvlJc w:val="left"/>
      <w:lvlText w:val="(%2)"/>
      <w:numFmt w:val="lowerRoman"/>
      <w:start w:val="3"/>
    </w:lvl>
  </w:abstractNum>
  <w:abstractNum w:abstractNumId="111">
    <w:nsid w:val="CBE5BE9"/>
    <w:multiLevelType w:val="hybridMultilevel"/>
    <w:lvl w:ilvl="0">
      <w:lvlJc w:val="left"/>
      <w:lvlText w:val="(%1)"/>
      <w:numFmt w:val="lowerLetter"/>
      <w:start w:val="9"/>
    </w:lvl>
    <w:lvl w:ilvl="1">
      <w:lvlJc w:val="left"/>
      <w:lvlText w:val="%2"/>
      <w:numFmt w:val="lowerRoman"/>
      <w:start w:val="1"/>
    </w:lvl>
  </w:abstractNum>
  <w:abstractNum w:abstractNumId="112">
    <w:nsid w:val="3102BBE2"/>
    <w:multiLevelType w:val="hybridMultilevel"/>
    <w:lvl w:ilvl="0">
      <w:lvlJc w:val="left"/>
      <w:lvlText w:val="(%1)"/>
      <w:numFmt w:val="lowerLetter"/>
      <w:start w:val="15"/>
    </w:lvl>
  </w:abstractNum>
  <w:abstractNum w:abstractNumId="113">
    <w:nsid w:val="26A02C5E"/>
    <w:multiLevelType w:val="hybridMultilevel"/>
    <w:lvl w:ilvl="0">
      <w:lvlJc w:val="left"/>
      <w:lvlText w:val="(%1)"/>
      <w:numFmt w:val="lowerLetter"/>
      <w:start w:val="19"/>
    </w:lvl>
  </w:abstractNum>
  <w:abstractNum w:abstractNumId="114">
    <w:nsid w:val="541C8153"/>
    <w:multiLevelType w:val="hybridMultilevel"/>
    <w:lvl w:ilvl="0">
      <w:lvlJc w:val="left"/>
      <w:lvlText w:val="%1"/>
      <w:numFmt w:val="decimal"/>
      <w:start w:val="1"/>
    </w:lvl>
    <w:lvl w:ilvl="1">
      <w:lvlJc w:val="left"/>
      <w:lvlText w:val="(%2)"/>
      <w:numFmt w:val="lowerLetter"/>
      <w:start w:val="27"/>
    </w:lvl>
  </w:abstractNum>
  <w:abstractNum w:abstractNumId="115">
    <w:nsid w:val="67906F60"/>
    <w:multiLevelType w:val="hybridMultilevel"/>
    <w:lvl w:ilvl="0">
      <w:lvlJc w:val="left"/>
      <w:lvlText w:val="%1."/>
      <w:numFmt w:val="decimal"/>
      <w:start w:val="3"/>
    </w:lvl>
    <w:lvl w:ilvl="1">
      <w:lvlJc w:val="left"/>
      <w:lvlText w:val="%2"/>
      <w:numFmt w:val="lowerLetter"/>
      <w:start w:val="1"/>
    </w:lvl>
  </w:abstractNum>
  <w:abstractNum w:abstractNumId="116">
    <w:nsid w:val="10DB9DAA"/>
    <w:multiLevelType w:val="hybridMultilevel"/>
    <w:lvl w:ilvl="0">
      <w:lvlJc w:val="left"/>
      <w:lvlText w:val="(%1)"/>
      <w:numFmt w:val="lowerLetter"/>
      <w:start w:val="1"/>
    </w:lvl>
  </w:abstractNum>
  <w:abstractNum w:abstractNumId="117">
    <w:nsid w:val="697D2D2"/>
    <w:multiLevelType w:val="hybridMultilevel"/>
    <w:lvl w:ilvl="0">
      <w:lvlJc w:val="left"/>
      <w:lvlText w:val="%1."/>
      <w:numFmt w:val="decimal"/>
      <w:start w:val="4"/>
    </w:lvl>
  </w:abstractNum>
  <w:abstractNum w:abstractNumId="118">
    <w:nsid w:val="6D68AB2"/>
    <w:multiLevelType w:val="hybridMultilevel"/>
    <w:lvl w:ilvl="0">
      <w:lvlJc w:val="left"/>
      <w:lvlText w:val="%1."/>
      <w:numFmt w:val="decimal"/>
      <w:start w:val="5"/>
    </w:lvl>
  </w:abstractNum>
  <w:abstractNum w:abstractNumId="119">
    <w:nsid w:val="3A966CD0"/>
    <w:multiLevelType w:val="hybridMultilevel"/>
    <w:lvl w:ilvl="0">
      <w:lvlJc w:val="left"/>
      <w:lvlText w:val="(%1)"/>
      <w:numFmt w:val="lowerLetter"/>
      <w:start w:val="1"/>
    </w:lvl>
  </w:abstractNum>
  <w:abstractNum w:abstractNumId="120">
    <w:nsid w:val="63F37E85"/>
    <w:multiLevelType w:val="hybridMultilevel"/>
    <w:lvl w:ilvl="0">
      <w:lvlJc w:val="left"/>
      <w:lvlText w:val="(%1)"/>
      <w:numFmt w:val="lowerRoman"/>
      <w:start w:val="10"/>
    </w:lvl>
  </w:abstractNum>
  <w:abstractNum w:abstractNumId="121">
    <w:nsid w:val="5895F5FA"/>
    <w:multiLevelType w:val="hybridMultilevel"/>
    <w:lvl w:ilvl="0">
      <w:lvlJc w:val="left"/>
      <w:lvlText w:val="%1."/>
      <w:numFmt w:val="decimal"/>
      <w:start w:val="6"/>
    </w:lvl>
  </w:abstractNum>
  <w:abstractNum w:abstractNumId="122">
    <w:nsid w:val="38A5D054"/>
    <w:multiLevelType w:val="hybridMultilevel"/>
    <w:lvl w:ilvl="0">
      <w:lvlJc w:val="left"/>
      <w:lvlText w:val="(%1)"/>
      <w:numFmt w:val="lowerLetter"/>
      <w:start w:val="2"/>
    </w:lvl>
  </w:abstractNum>
  <w:abstractNum w:abstractNumId="123">
    <w:nsid w:val="F3F09D8"/>
    <w:multiLevelType w:val="hybridMultilevel"/>
    <w:lvl w:ilvl="0">
      <w:lvlJc w:val="left"/>
      <w:lvlText w:val="(%1)"/>
      <w:numFmt w:val="lowerLetter"/>
      <w:start w:val="1"/>
    </w:lvl>
  </w:abstractNum>
  <w:abstractNum w:abstractNumId="124">
    <w:nsid w:val="4B793735"/>
    <w:multiLevelType w:val="hybridMultilevel"/>
    <w:lvl w:ilvl="0">
      <w:lvlJc w:val="left"/>
      <w:lvlText w:val="(%1)"/>
      <w:numFmt w:val="lowerLetter"/>
      <w:start w:val="5"/>
    </w:lvl>
  </w:abstractNum>
  <w:abstractNum w:abstractNumId="125">
    <w:nsid w:val="4A10B4E8"/>
    <w:multiLevelType w:val="hybridMultilevel"/>
    <w:lvl w:ilvl="0">
      <w:lvlJc w:val="left"/>
      <w:lvlText w:val="%1"/>
      <w:numFmt w:val="lowerLetter"/>
      <w:start w:val="1"/>
    </w:lvl>
    <w:lvl w:ilvl="1">
      <w:lvlJc w:val="left"/>
      <w:lvlText w:val="(%2)"/>
      <w:numFmt w:val="lowerLetter"/>
      <w:start w:val="1"/>
    </w:lvl>
  </w:abstractNum>
  <w:abstractNum w:abstractNumId="126">
    <w:nsid w:val="43D3BCD4"/>
    <w:multiLevelType w:val="hybridMultilevel"/>
    <w:lvl w:ilvl="0">
      <w:lvlJc w:val="left"/>
      <w:lvlText w:val="(%1)"/>
      <w:numFmt w:val="lowerLetter"/>
      <w:start w:val="3"/>
    </w:lvl>
    <w:lvl w:ilvl="1">
      <w:lvlJc w:val="left"/>
      <w:lvlText w:val="%2"/>
      <w:numFmt w:val="lowerLetter"/>
      <w:start w:val="1"/>
    </w:lvl>
  </w:abstractNum>
  <w:abstractNum w:abstractNumId="127">
    <w:nsid w:val="4C2A7166"/>
    <w:multiLevelType w:val="hybridMultilevel"/>
    <w:lvl w:ilvl="0">
      <w:lvlJc w:val="left"/>
      <w:lvlText w:val="(%1)"/>
      <w:numFmt w:val="lowerLetter"/>
      <w:start w:val="1"/>
    </w:lvl>
  </w:abstractNum>
  <w:abstractNum w:abstractNumId="128">
    <w:nsid w:val="2E534A82"/>
    <w:multiLevelType w:val="hybridMultilevel"/>
    <w:lvl w:ilvl="0">
      <w:lvlJc w:val="left"/>
      <w:lvlText w:val="(%1)"/>
      <w:numFmt w:val="lowerLetter"/>
      <w:start w:val="3"/>
    </w:lvl>
  </w:abstractNum>
  <w:abstractNum w:abstractNumId="129">
    <w:nsid w:val="26F2D364"/>
    <w:multiLevelType w:val="hybridMultilevel"/>
    <w:lvl w:ilvl="0">
      <w:lvlJc w:val="left"/>
      <w:lvlText w:val="%1."/>
      <w:numFmt w:val="decimal"/>
      <w:start w:val="7"/>
    </w:lvl>
  </w:abstractNum>
  <w:abstractNum w:abstractNumId="130">
    <w:nsid w:val="71C1AF98"/>
    <w:multiLevelType w:val="hybridMultilevel"/>
    <w:lvl w:ilvl="0">
      <w:lvlJc w:val="left"/>
      <w:lvlText w:val="(%1)"/>
      <w:numFmt w:val="lowerLetter"/>
      <w:start w:val="1"/>
    </w:lvl>
  </w:abstractNum>
  <w:abstractNum w:abstractNumId="131">
    <w:nsid w:val="3D00B9D9"/>
    <w:multiLevelType w:val="hybridMultilevel"/>
    <w:lvl w:ilvl="0">
      <w:lvlJc w:val="left"/>
      <w:lvlText w:val="(%1)"/>
      <w:numFmt w:val="lowerLetter"/>
      <w:start w:val="1"/>
    </w:lvl>
  </w:abstractNum>
  <w:abstractNum w:abstractNumId="132">
    <w:nsid w:val="15BCABA8"/>
    <w:multiLevelType w:val="hybridMultilevel"/>
    <w:lvl w:ilvl="0">
      <w:lvlJc w:val="left"/>
      <w:lvlText w:val="(%1)"/>
      <w:numFmt w:val="lowerLetter"/>
      <w:start w:val="2"/>
    </w:lvl>
  </w:abstractNum>
  <w:abstractNum w:abstractNumId="133">
    <w:nsid w:val="4E0B9A87"/>
    <w:multiLevelType w:val="hybridMultilevel"/>
    <w:lvl w:ilvl="0">
      <w:lvlJc w:val="left"/>
      <w:lvlText w:val="(%1)"/>
      <w:numFmt w:val="lowerLetter"/>
      <w:start w:val="1"/>
    </w:lvl>
    <w:lvl w:ilvl="1">
      <w:lvlJc w:val="left"/>
      <w:lvlText w:val="(%2)"/>
      <w:numFmt w:val="lowerRoman"/>
      <w:start w:val="1"/>
    </w:lvl>
  </w:abstractNum>
  <w:abstractNum w:abstractNumId="134">
    <w:nsid w:val="434BAE75"/>
    <w:multiLevelType w:val="hybridMultilevel"/>
    <w:lvl w:ilvl="0">
      <w:lvlJc w:val="left"/>
      <w:lvlText w:val="%1"/>
      <w:numFmt w:val="lowerRoman"/>
      <w:start w:val="1"/>
    </w:lvl>
    <w:lvl w:ilvl="1">
      <w:lvlJc w:val="left"/>
      <w:lvlText w:val="(%2)"/>
      <w:numFmt w:val="lowerLetter"/>
      <w:start w:val="4"/>
    </w:lvl>
  </w:abstractNum>
  <w:abstractNum w:abstractNumId="135">
    <w:nsid w:val="4F38F265"/>
    <w:multiLevelType w:val="hybridMultilevel"/>
    <w:lvl w:ilvl="0">
      <w:lvlJc w:val="left"/>
      <w:lvlText w:val="%1"/>
      <w:numFmt w:val="lowerRoman"/>
      <w:start w:val="1"/>
    </w:lvl>
    <w:lvl w:ilvl="1">
      <w:lvlJc w:val="left"/>
      <w:lvlText w:val="(%2)"/>
      <w:numFmt w:val="lowerLetter"/>
      <w:start w:val="9"/>
    </w:lvl>
  </w:abstractNum>
  <w:abstractNum w:abstractNumId="136">
    <w:nsid w:val="4C502870"/>
    <w:multiLevelType w:val="hybridMultilevel"/>
    <w:lvl w:ilvl="0">
      <w:lvlJc w:val="left"/>
      <w:lvlText w:val="%1"/>
      <w:numFmt w:val="lowerRoman"/>
      <w:start w:val="1"/>
    </w:lvl>
    <w:lvl w:ilvl="1">
      <w:lvlJc w:val="left"/>
      <w:lvlText w:val="(%2)"/>
      <w:numFmt w:val="lowerLetter"/>
      <w:start w:val="35"/>
    </w:lvl>
  </w:abstractNum>
  <w:abstractNum w:abstractNumId="137">
    <w:nsid w:val="1DE8725A"/>
    <w:multiLevelType w:val="hybridMultilevel"/>
    <w:lvl w:ilvl="0">
      <w:lvlJc w:val="left"/>
      <w:lvlText w:val="(%1)"/>
      <w:numFmt w:val="lowerLetter"/>
      <w:start w:val="1"/>
    </w:lvl>
  </w:abstractNum>
  <w:abstractNum w:abstractNumId="138">
    <w:nsid w:val="6A37288A"/>
    <w:multiLevelType w:val="hybridMultilevel"/>
    <w:lvl w:ilvl="0">
      <w:lvlJc w:val="left"/>
      <w:lvlText w:val="(%1)"/>
      <w:numFmt w:val="lowerRoman"/>
      <w:start w:val="1"/>
    </w:lvl>
  </w:abstractNum>
  <w:abstractNum w:abstractNumId="139">
    <w:nsid w:val="8F8B73F"/>
    <w:multiLevelType w:val="hybridMultilevel"/>
    <w:lvl w:ilvl="0">
      <w:lvlJc w:val="left"/>
      <w:lvlText w:val="(%1)"/>
      <w:numFmt w:val="lowerRoman"/>
      <w:start w:val="2"/>
    </w:lvl>
  </w:abstractNum>
  <w:abstractNum w:abstractNumId="140">
    <w:nsid w:val="CA6B462"/>
    <w:multiLevelType w:val="hybridMultilevel"/>
    <w:lvl w:ilvl="0">
      <w:lvlJc w:val="left"/>
      <w:lvlText w:val="%1"/>
      <w:numFmt w:val="decimal"/>
      <w:start w:val="1"/>
    </w:lvl>
    <w:lvl w:ilvl="1">
      <w:lvlJc w:val="left"/>
      <w:lvlText w:val="(%2)"/>
      <w:numFmt w:val="lowerLetter"/>
      <w:start w:val="1"/>
    </w:lvl>
  </w:abstractNum>
  <w:abstractNum w:abstractNumId="141">
    <w:nsid w:val="763CB680"/>
    <w:multiLevelType w:val="hybridMultilevel"/>
    <w:lvl w:ilvl="0">
      <w:lvlJc w:val="left"/>
      <w:lvlText w:val="%1."/>
      <w:numFmt w:val="decimal"/>
      <w:start w:val="8"/>
    </w:lvl>
    <w:lvl w:ilvl="1">
      <w:lvlJc w:val="left"/>
      <w:lvlText w:val="%2"/>
      <w:numFmt w:val="lowerLetter"/>
      <w:start w:val="1"/>
    </w:lvl>
  </w:abstractNum>
  <w:abstractNum w:abstractNumId="142">
    <w:nsid w:val="15B71329"/>
    <w:multiLevelType w:val="hybridMultilevel"/>
    <w:lvl w:ilvl="0">
      <w:lvlJc w:val="left"/>
      <w:lvlText w:val="(%1)"/>
      <w:numFmt w:val="lowerLetter"/>
      <w:start w:val="1"/>
    </w:lvl>
  </w:abstractNum>
  <w:abstractNum w:abstractNumId="143">
    <w:nsid w:val="3DA97044"/>
    <w:multiLevelType w:val="hybridMultilevel"/>
    <w:lvl w:ilvl="0">
      <w:lvlJc w:val="left"/>
      <w:lvlText w:val="(%1)"/>
      <w:numFmt w:val="lowerLetter"/>
      <w:start w:val="3"/>
    </w:lvl>
  </w:abstractNum>
  <w:abstractNum w:abstractNumId="144">
    <w:nsid w:val="1CDCE2DE"/>
    <w:multiLevelType w:val="hybridMultilevel"/>
    <w:lvl w:ilvl="0">
      <w:lvlJc w:val="left"/>
      <w:lvlText w:val="(%1)"/>
      <w:numFmt w:val="lowerLetter"/>
      <w:start w:val="7"/>
    </w:lvl>
  </w:abstractNum>
  <w:abstractNum w:abstractNumId="145">
    <w:nsid w:val="69D3947C"/>
    <w:multiLevelType w:val="hybridMultilevel"/>
    <w:lvl w:ilvl="0">
      <w:lvlJc w:val="left"/>
      <w:lvlText w:val="(%1)"/>
      <w:numFmt w:val="lowerLetter"/>
      <w:start w:val="12"/>
    </w:lvl>
  </w:abstractNum>
  <w:abstractNum w:abstractNumId="146">
    <w:nsid w:val="2539DFA5"/>
    <w:multiLevelType w:val="hybridMultilevel"/>
    <w:lvl w:ilvl="0">
      <w:lvlJc w:val="left"/>
      <w:lvlText w:val="(%1)"/>
      <w:numFmt w:val="lowerLetter"/>
      <w:start w:val="20"/>
    </w:lvl>
  </w:abstractNum>
  <w:abstractNum w:abstractNumId="147">
    <w:nsid w:val="2DB88089"/>
    <w:multiLevelType w:val="hybridMultilevel"/>
    <w:lvl w:ilvl="0">
      <w:lvlJc w:val="left"/>
      <w:lvlText w:val="(%1)"/>
      <w:numFmt w:val="lowerRoman"/>
      <w:start w:val="1"/>
    </w:lvl>
  </w:abstractNum>
  <w:abstractNum w:abstractNumId="148">
    <w:nsid w:val="706B674E"/>
    <w:multiLevelType w:val="hybridMultilevel"/>
    <w:lvl w:ilvl="0">
      <w:lvlJc w:val="left"/>
      <w:lvlText w:val="(%1)"/>
      <w:numFmt w:val="lowerLetter"/>
      <w:start w:val="1"/>
    </w:lvl>
  </w:abstractNum>
  <w:abstractNum w:abstractNumId="149">
    <w:nsid w:val="2C106A57"/>
    <w:multiLevelType w:val="hybridMultilevel"/>
    <w:lvl w:ilvl="0">
      <w:lvlJc w:val="left"/>
      <w:lvlText w:val="%1"/>
      <w:numFmt w:val="decimal"/>
      <w:start w:val="1"/>
    </w:lvl>
    <w:lvl w:ilvl="1">
      <w:lvlJc w:val="left"/>
      <w:lvlText w:val="(%2)"/>
      <w:numFmt w:val="lowerLetter"/>
      <w:start w:val="3"/>
    </w:lvl>
  </w:abstractNum>
  <w:abstractNum w:abstractNumId="150">
    <w:nsid w:val="684EED59"/>
    <w:multiLevelType w:val="hybridMultilevel"/>
    <w:lvl w:ilvl="0">
      <w:lvlJc w:val="left"/>
      <w:lvlText w:val="%1."/>
      <w:numFmt w:val="decimal"/>
      <w:start w:val="9"/>
    </w:lvl>
    <w:lvl w:ilvl="1">
      <w:lvlJc w:val="left"/>
      <w:lvlText w:val="%2"/>
      <w:numFmt w:val="lowerLetter"/>
      <w:start w:val="1"/>
    </w:lvl>
  </w:abstractNum>
  <w:abstractNum w:abstractNumId="151">
    <w:nsid w:val="545EE5D3"/>
    <w:multiLevelType w:val="hybridMultilevel"/>
    <w:lvl w:ilvl="0">
      <w:lvlJc w:val="left"/>
      <w:lvlText w:val="(%1)"/>
      <w:numFmt w:val="lowerLetter"/>
      <w:start w:val="1"/>
    </w:lvl>
    <w:lvl w:ilvl="1">
      <w:lvlJc w:val="left"/>
      <w:lvlText w:val="(%2)"/>
      <w:numFmt w:val="lowerRoman"/>
      <w:start w:val="1"/>
    </w:lvl>
  </w:abstractNum>
  <w:abstractNum w:abstractNumId="152">
    <w:nsid w:val="4A66051"/>
    <w:multiLevelType w:val="hybridMultilevel"/>
    <w:lvl w:ilvl="0">
      <w:lvlJc w:val="left"/>
      <w:lvlText w:val="%1"/>
      <w:numFmt w:val="lowerLetter"/>
      <w:start w:val="1"/>
    </w:lvl>
    <w:lvl w:ilvl="1">
      <w:lvlJc w:val="left"/>
      <w:lvlText w:val="(%2)"/>
      <w:numFmt w:val="lowerRoman"/>
      <w:start w:val="2"/>
    </w:lvl>
  </w:abstractNum>
  <w:abstractNum w:abstractNumId="153">
    <w:nsid w:val="20F4BDAD"/>
    <w:multiLevelType w:val="hybridMultilevel"/>
    <w:lvl w:ilvl="0">
      <w:lvlJc w:val="left"/>
      <w:lvlText w:val="(%1)"/>
      <w:numFmt w:val="lowerLetter"/>
      <w:start w:val="5"/>
    </w:lvl>
    <w:lvl w:ilvl="1">
      <w:lvlJc w:val="left"/>
      <w:lvlText w:val="(%2)"/>
      <w:numFmt w:val="lowerRoman"/>
      <w:start w:val="1"/>
    </w:lvl>
  </w:abstractNum>
  <w:abstractNum w:abstractNumId="154">
    <w:nsid w:val="639DEFAC"/>
    <w:multiLevelType w:val="hybridMultilevel"/>
    <w:lvl w:ilvl="0">
      <w:lvlJc w:val="left"/>
      <w:lvlText w:val="(%1)"/>
      <w:numFmt w:val="lowerRoman"/>
      <w:start w:val="5"/>
    </w:lvl>
  </w:abstractNum>
  <w:abstractNum w:abstractNumId="155">
    <w:nsid w:val="501F9786"/>
    <w:multiLevelType w:val="hybridMultilevel"/>
    <w:lvl w:ilvl="0">
      <w:lvlJc w:val="left"/>
      <w:lvlText w:val="%1"/>
      <w:numFmt w:val="lowerLetter"/>
      <w:start w:val="1"/>
    </w:lvl>
    <w:lvl w:ilvl="1">
      <w:lvlJc w:val="left"/>
      <w:lvlText w:val="(%2)"/>
      <w:numFmt w:val="lowerLetter"/>
      <w:start w:val="22"/>
    </w:lvl>
  </w:abstractNum>
  <w:abstractNum w:abstractNumId="156">
    <w:nsid w:val="6B057295"/>
    <w:multiLevelType w:val="hybridMultilevel"/>
    <w:lvl w:ilvl="0">
      <w:lvlJc w:val="left"/>
      <w:lvlText w:val="(%1)"/>
      <w:numFmt w:val="lowerLetter"/>
      <w:start w:val="6"/>
    </w:lvl>
    <w:lvl w:ilvl="1">
      <w:lvlJc w:val="left"/>
      <w:lvlText w:val="%2"/>
      <w:numFmt w:val="lowerLetter"/>
      <w:start w:val="1"/>
    </w:lvl>
  </w:abstractNum>
  <w:abstractNum w:abstractNumId="157">
    <w:nsid w:val="2771AC80"/>
    <w:multiLevelType w:val="hybridMultilevel"/>
    <w:lvl w:ilvl="0">
      <w:lvlJc w:val="left"/>
      <w:lvlText w:val="(%1)"/>
      <w:numFmt w:val="lowerLetter"/>
      <w:start w:val="10"/>
    </w:lvl>
  </w:abstractNum>
  <w:abstractNum w:abstractNumId="158">
    <w:nsid w:val="1C4A08EC"/>
    <w:multiLevelType w:val="hybridMultilevel"/>
    <w:lvl w:ilvl="0">
      <w:lvlJc w:val="left"/>
      <w:lvlText w:val="%1"/>
      <w:numFmt w:val="lowerLetter"/>
      <w:start w:val="1"/>
    </w:lvl>
    <w:lvl w:ilvl="1">
      <w:lvlJc w:val="left"/>
      <w:lvlText w:val="(%2)"/>
      <w:numFmt w:val="lowerLetter"/>
      <w:start w:val="17"/>
    </w:lvl>
  </w:abstractNum>
  <w:abstractNum w:abstractNumId="159">
    <w:nsid w:val="1958BD17"/>
    <w:multiLevelType w:val="hybridMultilevel"/>
    <w:lvl w:ilvl="0">
      <w:lvlJc w:val="left"/>
      <w:lvlText w:val="(%1)"/>
      <w:numFmt w:val="lowerLetter"/>
      <w:start w:val="35"/>
    </w:lvl>
    <w:lvl w:ilvl="1">
      <w:lvlJc w:val="left"/>
      <w:lvlText w:val="(%2)"/>
      <w:numFmt w:val="lowerLetter"/>
      <w:start w:val="21"/>
    </w:lvl>
  </w:abstractNum>
  <w:abstractNum w:abstractNumId="160">
    <w:nsid w:val="4E647FE4"/>
    <w:multiLevelType w:val="hybridMultilevel"/>
    <w:lvl w:ilvl="0">
      <w:lvlJc w:val="left"/>
      <w:lvlText w:val="%1"/>
      <w:numFmt w:val="lowerLetter"/>
      <w:start w:val="1"/>
    </w:lvl>
    <w:lvl w:ilvl="1">
      <w:lvlJc w:val="left"/>
      <w:lvlText w:val="(%2)"/>
      <w:numFmt w:val="lowerRoman"/>
      <w:start w:val="1"/>
    </w:lvl>
  </w:abstractNum>
  <w:abstractNum w:abstractNumId="161">
    <w:nsid w:val="E0BB885"/>
    <w:multiLevelType w:val="hybridMultilevel"/>
    <w:lvl w:ilvl="0">
      <w:lvlJc w:val="left"/>
      <w:lvlText w:val="(%1)"/>
      <w:numFmt w:val="lowerLetter"/>
      <w:start w:val="23"/>
    </w:lvl>
    <w:lvl w:ilvl="1">
      <w:lvlJc w:val="left"/>
      <w:lvlText w:val="%2"/>
      <w:numFmt w:val="lowerRoman"/>
      <w:start w:val="1"/>
    </w:lvl>
  </w:abstractNum>
  <w:abstractNum w:abstractNumId="162">
    <w:nsid w:val="565976F1"/>
    <w:multiLevelType w:val="hybridMultilevel"/>
    <w:lvl w:ilvl="0">
      <w:lvlJc w:val="left"/>
      <w:lvlText w:val="(%1)"/>
      <w:numFmt w:val="lowerLetter"/>
      <w:start w:val="1"/>
    </w:lvl>
    <w:lvl w:ilvl="1">
      <w:lvlJc w:val="left"/>
      <w:lvlText w:val="(%2)"/>
      <w:numFmt w:val="lowerRoman"/>
      <w:start w:val="1"/>
    </w:lvl>
  </w:abstractNum>
  <w:abstractNum w:abstractNumId="163">
    <w:nsid w:val="64212B8C"/>
    <w:multiLevelType w:val="hybridMultilevel"/>
    <w:lvl w:ilvl="0">
      <w:lvlJc w:val="left"/>
      <w:lvlText w:val="(%1)"/>
      <w:numFmt w:val="lowerRoman"/>
      <w:start w:val="2"/>
    </w:lvl>
  </w:abstractNum>
  <w:abstractNum w:abstractNumId="164">
    <w:nsid w:val="5C17530C"/>
    <w:multiLevelType w:val="hybridMultilevel"/>
    <w:lvl w:ilvl="0">
      <w:lvlJc w:val="left"/>
      <w:lvlText w:val="(%1)"/>
      <w:numFmt w:val="lowerLetter"/>
      <w:start w:val="2"/>
    </w:lvl>
  </w:abstractNum>
  <w:abstractNum w:abstractNumId="165">
    <w:nsid w:val="19A52566"/>
    <w:multiLevelType w:val="hybridMultilevel"/>
    <w:lvl w:ilvl="0">
      <w:lvlJc w:val="left"/>
      <w:lvlText w:val="(%1)"/>
      <w:numFmt w:val="lowerLetter"/>
      <w:start w:val="7"/>
    </w:lvl>
  </w:abstractNum>
  <w:abstractNum w:abstractNumId="166">
    <w:nsid w:val="335A1DF1"/>
    <w:multiLevelType w:val="hybridMultilevel"/>
    <w:lvl w:ilvl="0">
      <w:lvlJc w:val="left"/>
      <w:lvlText w:val="%1"/>
      <w:numFmt w:val="lowerLetter"/>
      <w:start w:val="1"/>
    </w:lvl>
    <w:lvl w:ilvl="1">
      <w:lvlJc w:val="left"/>
      <w:lvlText w:val="(%2)"/>
      <w:numFmt w:val="lowerRoman"/>
      <w:start w:val="1"/>
    </w:lvl>
  </w:abstractNum>
  <w:abstractNum w:abstractNumId="167">
    <w:nsid w:val="28677B7C"/>
    <w:multiLevelType w:val="hybridMultilevel"/>
    <w:lvl w:ilvl="0">
      <w:lvlJc w:val="left"/>
      <w:lvlText w:val="(%1)"/>
      <w:numFmt w:val="lowerLetter"/>
      <w:start w:val="17"/>
    </w:lvl>
    <w:lvl w:ilvl="1">
      <w:lvlJc w:val="left"/>
      <w:lvlText w:val="%2"/>
      <w:numFmt w:val="lowerRoman"/>
      <w:start w:val="1"/>
    </w:lvl>
  </w:abstractNum>
  <w:abstractNum w:abstractNumId="168">
    <w:nsid w:val="378D97C0"/>
    <w:multiLevelType w:val="hybridMultilevel"/>
    <w:lvl w:ilvl="0">
      <w:lvlJc w:val="left"/>
      <w:lvlText w:val="(%1)"/>
      <w:numFmt w:val="lowerLetter"/>
      <w:start w:val="19"/>
    </w:lvl>
  </w:abstractNum>
  <w:abstractNum w:abstractNumId="169">
    <w:nsid w:val="1D91467C"/>
    <w:multiLevelType w:val="hybridMultilevel"/>
    <w:lvl w:ilvl="0">
      <w:lvlJc w:val="left"/>
      <w:lvlText w:val="%1."/>
      <w:numFmt w:val="decimal"/>
      <w:start w:val="10"/>
    </w:lvl>
    <w:lvl w:ilvl="1">
      <w:lvlJc w:val="left"/>
      <w:lvlText w:val="(%2)"/>
      <w:numFmt w:val="lowerLetter"/>
      <w:start w:val="1"/>
    </w:lvl>
  </w:abstractNum>
  <w:abstractNum w:abstractNumId="170">
    <w:nsid w:val="316032BB"/>
    <w:multiLevelType w:val="hybridMultilevel"/>
    <w:lvl w:ilvl="0">
      <w:lvlJc w:val="left"/>
      <w:lvlText w:val="%1"/>
      <w:numFmt w:val="decimal"/>
      <w:start w:val="1"/>
    </w:lvl>
    <w:lvl w:ilvl="1">
      <w:lvlJc w:val="left"/>
      <w:lvlText w:val="(%2)"/>
      <w:numFmt w:val="lowerLetter"/>
      <w:start w:val="5"/>
    </w:lvl>
  </w:abstractNum>
  <w:abstractNum w:abstractNumId="171">
    <w:nsid w:val="44344C22"/>
    <w:multiLevelType w:val="hybridMultilevel"/>
    <w:lvl w:ilvl="0">
      <w:lvlJc w:val="left"/>
      <w:lvlText w:val="%1."/>
      <w:numFmt w:val="decimal"/>
      <w:start w:val="11"/>
    </w:lvl>
    <w:lvl w:ilvl="1">
      <w:lvlJc w:val="left"/>
      <w:lvlText w:val="%2"/>
      <w:numFmt w:val="lowerLetter"/>
      <w:start w:val="1"/>
    </w:lvl>
  </w:abstractNum>
  <w:abstractNum w:abstractNumId="172">
    <w:nsid w:val="13CDFCFC"/>
    <w:multiLevelType w:val="hybridMultilevel"/>
    <w:lvl w:ilvl="0">
      <w:lvlJc w:val="left"/>
      <w:lvlText w:val="(%1)"/>
      <w:numFmt w:val="lowerRoman"/>
      <w:start w:val="1"/>
    </w:lvl>
  </w:abstractNum>
  <w:abstractNum w:abstractNumId="173">
    <w:nsid w:val="471745E4"/>
    <w:multiLevelType w:val="hybridMultilevel"/>
    <w:lvl w:ilvl="0">
      <w:lvlJc w:val="left"/>
      <w:lvlText w:val="(%1)"/>
      <w:numFmt w:val="lowerLetter"/>
      <w:start w:val="1"/>
    </w:lvl>
  </w:abstractNum>
  <w:abstractNum w:abstractNumId="174">
    <w:nsid w:val="1DDBC66"/>
    <w:multiLevelType w:val="hybridMultilevel"/>
    <w:lvl w:ilvl="0">
      <w:lvlJc w:val="left"/>
      <w:lvlText w:val="(%1)"/>
      <w:numFmt w:val="lowerLetter"/>
      <w:start w:val="2"/>
    </w:lvl>
  </w:abstractNum>
  <w:abstractNum w:abstractNumId="175">
    <w:nsid w:val="30AADFDA"/>
    <w:multiLevelType w:val="hybridMultilevel"/>
    <w:lvl w:ilvl="0">
      <w:lvlJc w:val="left"/>
      <w:lvlText w:val="(%1)"/>
      <w:numFmt w:val="lowerLetter"/>
      <w:start w:val="1"/>
    </w:lvl>
  </w:abstractNum>
  <w:abstractNum w:abstractNumId="176">
    <w:nsid w:val="30EADA61"/>
    <w:multiLevelType w:val="hybridMultilevel"/>
    <w:lvl w:ilvl="0">
      <w:lvlJc w:val="left"/>
      <w:lvlText w:val="%1."/>
      <w:numFmt w:val="decimal"/>
      <w:start w:val="12"/>
    </w:lvl>
  </w:abstractNum>
  <w:abstractNum w:abstractNumId="177">
    <w:nsid w:val="27179C0B"/>
    <w:multiLevelType w:val="hybridMultilevel"/>
    <w:lvl w:ilvl="0">
      <w:lvlJc w:val="left"/>
      <w:lvlText w:val="%1."/>
      <w:numFmt w:val="decimal"/>
      <w:start w:val="13"/>
    </w:lvl>
  </w:abstractNum>
  <w:abstractNum w:abstractNumId="178">
    <w:nsid w:val="5E636063"/>
    <w:multiLevelType w:val="hybridMultilevel"/>
    <w:lvl w:ilvl="0">
      <w:lvlJc w:val="left"/>
      <w:lvlText w:val="%1."/>
      <w:numFmt w:val="decimal"/>
      <w:start w:val="14"/>
    </w:lvl>
  </w:abstractNum>
  <w:abstractNum w:abstractNumId="179">
    <w:nsid w:val="215641AF"/>
    <w:multiLevelType w:val="hybridMultilevel"/>
    <w:lvl w:ilvl="0">
      <w:lvlJc w:val="left"/>
      <w:lvlText w:val="%1."/>
      <w:numFmt w:val="decimal"/>
      <w:start w:val="15"/>
    </w:lvl>
  </w:abstractNum>
  <w:abstractNum w:abstractNumId="180">
    <w:nsid w:val="53280662"/>
    <w:multiLevelType w:val="hybridMultilevel"/>
    <w:lvl w:ilvl="0">
      <w:lvlJc w:val="left"/>
      <w:lvlText w:val="(%1)"/>
      <w:numFmt w:val="lowerLetter"/>
      <w:start w:val="1"/>
    </w:lvl>
  </w:abstractNum>
  <w:abstractNum w:abstractNumId="181">
    <w:nsid w:val="46B24DBC"/>
    <w:multiLevelType w:val="hybridMultilevel"/>
    <w:lvl w:ilvl="0">
      <w:lvlJc w:val="left"/>
      <w:lvlText w:val="(%1)"/>
      <w:numFmt w:val="lowerLetter"/>
      <w:start w:val="3"/>
    </w:lvl>
  </w:abstractNum>
  <w:abstractNum w:abstractNumId="182">
    <w:nsid w:val="75B52783"/>
    <w:multiLevelType w:val="hybridMultilevel"/>
    <w:lvl w:ilvl="0">
      <w:lvlJc w:val="left"/>
      <w:lvlText w:val="(%1)"/>
      <w:numFmt w:val="lowerLetter"/>
      <w:start w:val="1"/>
    </w:lvl>
  </w:abstractNum>
  <w:abstractNum w:abstractNumId="183">
    <w:nsid w:val="57CE66B4"/>
    <w:multiLevelType w:val="hybridMultilevel"/>
    <w:lvl w:ilvl="0">
      <w:lvlJc w:val="left"/>
      <w:lvlText w:val="(%1)"/>
      <w:numFmt w:val="lowerLetter"/>
      <w:start w:val="2"/>
    </w:lvl>
  </w:abstractNum>
  <w:abstractNum w:abstractNumId="184">
    <w:nsid w:val="67A70B69"/>
    <w:multiLevelType w:val="hybridMultilevel"/>
    <w:lvl w:ilvl="0">
      <w:lvlJc w:val="left"/>
      <w:lvlText w:val="(%1)"/>
      <w:numFmt w:val="decimal"/>
      <w:start w:val="60"/>
    </w:lvl>
  </w:abstractNum>
  <w:abstractNum w:abstractNumId="185">
    <w:nsid w:val="5953172F"/>
    <w:multiLevelType w:val="hybridMultilevel"/>
    <w:lvl w:ilvl="0">
      <w:lvlJc w:val="left"/>
      <w:lvlText w:val="(%1)"/>
      <w:numFmt w:val="lowerLetter"/>
      <w:start w:val="1"/>
    </w:lvl>
  </w:abstractNum>
  <w:abstractNum w:abstractNumId="186">
    <w:nsid w:val="27EDFE3A"/>
    <w:multiLevelType w:val="hybridMultilevel"/>
    <w:lvl w:ilvl="0">
      <w:lvlJc w:val="left"/>
      <w:lvlText w:val="(%1)"/>
      <w:numFmt w:val="lowerLetter"/>
      <w:start w:val="1"/>
    </w:lvl>
  </w:abstractNum>
  <w:abstractNum w:abstractNumId="187">
    <w:nsid w:val="52AC7DFF"/>
    <w:multiLevelType w:val="hybridMultilevel"/>
    <w:lvl w:ilvl="0">
      <w:lvlJc w:val="left"/>
      <w:lvlText w:val="(%1)"/>
      <w:numFmt w:val="lowerLetter"/>
      <w:start w:val="3"/>
    </w:lvl>
  </w:abstractNum>
  <w:abstractNum w:abstractNumId="188">
    <w:nsid w:val="C4C3AF"/>
    <w:multiLevelType w:val="hybridMultilevel"/>
    <w:lvl w:ilvl="0">
      <w:lvlJc w:val="left"/>
      <w:lvlText w:val="%1."/>
      <w:numFmt w:val="decimal"/>
      <w:start w:val="16"/>
    </w:lvl>
  </w:abstractNum>
  <w:abstractNum w:abstractNumId="189">
    <w:nsid w:val="44380727"/>
    <w:multiLevelType w:val="hybridMultilevel"/>
    <w:lvl w:ilvl="0">
      <w:lvlJc w:val="left"/>
      <w:lvlText w:val="%1."/>
      <w:numFmt w:val="decimal"/>
      <w:start w:val="17"/>
    </w:lvl>
  </w:abstractNum>
  <w:abstractNum w:abstractNumId="190">
    <w:nsid w:val="6C053B16"/>
    <w:multiLevelType w:val="hybridMultilevel"/>
    <w:lvl w:ilvl="0">
      <w:lvlJc w:val="left"/>
      <w:lvlText w:val="(%1)"/>
      <w:numFmt w:val="lowerRoman"/>
      <w:start w:val="1"/>
    </w:lvl>
  </w:abstractNum>
  <w:abstractNum w:abstractNumId="191">
    <w:nsid w:val="4F294393"/>
    <w:multiLevelType w:val="hybridMultilevel"/>
    <w:lvl w:ilvl="0">
      <w:lvlJc w:val="left"/>
      <w:lvlText w:val="(%1)"/>
      <w:numFmt w:val="lowerRoman"/>
      <w:start w:val="3"/>
    </w:lvl>
  </w:abstractNum>
  <w:abstractNum w:abstractNumId="192">
    <w:nsid w:val="5243BFAC"/>
    <w:multiLevelType w:val="hybridMultilevel"/>
    <w:lvl w:ilvl="0">
      <w:lvlJc w:val="left"/>
      <w:lvlText w:val="(%1)"/>
      <w:numFmt w:val="lowerRoman"/>
      <w:start w:val="1"/>
    </w:lvl>
  </w:abstractNum>
  <w:abstractNum w:abstractNumId="193">
    <w:nsid w:val="425EB207"/>
    <w:multiLevelType w:val="hybridMultilevel"/>
    <w:lvl w:ilvl="0">
      <w:lvlJc w:val="left"/>
      <w:lvlText w:val="(%1)"/>
      <w:numFmt w:val="lowerLetter"/>
      <w:start w:val="1"/>
    </w:lvl>
    <w:lvl w:ilvl="1">
      <w:lvlJc w:val="left"/>
      <w:lvlText w:val="(%2)"/>
      <w:numFmt w:val="lowerRoman"/>
      <w:start w:val="1"/>
    </w:lvl>
  </w:abstractNum>
  <w:abstractNum w:abstractNumId="194">
    <w:nsid w:val="334A6F1F"/>
    <w:multiLevelType w:val="hybridMultilevel"/>
    <w:lvl w:ilvl="0">
      <w:lvlJc w:val="left"/>
      <w:lvlText w:val="(%1)"/>
      <w:numFmt w:val="decimal"/>
      <w:start w:val="5"/>
    </w:lvl>
  </w:abstractNum>
  <w:abstractNum w:abstractNumId="195">
    <w:nsid w:val="2E5B12B8"/>
    <w:multiLevelType w:val="hybridMultilevel"/>
    <w:lvl w:ilvl="0">
      <w:lvlJc w:val="left"/>
      <w:lvlText w:val="(%1)"/>
      <w:numFmt w:val="lowerRoman"/>
      <w:start w:val="1"/>
    </w:lvl>
  </w:abstractNum>
  <w:abstractNum w:abstractNumId="196">
    <w:nsid w:val="5C03D76D"/>
    <w:multiLevelType w:val="hybridMultilevel"/>
    <w:lvl w:ilvl="0">
      <w:lvlJc w:val="left"/>
      <w:lvlText w:val="(%1)"/>
      <w:numFmt w:val="lowerRoman"/>
      <w:start w:val="2"/>
    </w:lvl>
  </w:abstractNum>
  <w:abstractNum w:abstractNumId="197">
    <w:nsid w:val="66A48D11"/>
    <w:multiLevelType w:val="hybridMultilevel"/>
    <w:lvl w:ilvl="0">
      <w:lvlJc w:val="left"/>
      <w:lvlText w:val="(%1)"/>
      <w:numFmt w:val="lowerRoman"/>
      <w:start w:val="3"/>
    </w:lvl>
  </w:abstractNum>
  <w:abstractNum w:abstractNumId="198">
    <w:nsid w:val="56C28E34"/>
    <w:multiLevelType w:val="hybridMultilevel"/>
    <w:lvl w:ilvl="0">
      <w:lvlJc w:val="left"/>
      <w:lvlText w:val="(%1)"/>
      <w:numFmt w:val="lowerRoman"/>
      <w:start w:val="4"/>
    </w:lvl>
  </w:abstractNum>
  <w:abstractNum w:abstractNumId="199">
    <w:nsid w:val="13916F2D"/>
    <w:multiLevelType w:val="hybridMultilevel"/>
    <w:lvl w:ilvl="0">
      <w:lvlJc w:val="left"/>
      <w:lvlText w:val="%1."/>
      <w:numFmt w:val="decimal"/>
      <w:start w:val="1"/>
    </w:lvl>
  </w:abstractNum>
  <w:abstractNum w:abstractNumId="200">
    <w:nsid w:val="435D38D"/>
    <w:multiLevelType w:val="hybridMultilevel"/>
    <w:lvl w:ilvl="0">
      <w:lvlJc w:val="left"/>
      <w:lvlText w:val="%1)"/>
      <w:numFmt w:val="decimal"/>
      <w:start w:val="2"/>
    </w:lvl>
  </w:abstractNum>
  <w:abstractNum w:abstractNumId="201">
    <w:nsid w:val="822C0EF"/>
    <w:multiLevelType w:val="hybridMultilevel"/>
    <w:lvl w:ilvl="0">
      <w:lvlJc w:val="left"/>
      <w:lvlText w:val="%1)"/>
      <w:numFmt w:val="lowerLetter"/>
      <w:start w:val="2"/>
    </w:lvl>
  </w:abstractNum>
  <w:abstractNum w:abstractNumId="202">
    <w:nsid w:val="57C5BB4F"/>
    <w:multiLevelType w:val="hybridMultilevel"/>
    <w:lvl w:ilvl="0">
      <w:lvlJc w:val="left"/>
      <w:lvlText w:val="%1)"/>
      <w:numFmt w:val="lowerLetter"/>
      <w:start w:val="4"/>
    </w:lvl>
  </w:abstractNum>
  <w:abstractNum w:abstractNumId="203">
    <w:nsid w:val="1803D089"/>
    <w:multiLevelType w:val="hybridMultilevel"/>
    <w:lvl w:ilvl="0">
      <w:lvlJc w:val="left"/>
      <w:lvlText w:val="%1)"/>
      <w:numFmt w:val="decimal"/>
      <w:start w:val="3"/>
    </w:lvl>
  </w:abstractNum>
  <w:abstractNum w:abstractNumId="204">
    <w:nsid w:val="4F3A06D4"/>
    <w:multiLevelType w:val="hybridMultilevel"/>
    <w:lvl w:ilvl="0">
      <w:lvlJc w:val="left"/>
      <w:lvlText w:val="%1."/>
      <w:numFmt w:val="decimal"/>
      <w:start w:val="2"/>
    </w:lvl>
    <w:lvl w:ilvl="1">
      <w:lvlJc w:val="left"/>
      <w:lvlText w:val="%2)"/>
      <w:numFmt w:val="decimal"/>
      <w:start w:val="1"/>
    </w:lvl>
  </w:abstractNum>
  <w:abstractNum w:abstractNumId="205">
    <w:nsid w:val="59A377B6"/>
    <w:multiLevelType w:val="hybridMultilevel"/>
    <w:lvl w:ilvl="0">
      <w:lvlJc w:val="left"/>
      <w:lvlText w:val="%1)"/>
      <w:numFmt w:val="lowerLetter"/>
      <w:start w:val="2"/>
    </w:lvl>
  </w:abstractNum>
  <w:abstractNum w:abstractNumId="206">
    <w:nsid w:val="48AEB063"/>
    <w:multiLevelType w:val="hybridMultilevel"/>
    <w:lvl w:ilvl="0">
      <w:lvlJc w:val="left"/>
      <w:lvlText w:val="%1)"/>
      <w:numFmt w:val="decimal"/>
      <w:start w:val="2"/>
    </w:lvl>
  </w:abstractNum>
  <w:abstractNum w:abstractNumId="207">
    <w:nsid w:val="24E135"/>
    <w:multiLevelType w:val="hybridMultilevel"/>
    <w:lvl w:ilvl="0">
      <w:lvlJc w:val="left"/>
      <w:lvlText w:val="%1)"/>
      <w:numFmt w:val="lowerLetter"/>
      <w:start w:val="2"/>
    </w:lvl>
  </w:abstractNum>
  <w:abstractNum w:abstractNumId="208">
    <w:nsid w:val="BB13C1"/>
    <w:multiLevelType w:val="hybridMultilevel"/>
    <w:lvl w:ilvl="0">
      <w:lvlJc w:val="left"/>
      <w:lvlText w:val="%1."/>
      <w:numFmt w:val="decimal"/>
      <w:start w:val="3"/>
    </w:lvl>
  </w:abstractNum>
  <w:abstractNum w:abstractNumId="209">
    <w:nsid w:val="271210C7"/>
    <w:multiLevelType w:val="hybridMultilevel"/>
    <w:lvl w:ilvl="0">
      <w:lvlJc w:val="left"/>
      <w:lvlText w:val="%1)"/>
      <w:numFmt w:val="decimal"/>
      <w:start w:val="3"/>
    </w:lvl>
  </w:abstractNum>
  <w:abstractNum w:abstractNumId="210">
    <w:nsid w:val="217B22E4"/>
    <w:multiLevelType w:val="hybridMultilevel"/>
    <w:lvl w:ilvl="0">
      <w:lvlJc w:val="left"/>
      <w:lvlText w:val="%1."/>
      <w:numFmt w:val="decimal"/>
      <w:start w:val="4"/>
    </w:lvl>
  </w:abstractNum>
  <w:abstractNum w:abstractNumId="211">
    <w:nsid w:val="53E31A24"/>
    <w:multiLevelType w:val="hybridMultilevel"/>
    <w:lvl w:ilvl="0">
      <w:lvlJc w:val="left"/>
      <w:lvlText w:val="%1."/>
      <w:numFmt w:val="decimal"/>
      <w:start w:val="5"/>
    </w:lvl>
  </w:abstractNum>
  <w:abstractNum w:abstractNumId="212">
    <w:nsid w:val="6DC45E83"/>
    <w:multiLevelType w:val="hybridMultilevel"/>
    <w:lvl w:ilvl="0">
      <w:lvlJc w:val="left"/>
      <w:lvlText w:val="%1."/>
      <w:numFmt w:val="decimal"/>
      <w:start w:val="6"/>
    </w:lvl>
    <w:lvl w:ilvl="1">
      <w:lvlJc w:val="left"/>
      <w:lvlText w:val="%2)"/>
      <w:numFmt w:val="decimal"/>
      <w:start w:val="1"/>
    </w:lvl>
  </w:abstractNum>
  <w:abstractNum w:abstractNumId="213">
    <w:nsid w:val="17304A67"/>
    <w:multiLevelType w:val="hybridMultilevel"/>
    <w:lvl w:ilvl="0">
      <w:lvlJc w:val="left"/>
      <w:lvlText w:val="%1."/>
      <w:numFmt w:val="decimal"/>
      <w:start w:val="7"/>
    </w:lvl>
    <w:lvl w:ilvl="1">
      <w:lvlJc w:val="left"/>
      <w:lvlText w:val="%2)"/>
      <w:numFmt w:val="decimal"/>
      <w:start w:val="1"/>
    </w:lvl>
  </w:abstractNum>
  <w:abstractNum w:abstractNumId="214">
    <w:nsid w:val="2BB180D8"/>
    <w:multiLevelType w:val="hybridMultilevel"/>
    <w:lvl w:ilvl="0">
      <w:lvlJc w:val="left"/>
      <w:lvlText w:val="%1)"/>
      <w:numFmt w:val="decimal"/>
      <w:start w:val="3"/>
    </w:lvl>
  </w:abstractNum>
  <w:abstractNum w:abstractNumId="215">
    <w:nsid w:val="556B69ED"/>
    <w:multiLevelType w:val="hybridMultilevel"/>
    <w:lvl w:ilvl="0">
      <w:lvlJc w:val="left"/>
      <w:lvlText w:val="1"/>
      <w:numFmt w:val="bullet"/>
      <w:start w:val="1"/>
    </w:lvl>
  </w:abstractNum>
  <w:abstractNum w:abstractNumId="216">
    <w:nsid w:val="70836196"/>
    <w:multiLevelType w:val="hybridMultilevel"/>
    <w:lvl w:ilvl="0">
      <w:lvlJc w:val="left"/>
      <w:lvlText w:val="%1."/>
      <w:numFmt w:val="decimal"/>
      <w:start w:val="8"/>
    </w:lvl>
    <w:lvl w:ilvl="1">
      <w:lvlJc w:val="left"/>
      <w:lvlText w:val="%2."/>
      <w:numFmt w:val="upperLetter"/>
      <w:start w:val="1"/>
    </w:lvl>
  </w:abstractNum>
  <w:abstractNum w:abstractNumId="217">
    <w:nsid w:val="539F7F12"/>
    <w:multiLevelType w:val="hybridMultilevel"/>
    <w:lvl w:ilvl="0">
      <w:lvlJc w:val="left"/>
      <w:lvlText w:val="%1."/>
      <w:numFmt w:val="decimal"/>
      <w:start w:val="9"/>
    </w:lvl>
  </w:abstractNum>
  <w:abstractNum w:abstractNumId="218">
    <w:nsid w:val="2817E7EC"/>
    <w:multiLevelType w:val="hybridMultilevel"/>
    <w:lvl w:ilvl="0">
      <w:lvlJc w:val="left"/>
      <w:lvlText w:val="%1."/>
      <w:numFmt w:val="upperLetter"/>
      <w:start w:val="1"/>
    </w:lvl>
  </w:abstractNum>
  <w:abstractNum w:abstractNumId="219">
    <w:nsid w:val="71482545"/>
    <w:multiLevelType w:val="hybridMultilevel"/>
    <w:lvl w:ilvl="0">
      <w:lvlJc w:val="left"/>
      <w:lvlText w:val="%1."/>
      <w:numFmt w:val="upperLetter"/>
      <w:start w:val="2"/>
    </w:lvl>
  </w:abstractNum>
  <w:abstractNum w:abstractNumId="220">
    <w:nsid w:val="17D78639"/>
    <w:multiLevelType w:val="hybridMultilevel"/>
    <w:lvl w:ilvl="0">
      <w:lvlJc w:val="left"/>
      <w:lvlText w:val="%1."/>
      <w:numFmt w:val="upperLetter"/>
      <w:start w:val="1"/>
    </w:lvl>
  </w:abstractNum>
  <w:abstractNum w:abstractNumId="221">
    <w:nsid w:val="141D2302"/>
    <w:multiLevelType w:val="hybridMultilevel"/>
    <w:lvl w:ilvl="0">
      <w:lvlJc w:val="left"/>
      <w:lvlText w:val="%1."/>
      <w:numFmt w:val="upperLetter"/>
      <w:start w:val="3"/>
    </w:lvl>
  </w:abstractNum>
  <w:abstractNum w:abstractNumId="222">
    <w:nsid w:val="407168D8"/>
    <w:multiLevelType w:val="hybridMultilevel"/>
    <w:lvl w:ilvl="0">
      <w:lvlJc w:val="left"/>
      <w:lvlText w:val="%1."/>
      <w:numFmt w:val="upperLetter"/>
      <w:start w:val="7"/>
    </w:lvl>
  </w:abstractNum>
  <w:abstractNum w:abstractNumId="223">
    <w:nsid w:val="6A1B45E5"/>
    <w:multiLevelType w:val="hybridMultilevel"/>
    <w:lvl w:ilvl="0">
      <w:lvlJc w:val="left"/>
      <w:lvlText w:val="%1."/>
      <w:numFmt w:val="decimal"/>
      <w:start w:val="1"/>
    </w:lvl>
  </w:abstractNum>
  <w:abstractNum w:abstractNumId="224">
    <w:nsid w:val="567BD50A"/>
    <w:multiLevelType w:val="hybridMultilevel"/>
    <w:lvl w:ilvl="0">
      <w:lvlJc w:val="left"/>
      <w:lvlText w:val="%1."/>
      <w:numFmt w:val="decimal"/>
      <w:start w:val="3"/>
    </w:lvl>
    <w:lvl w:ilvl="1">
      <w:lvlJc w:val="left"/>
      <w:lvlText w:val="(%2)"/>
      <w:numFmt w:val="lowerLetter"/>
      <w:start w:val="1"/>
    </w:lvl>
  </w:abstractNum>
  <w:abstractNum w:abstractNumId="225">
    <w:nsid w:val="73BBD7F8"/>
    <w:multiLevelType w:val="hybridMultilevel"/>
    <w:lvl w:ilvl="0">
      <w:lvlJc w:val="left"/>
      <w:lvlText w:val="%1."/>
      <w:numFmt w:val="decimal"/>
      <w:start w:val="7"/>
    </w:lvl>
  </w:abstractNum>
  <w:abstractNum w:abstractNumId="226">
    <w:nsid w:val="1876589D"/>
    <w:multiLevelType w:val="hybridMultilevel"/>
    <w:lvl w:ilvl="0">
      <w:lvlJc w:val="left"/>
      <w:lvlText w:val="%1."/>
      <w:numFmt w:val="upperLetter"/>
      <w:start w:val="1"/>
    </w:lvl>
  </w:abstractNum>
  <w:abstractNum w:abstractNumId="227">
    <w:nsid w:val="327FAC77"/>
    <w:multiLevelType w:val="hybridMultilevel"/>
    <w:lvl w:ilvl="0">
      <w:lvlJc w:val="left"/>
      <w:lvlText w:val="%1."/>
      <w:numFmt w:val="upperLetter"/>
      <w:start w:val="2"/>
    </w:lvl>
  </w:abstractNum>
  <w:abstractNum w:abstractNumId="228">
    <w:nsid w:val="5A606509"/>
    <w:multiLevelType w:val="hybridMultilevel"/>
    <w:lvl w:ilvl="0">
      <w:lvlJc w:val="left"/>
      <w:lvlText w:val="%1."/>
      <w:numFmt w:val="upperLetter"/>
      <w:start w:val="4"/>
    </w:lvl>
  </w:abstractNum>
  <w:abstractNum w:abstractNumId="229">
    <w:nsid w:val="6F38E6D1"/>
    <w:multiLevelType w:val="hybridMultilevel"/>
    <w:lvl w:ilvl="0">
      <w:lvlJc w:val="left"/>
      <w:lvlText w:val="%1."/>
      <w:numFmt w:val="decimal"/>
      <w:start w:val="1"/>
    </w:lvl>
    <w:lvl w:ilvl="1">
      <w:lvlJc w:val="left"/>
      <w:lvlText w:val="(%2)"/>
      <w:numFmt w:val="lowerRoman"/>
      <w:start w:val="1"/>
    </w:lvl>
  </w:abstractNum>
  <w:abstractNum w:abstractNumId="230">
    <w:nsid w:val="46111BA5"/>
    <w:multiLevelType w:val="hybridMultilevel"/>
    <w:lvl w:ilvl="0">
      <w:lvlJc w:val="left"/>
      <w:lvlText w:val="%1"/>
      <w:numFmt w:val="decimal"/>
      <w:start w:val="1"/>
    </w:lvl>
    <w:lvl w:ilvl="1">
      <w:lvlJc w:val="left"/>
      <w:lvlText w:val="(%2)"/>
      <w:numFmt w:val="lowerRoman"/>
      <w:start w:val="3"/>
    </w:lvl>
  </w:abstractNum>
  <w:abstractNum w:abstractNumId="231">
    <w:nsid w:val="5E963896"/>
    <w:multiLevelType w:val="hybridMultilevel"/>
    <w:lvl w:ilvl="0">
      <w:lvlJc w:val="left"/>
      <w:lvlText w:val="%1."/>
      <w:numFmt w:val="decimal"/>
      <w:start w:val="3"/>
    </w:lvl>
    <w:lvl w:ilvl="1">
      <w:lvlJc w:val="left"/>
      <w:lvlText w:val="(%2)"/>
      <w:numFmt w:val="lowerRoman"/>
      <w:start w:val="1"/>
    </w:lvl>
  </w:abstractNum>
  <w:abstractNum w:abstractNumId="232">
    <w:nsid w:val="775BA7C1"/>
    <w:multiLevelType w:val="hybridMultilevel"/>
    <w:lvl w:ilvl="0">
      <w:lvlJc w:val="left"/>
      <w:lvlText w:val="%1"/>
      <w:numFmt w:val="decimal"/>
      <w:start w:val="1"/>
    </w:lvl>
    <w:lvl w:ilvl="1">
      <w:lvlJc w:val="left"/>
      <w:lvlText w:val="(%2)"/>
      <w:numFmt w:val="lowerRoman"/>
      <w:start w:val="8"/>
    </w:lvl>
  </w:abstractNum>
  <w:abstractNum w:abstractNumId="233">
    <w:nsid w:val="1DD6D6F4"/>
    <w:multiLevelType w:val="hybridMultilevel"/>
    <w:lvl w:ilvl="0">
      <w:lvlJc w:val="left"/>
      <w:lvlText w:val="%1."/>
      <w:numFmt w:val="decimal"/>
      <w:start w:val="5"/>
    </w:lvl>
    <w:lvl w:ilvl="1">
      <w:lvlJc w:val="left"/>
      <w:lvlText w:val="(%2)"/>
      <w:numFmt w:val="lowerRoman"/>
      <w:start w:val="1"/>
    </w:lvl>
  </w:abstractNum>
  <w:abstractNum w:abstractNumId="234">
    <w:nsid w:val="769A091F"/>
    <w:multiLevelType w:val="hybridMultilevel"/>
    <w:lvl w:ilvl="0">
      <w:lvlJc w:val="left"/>
      <w:lvlText w:val="%1."/>
      <w:numFmt w:val="decimal"/>
      <w:start w:val="6"/>
    </w:lvl>
  </w:abstractNum>
  <w:abstractNum w:abstractNumId="235">
    <w:nsid w:val="4695AE95"/>
    <w:multiLevelType w:val="hybridMultilevel"/>
    <w:lvl w:ilvl="0">
      <w:lvlJc w:val="left"/>
      <w:lvlText w:val="%1"/>
      <w:numFmt w:val="decimal"/>
      <w:start w:val="1"/>
    </w:lvl>
    <w:lvl w:ilvl="1">
      <w:lvlJc w:val="left"/>
      <w:lvlText w:val="(%2)"/>
      <w:numFmt w:val="lowerRoman"/>
      <w:start w:val="2"/>
    </w:lvl>
  </w:abstractNum>
  <w:abstractNum w:abstractNumId="236">
    <w:nsid w:val="777A4EAA"/>
    <w:multiLevelType w:val="hybridMultilevel"/>
    <w:lvl w:ilvl="0">
      <w:lvlJc w:val="left"/>
      <w:lvlText w:val="%1."/>
      <w:numFmt w:val="decimal"/>
      <w:start w:val="9"/>
    </w:lvl>
    <w:lvl w:ilvl="1">
      <w:lvlJc w:val="left"/>
      <w:lvlText w:val="(%2)"/>
      <w:numFmt w:val="lowerRoman"/>
      <w:start w:val="1"/>
    </w:lvl>
  </w:abstractNum>
  <w:abstractNum w:abstractNumId="237">
    <w:nsid w:val="3F48B982"/>
    <w:multiLevelType w:val="hybridMultilevel"/>
    <w:lvl w:ilvl="0">
      <w:lvlJc w:val="left"/>
      <w:lvlText w:val="%1."/>
      <w:numFmt w:val="decimal"/>
      <w:start w:val="11"/>
    </w:lvl>
  </w:abstractNum>
  <w:abstractNum w:abstractNumId="238">
    <w:nsid w:val="46BA8FCA"/>
    <w:multiLevelType w:val="hybridMultilevel"/>
    <w:lvl w:ilvl="0">
      <w:lvlJc w:val="left"/>
      <w:lvlText w:val="%1."/>
      <w:numFmt w:val="decimal"/>
      <w:start w:val="15"/>
    </w:lvl>
  </w:abstractNum>
  <w:abstractNum w:abstractNumId="239">
    <w:nsid w:val="7835626C"/>
    <w:multiLevelType w:val="hybridMultilevel"/>
    <w:lvl w:ilvl="0">
      <w:lvlJc w:val="left"/>
      <w:lvlText w:val="%1."/>
      <w:numFmt w:val="decimal"/>
      <w:start w:val="20"/>
    </w:lvl>
  </w:abstractNum>
  <w:abstractNum w:abstractNumId="240">
    <w:nsid w:val="665ACA49"/>
    <w:multiLevelType w:val="hybridMultilevel"/>
    <w:lvl w:ilvl="0">
      <w:lvlJc w:val="left"/>
      <w:lvlText w:val="(%1)"/>
      <w:numFmt w:val="upperLetter"/>
      <w:start w:val="1"/>
    </w:lvl>
  </w:abstractNum>
  <w:abstractNum w:abstractNumId="241">
    <w:nsid w:val="6835B2AE"/>
    <w:multiLevelType w:val="hybridMultilevel"/>
    <w:lvl w:ilvl="0">
      <w:lvlJc w:val="left"/>
      <w:lvlText w:val="%1."/>
      <w:numFmt w:val="decimal"/>
      <w:start w:val="1"/>
    </w:lvl>
  </w:abstractNum>
  <w:abstractNum w:abstractNumId="242">
    <w:nsid w:val="4C187C9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43">
    <w:nsid w:val="541F28CD"/>
    <w:multiLevelType w:val="hybridMultilevel"/>
    <w:lvl w:ilvl="0">
      <w:lvlJc w:val="left"/>
      <w:lvlText w:val="%1."/>
      <w:numFmt w:val="decimal"/>
      <w:start w:val="3"/>
    </w:lvl>
  </w:abstractNum>
  <w:abstractNum w:abstractNumId="244">
    <w:nsid w:val="7F65FD16"/>
    <w:multiLevelType w:val="hybridMultilevel"/>
    <w:lvl w:ilvl="0">
      <w:lvlJc w:val="left"/>
      <w:lvlText w:val="%1."/>
      <w:numFmt w:val="decimal"/>
      <w:start w:val="4"/>
    </w:lvl>
  </w:abstractNum>
  <w:abstractNum w:abstractNumId="245">
    <w:nsid w:val="77C9FD68"/>
    <w:multiLevelType w:val="hybridMultilevel"/>
    <w:lvl w:ilvl="0">
      <w:lvlJc w:val="left"/>
      <w:lvlText w:val="(%1)"/>
      <w:numFmt w:val="lowerLetter"/>
      <w:start w:val="1"/>
    </w:lvl>
  </w:abstractNum>
  <w:abstractNum w:abstractNumId="246">
    <w:nsid w:val="298A92BA"/>
    <w:multiLevelType w:val="hybridMultilevel"/>
    <w:lvl w:ilvl="0">
      <w:lvlJc w:val="left"/>
      <w:lvlText w:val="%1"/>
      <w:numFmt w:val="decimal"/>
      <w:start w:val="1"/>
    </w:lvl>
    <w:lvl w:ilvl="1">
      <w:lvlJc w:val="left"/>
      <w:lvlText w:val="(%2)"/>
      <w:numFmt w:val="lowerLetter"/>
      <w:start w:val="2"/>
    </w:lvl>
  </w:abstractNum>
  <w:abstractNum w:abstractNumId="247">
    <w:nsid w:val="6FE95EAC"/>
    <w:multiLevelType w:val="hybridMultilevel"/>
    <w:lvl w:ilvl="0">
      <w:lvlJc w:val="left"/>
      <w:lvlText w:val="%1."/>
      <w:numFmt w:val="decimal"/>
      <w:start w:val="5"/>
    </w:lvl>
    <w:lvl w:ilvl="1">
      <w:lvlJc w:val="left"/>
      <w:lvlText w:val="%2"/>
      <w:numFmt w:val="lowerLetter"/>
      <w:start w:val="1"/>
    </w:lvl>
  </w:abstractNum>
  <w:abstractNum w:abstractNumId="248">
    <w:nsid w:val="4B697C7A"/>
    <w:multiLevelType w:val="hybridMultilevel"/>
    <w:lvl w:ilvl="0">
      <w:lvlJc w:val="left"/>
      <w:lvlText w:val="(%1)"/>
      <w:numFmt w:val="lowerLetter"/>
      <w:start w:val="1"/>
    </w:lvl>
  </w:abstractNum>
  <w:abstractNum w:abstractNumId="249">
    <w:nsid w:val="51A27AA6"/>
    <w:multiLevelType w:val="hybridMultilevel"/>
    <w:lvl w:ilvl="0">
      <w:lvlJc w:val="left"/>
      <w:lvlText w:val="(%1)"/>
      <w:numFmt w:val="lowerRoman"/>
      <w:start w:val="1"/>
    </w:lvl>
  </w:abstractNum>
  <w:abstractNum w:abstractNumId="250">
    <w:nsid w:val="613183F2"/>
    <w:multiLevelType w:val="hybridMultilevel"/>
    <w:lvl w:ilvl="0">
      <w:lvlJc w:val="left"/>
      <w:lvlText w:val="%1."/>
      <w:numFmt w:val="decimal"/>
      <w:start w:val="6"/>
    </w:lvl>
    <w:lvl w:ilvl="1">
      <w:lvlJc w:val="left"/>
      <w:lvlText w:val="(%2)"/>
      <w:numFmt w:val="lowerLetter"/>
      <w:start w:val="1"/>
    </w:lvl>
  </w:abstractNum>
  <w:abstractNum w:abstractNumId="251">
    <w:nsid w:val="634102B4"/>
    <w:multiLevelType w:val="hybridMultilevel"/>
    <w:lvl w:ilvl="0">
      <w:lvlJc w:val="left"/>
      <w:lvlText w:val="(%1)"/>
      <w:numFmt w:val="lowerLetter"/>
      <w:start w:val="3"/>
    </w:lvl>
  </w:abstractNum>
  <w:abstractNum w:abstractNumId="252">
    <w:nsid w:val="65BF9DA8"/>
    <w:multiLevelType w:val="hybridMultilevel"/>
    <w:lvl w:ilvl="0">
      <w:lvlJc w:val="left"/>
      <w:lvlText w:val="(%1)"/>
      <w:numFmt w:val="lowerLetter"/>
      <w:start w:val="7"/>
    </w:lvl>
  </w:abstractNum>
  <w:abstractNum w:abstractNumId="253">
    <w:nsid w:val="21A2ECCA"/>
    <w:multiLevelType w:val="hybridMultilevel"/>
    <w:lvl w:ilvl="0">
      <w:lvlJc w:val="left"/>
      <w:lvlText w:val="%1."/>
      <w:numFmt w:val="decimal"/>
      <w:start w:val="7"/>
    </w:lvl>
  </w:abstractNum>
  <w:abstractNum w:abstractNumId="254">
    <w:nsid w:val="4D5C4899"/>
    <w:multiLevelType w:val="hybridMultilevel"/>
    <w:lvl w:ilvl="0">
      <w:lvlJc w:val="left"/>
      <w:lvlText w:val="%1."/>
      <w:numFmt w:val="decimal"/>
      <w:start w:val="8"/>
    </w:lvl>
  </w:abstractNum>
  <w:abstractNum w:abstractNumId="255">
    <w:nsid w:val="3C3B72B2"/>
    <w:multiLevelType w:val="hybridMultilevel"/>
    <w:lvl w:ilvl="0">
      <w:lvlJc w:val="left"/>
      <w:lvlText w:val="%1."/>
      <w:numFmt w:val="decimal"/>
      <w:start w:val="9"/>
    </w:lvl>
  </w:abstractNum>
  <w:abstractNum w:abstractNumId="256">
    <w:nsid w:val="155EC4C2"/>
    <w:multiLevelType w:val="hybridMultilevel"/>
    <w:lvl w:ilvl="0">
      <w:lvlJc w:val="left"/>
      <w:lvlText w:val="%1."/>
      <w:numFmt w:val="decimal"/>
      <w:start w:val="10"/>
    </w:lvl>
  </w:abstractNum>
  <w:abstractNum w:abstractNumId="257">
    <w:nsid w:val="65D2A137"/>
    <w:multiLevelType w:val="hybridMultilevel"/>
    <w:lvl w:ilvl="0">
      <w:lvlJc w:val="left"/>
      <w:lvlText w:val="%1."/>
      <w:numFmt w:val="decimal"/>
      <w:start w:val="11"/>
    </w:lvl>
  </w:abstractNum>
  <w:abstractNum w:abstractNumId="258">
    <w:nsid w:val="6EBB1F2A"/>
    <w:multiLevelType w:val="hybridMultilevel"/>
    <w:lvl w:ilvl="0">
      <w:lvlJc w:val="left"/>
      <w:lvlText w:val="(%1)"/>
      <w:numFmt w:val="upperLetter"/>
      <w:start w:val="1"/>
    </w:lvl>
  </w:abstractNum>
  <w:abstractNum w:abstractNumId="259">
    <w:nsid w:val="6FBF29CB"/>
    <w:multiLevelType w:val="hybridMultilevel"/>
    <w:lvl w:ilvl="0">
      <w:lvlJc w:val="left"/>
      <w:lvlText w:val="%1."/>
      <w:numFmt w:val="decimal"/>
      <w:start w:val="1"/>
    </w:lvl>
  </w:abstractNum>
  <w:abstractNum w:abstractNumId="260">
    <w:nsid w:val="550B880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61">
    <w:nsid w:val="34CC3ACF"/>
    <w:multiLevelType w:val="hybridMultilevel"/>
    <w:lvl w:ilvl="0">
      <w:lvlJc w:val="left"/>
      <w:lvlText w:val="%1."/>
      <w:numFmt w:val="decimal"/>
      <w:start w:val="3"/>
    </w:lvl>
  </w:abstractNum>
  <w:abstractNum w:abstractNumId="262">
    <w:nsid w:val="4E556261"/>
    <w:multiLevelType w:val="hybridMultilevel"/>
    <w:lvl w:ilvl="0">
      <w:lvlJc w:val="left"/>
      <w:lvlText w:val="%1."/>
      <w:numFmt w:val="decimal"/>
      <w:start w:val="4"/>
    </w:lvl>
  </w:abstractNum>
  <w:abstractNum w:abstractNumId="263">
    <w:nsid w:val="4C672FC9"/>
    <w:multiLevelType w:val="hybridMultilevel"/>
    <w:lvl w:ilvl="0">
      <w:lvlJc w:val="left"/>
      <w:lvlText w:val="(%1)"/>
      <w:numFmt w:val="lowerLetter"/>
      <w:start w:val="1"/>
    </w:lvl>
  </w:abstractNum>
  <w:abstractNum w:abstractNumId="264">
    <w:nsid w:val="52A311C3"/>
    <w:multiLevelType w:val="hybridMultilevel"/>
    <w:lvl w:ilvl="0">
      <w:lvlJc w:val="left"/>
      <w:lvlText w:val="%1."/>
      <w:numFmt w:val="decimal"/>
      <w:start w:val="5"/>
    </w:lvl>
  </w:abstractNum>
  <w:abstractNum w:abstractNumId="265">
    <w:nsid w:val="44EF6B80"/>
    <w:multiLevelType w:val="hybridMultilevel"/>
    <w:lvl w:ilvl="0">
      <w:lvlJc w:val="left"/>
      <w:lvlText w:val="(%1)"/>
      <w:numFmt w:val="lowerLetter"/>
      <w:start w:val="1"/>
    </w:lvl>
  </w:abstractNum>
  <w:abstractNum w:abstractNumId="266">
    <w:nsid w:val="12FCDE5E"/>
    <w:multiLevelType w:val="hybridMultilevel"/>
    <w:lvl w:ilvl="0">
      <w:lvlJc w:val="left"/>
      <w:lvlText w:val="(%1)"/>
      <w:numFmt w:val="lowerRoman"/>
      <w:start w:val="1"/>
    </w:lvl>
  </w:abstractNum>
  <w:abstractNum w:abstractNumId="267">
    <w:nsid w:val="4A1D606E"/>
    <w:multiLevelType w:val="hybridMultilevel"/>
    <w:lvl w:ilvl="0">
      <w:lvlJc w:val="left"/>
      <w:lvlText w:val="%1."/>
      <w:numFmt w:val="decimal"/>
      <w:start w:val="6"/>
    </w:lvl>
    <w:lvl w:ilvl="1">
      <w:lvlJc w:val="left"/>
      <w:lvlText w:val="(%2)"/>
      <w:numFmt w:val="lowerLetter"/>
      <w:start w:val="1"/>
    </w:lvl>
  </w:abstractNum>
  <w:abstractNum w:abstractNumId="268">
    <w:nsid w:val="4382503"/>
    <w:multiLevelType w:val="hybridMultilevel"/>
    <w:lvl w:ilvl="0">
      <w:lvlJc w:val="left"/>
      <w:lvlText w:val="(%1)"/>
      <w:numFmt w:val="lowerLetter"/>
      <w:start w:val="3"/>
    </w:lvl>
  </w:abstractNum>
  <w:abstractNum w:abstractNumId="269">
    <w:nsid w:val="59B76E28"/>
    <w:multiLevelType w:val="hybridMultilevel"/>
    <w:lvl w:ilvl="0">
      <w:lvlJc w:val="left"/>
      <w:lvlText w:val="%1"/>
      <w:numFmt w:val="decimal"/>
      <w:start w:val="1"/>
    </w:lvl>
    <w:lvl w:ilvl="1">
      <w:lvlJc w:val="left"/>
      <w:lvlText w:val="(%2)"/>
      <w:numFmt w:val="lowerRoman"/>
      <w:start w:val="1"/>
    </w:lvl>
  </w:abstractNum>
  <w:abstractNum w:abstractNumId="270">
    <w:nsid w:val="4252C2DA"/>
    <w:multiLevelType w:val="hybridMultilevel"/>
    <w:lvl w:ilvl="0">
      <w:lvlJc w:val="left"/>
      <w:lvlText w:val="%1."/>
      <w:numFmt w:val="decimal"/>
      <w:start w:val="7"/>
    </w:lvl>
    <w:lvl w:ilvl="1">
      <w:lvlJc w:val="left"/>
      <w:lvlText w:val="%2"/>
      <w:numFmt w:val="lowerRoman"/>
      <w:start w:val="1"/>
    </w:lvl>
  </w:abstractNum>
  <w:abstractNum w:abstractNumId="271">
    <w:nsid w:val="6A92EF4C"/>
    <w:multiLevelType w:val="hybridMultilevel"/>
    <w:lvl w:ilvl="0">
      <w:lvlJc w:val="left"/>
      <w:lvlText w:val="%1."/>
      <w:numFmt w:val="decimal"/>
      <w:start w:val="8"/>
    </w:lvl>
  </w:abstractNum>
  <w:abstractNum w:abstractNumId="272">
    <w:nsid w:val="41ED20D7"/>
    <w:multiLevelType w:val="hybridMultilevel"/>
    <w:lvl w:ilvl="0">
      <w:lvlJc w:val="left"/>
      <w:lvlText w:val="%1."/>
      <w:numFmt w:val="decimal"/>
      <w:start w:val="9"/>
    </w:lvl>
  </w:abstractNum>
  <w:abstractNum w:abstractNumId="273">
    <w:nsid w:val="E6B3F6A"/>
    <w:multiLevelType w:val="hybridMultilevel"/>
    <w:lvl w:ilvl="0">
      <w:lvlJc w:val="left"/>
      <w:lvlText w:val="%1."/>
      <w:numFmt w:val="decimal"/>
      <w:start w:val="10"/>
    </w:lvl>
  </w:abstractNum>
  <w:abstractNum w:abstractNumId="274">
    <w:nsid w:val="3EB21819"/>
    <w:multiLevelType w:val="hybridMultilevel"/>
    <w:lvl w:ilvl="0">
      <w:lvlJc w:val="left"/>
      <w:lvlText w:val="%1."/>
      <w:numFmt w:val="decimal"/>
      <w:start w:val="11"/>
    </w:lvl>
  </w:abstractNum>
  <w:abstractNum w:abstractNumId="275">
    <w:nsid w:val="41531DED"/>
    <w:multiLevelType w:val="hybridMultilevel"/>
    <w:lvl w:ilvl="0">
      <w:lvlJc w:val="left"/>
      <w:lvlText w:val="%1."/>
      <w:numFmt w:val="decimal"/>
      <w:start w:val="1"/>
    </w:lvl>
    <w:lvl w:ilvl="1">
      <w:lvlJc w:val="left"/>
      <w:lvlText w:val="%2)"/>
      <w:numFmt w:val="lowerLetter"/>
      <w:start w:val="1"/>
    </w:lvl>
  </w:abstractNum>
  <w:abstractNum w:abstractNumId="276">
    <w:nsid w:val="6353CD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36" Type="http://schemas.openxmlformats.org/officeDocument/2006/relationships/image" Target="media/image89.png"/><Relationship Id="rId137" Type="http://schemas.openxmlformats.org/officeDocument/2006/relationships/image" Target="media/image90.png"/><Relationship Id="rId148" Type="http://schemas.openxmlformats.org/officeDocument/2006/relationships/image" Target="media/image91.png"/><Relationship Id="rId149" Type="http://schemas.openxmlformats.org/officeDocument/2006/relationships/image" Target="media/image92.png"/><Relationship Id="rId150" Type="http://schemas.openxmlformats.org/officeDocument/2006/relationships/image" Target="media/image93.png"/><Relationship Id="rId151" Type="http://schemas.openxmlformats.org/officeDocument/2006/relationships/image" Target="media/image94.png"/><Relationship Id="rId152" Type="http://schemas.openxmlformats.org/officeDocument/2006/relationships/image" Target="media/image95.png"/><Relationship Id="rId153" Type="http://schemas.openxmlformats.org/officeDocument/2006/relationships/image" Target="media/image96.png"/><Relationship Id="rId154" Type="http://schemas.openxmlformats.org/officeDocument/2006/relationships/image" Target="media/image97.png"/><Relationship Id="rId155" Type="http://schemas.openxmlformats.org/officeDocument/2006/relationships/image" Target="media/image98.png"/><Relationship Id="rId156" Type="http://schemas.openxmlformats.org/officeDocument/2006/relationships/image" Target="media/image99.png"/><Relationship Id="rId157" Type="http://schemas.openxmlformats.org/officeDocument/2006/relationships/image" Target="media/image100.png"/><Relationship Id="rId158" Type="http://schemas.openxmlformats.org/officeDocument/2006/relationships/image" Target="media/image101.png"/><Relationship Id="rId159" Type="http://schemas.openxmlformats.org/officeDocument/2006/relationships/image" Target="media/image102.png"/><Relationship Id="rId160" Type="http://schemas.openxmlformats.org/officeDocument/2006/relationships/image" Target="media/image103.png"/><Relationship Id="rId161" Type="http://schemas.openxmlformats.org/officeDocument/2006/relationships/image" Target="media/image104.png"/><Relationship Id="rId162" Type="http://schemas.openxmlformats.org/officeDocument/2006/relationships/image" Target="media/image105.png"/><Relationship Id="rId163" Type="http://schemas.openxmlformats.org/officeDocument/2006/relationships/image" Target="media/image106.png"/><Relationship Id="rId164" Type="http://schemas.openxmlformats.org/officeDocument/2006/relationships/image" Target="media/image107.png"/><Relationship Id="rId165" Type="http://schemas.openxmlformats.org/officeDocument/2006/relationships/image" Target="media/image108.png"/><Relationship Id="rId166" Type="http://schemas.openxmlformats.org/officeDocument/2006/relationships/image" Target="media/image109.png"/><Relationship Id="rId167" Type="http://schemas.openxmlformats.org/officeDocument/2006/relationships/image" Target="media/image110.png"/><Relationship Id="rId168" Type="http://schemas.openxmlformats.org/officeDocument/2006/relationships/image" Target="media/image111.png"/><Relationship Id="rId169" Type="http://schemas.openxmlformats.org/officeDocument/2006/relationships/image" Target="media/image112.png"/><Relationship Id="rId170" Type="http://schemas.openxmlformats.org/officeDocument/2006/relationships/image" Target="media/image113.png"/><Relationship Id="rId171" Type="http://schemas.openxmlformats.org/officeDocument/2006/relationships/image" Target="media/image114.png"/><Relationship Id="rId172" Type="http://schemas.openxmlformats.org/officeDocument/2006/relationships/image" Target="media/image115.png"/><Relationship Id="rId173" Type="http://schemas.openxmlformats.org/officeDocument/2006/relationships/image" Target="media/image116.png"/><Relationship Id="rId174" Type="http://schemas.openxmlformats.org/officeDocument/2006/relationships/image" Target="media/image117.png"/><Relationship Id="rId175" Type="http://schemas.openxmlformats.org/officeDocument/2006/relationships/image" Target="media/image118.png"/><Relationship Id="rId176" Type="http://schemas.openxmlformats.org/officeDocument/2006/relationships/image" Target="media/image119.png"/><Relationship Id="rId177" Type="http://schemas.openxmlformats.org/officeDocument/2006/relationships/image" Target="media/image120.png"/><Relationship Id="rId178" Type="http://schemas.openxmlformats.org/officeDocument/2006/relationships/image" Target="media/image121.png"/><Relationship Id="rId179" Type="http://schemas.openxmlformats.org/officeDocument/2006/relationships/image" Target="media/image122.png"/><Relationship Id="rId180" Type="http://schemas.openxmlformats.org/officeDocument/2006/relationships/image" Target="media/image123.png"/><Relationship Id="rId181" Type="http://schemas.openxmlformats.org/officeDocument/2006/relationships/image" Target="media/image124.png"/><Relationship Id="rId182" Type="http://schemas.openxmlformats.org/officeDocument/2006/relationships/image" Target="media/image125.png"/><Relationship Id="rId183" Type="http://schemas.openxmlformats.org/officeDocument/2006/relationships/image" Target="media/image126.png"/><Relationship Id="rId184" Type="http://schemas.openxmlformats.org/officeDocument/2006/relationships/image" Target="media/image127.png"/><Relationship Id="rId185" Type="http://schemas.openxmlformats.org/officeDocument/2006/relationships/image" Target="media/image128.png"/><Relationship Id="rId186" Type="http://schemas.openxmlformats.org/officeDocument/2006/relationships/image" Target="media/image129.png"/><Relationship Id="rId187" Type="http://schemas.openxmlformats.org/officeDocument/2006/relationships/image" Target="media/image130.png"/><Relationship Id="rId188" Type="http://schemas.openxmlformats.org/officeDocument/2006/relationships/image" Target="media/image131.png"/><Relationship Id="rId189" Type="http://schemas.openxmlformats.org/officeDocument/2006/relationships/image" Target="media/image132.png"/><Relationship Id="rId190" Type="http://schemas.openxmlformats.org/officeDocument/2006/relationships/image" Target="media/image133.png"/><Relationship Id="rId191" Type="http://schemas.openxmlformats.org/officeDocument/2006/relationships/image" Target="media/image134.png"/><Relationship Id="rId192" Type="http://schemas.openxmlformats.org/officeDocument/2006/relationships/image" Target="media/image135.png"/><Relationship Id="rId193" Type="http://schemas.openxmlformats.org/officeDocument/2006/relationships/image" Target="media/image136.png"/><Relationship Id="rId194" Type="http://schemas.openxmlformats.org/officeDocument/2006/relationships/image" Target="media/image137.png"/><Relationship Id="rId195" Type="http://schemas.openxmlformats.org/officeDocument/2006/relationships/image" Target="media/image138.png"/><Relationship Id="rId196" Type="http://schemas.openxmlformats.org/officeDocument/2006/relationships/image" Target="media/image139.png"/><Relationship Id="rId197" Type="http://schemas.openxmlformats.org/officeDocument/2006/relationships/image" Target="media/image140.png"/><Relationship Id="rId198" Type="http://schemas.openxmlformats.org/officeDocument/2006/relationships/image" Target="media/image141.png"/><Relationship Id="rId199" Type="http://schemas.openxmlformats.org/officeDocument/2006/relationships/image" Target="media/image142.png"/><Relationship Id="rId200" Type="http://schemas.openxmlformats.org/officeDocument/2006/relationships/image" Target="media/image143.png"/><Relationship Id="rId201" Type="http://schemas.openxmlformats.org/officeDocument/2006/relationships/image" Target="media/image144.png"/><Relationship Id="rId202" Type="http://schemas.openxmlformats.org/officeDocument/2006/relationships/image" Target="media/image145.png"/><Relationship Id="rId203" Type="http://schemas.openxmlformats.org/officeDocument/2006/relationships/image" Target="media/image146.png"/><Relationship Id="rId204" Type="http://schemas.openxmlformats.org/officeDocument/2006/relationships/image" Target="media/image147.png"/><Relationship Id="rId205" Type="http://schemas.openxmlformats.org/officeDocument/2006/relationships/image" Target="media/image148.png"/><Relationship Id="rId206" Type="http://schemas.openxmlformats.org/officeDocument/2006/relationships/image" Target="media/image149.png"/><Relationship Id="rId207" Type="http://schemas.openxmlformats.org/officeDocument/2006/relationships/image" Target="media/image150.png"/><Relationship Id="rId208" Type="http://schemas.openxmlformats.org/officeDocument/2006/relationships/image" Target="media/image151.png"/><Relationship Id="rId209" Type="http://schemas.openxmlformats.org/officeDocument/2006/relationships/image" Target="media/image152.png"/><Relationship Id="rId210" Type="http://schemas.openxmlformats.org/officeDocument/2006/relationships/image" Target="media/image153.png"/><Relationship Id="rId211" Type="http://schemas.openxmlformats.org/officeDocument/2006/relationships/image" Target="media/image154.png"/><Relationship Id="rId212" Type="http://schemas.openxmlformats.org/officeDocument/2006/relationships/image" Target="media/image155.png"/><Relationship Id="rId213" Type="http://schemas.openxmlformats.org/officeDocument/2006/relationships/image" Target="media/image156.png"/><Relationship Id="rId214" Type="http://schemas.openxmlformats.org/officeDocument/2006/relationships/image" Target="media/image157.png"/><Relationship Id="rId215" Type="http://schemas.openxmlformats.org/officeDocument/2006/relationships/image" Target="media/image158.png"/><Relationship Id="rId216" Type="http://schemas.openxmlformats.org/officeDocument/2006/relationships/image" Target="media/image159.png"/><Relationship Id="rId217" Type="http://schemas.openxmlformats.org/officeDocument/2006/relationships/image" Target="media/image160.png"/><Relationship Id="rId218" Type="http://schemas.openxmlformats.org/officeDocument/2006/relationships/image" Target="media/image161.png"/><Relationship Id="rId219" Type="http://schemas.openxmlformats.org/officeDocument/2006/relationships/image" Target="media/image162.png"/><Relationship Id="rId220" Type="http://schemas.openxmlformats.org/officeDocument/2006/relationships/image" Target="media/image163.png"/><Relationship Id="rId221" Type="http://schemas.openxmlformats.org/officeDocument/2006/relationships/image" Target="media/image164.png"/><Relationship Id="rId222" Type="http://schemas.openxmlformats.org/officeDocument/2006/relationships/image" Target="media/image165.png"/><Relationship Id="rId223" Type="http://schemas.openxmlformats.org/officeDocument/2006/relationships/image" Target="media/image166.png"/><Relationship Id="rId224" Type="http://schemas.openxmlformats.org/officeDocument/2006/relationships/image" Target="media/image167.png"/><Relationship Id="rId225" Type="http://schemas.openxmlformats.org/officeDocument/2006/relationships/image" Target="media/image168.png"/><Relationship Id="rId226" Type="http://schemas.openxmlformats.org/officeDocument/2006/relationships/image" Target="media/image169.png"/><Relationship Id="rId227" Type="http://schemas.openxmlformats.org/officeDocument/2006/relationships/image" Target="media/image170.png"/><Relationship Id="rId228" Type="http://schemas.openxmlformats.org/officeDocument/2006/relationships/image" Target="media/image171.png"/><Relationship Id="rId229" Type="http://schemas.openxmlformats.org/officeDocument/2006/relationships/image" Target="media/image172.png"/><Relationship Id="rId230" Type="http://schemas.openxmlformats.org/officeDocument/2006/relationships/image" Target="media/image173.png"/><Relationship Id="rId231" Type="http://schemas.openxmlformats.org/officeDocument/2006/relationships/image" Target="media/image174.png"/><Relationship Id="rId232" Type="http://schemas.openxmlformats.org/officeDocument/2006/relationships/image" Target="media/image175.png"/><Relationship Id="rId233" Type="http://schemas.openxmlformats.org/officeDocument/2006/relationships/image" Target="media/image176.png"/><Relationship Id="rId234" Type="http://schemas.openxmlformats.org/officeDocument/2006/relationships/image" Target="media/image177.png"/><Relationship Id="rId235" Type="http://schemas.openxmlformats.org/officeDocument/2006/relationships/image" Target="media/image178.png"/><Relationship Id="rId236" Type="http://schemas.openxmlformats.org/officeDocument/2006/relationships/image" Target="media/image179.png"/><Relationship Id="rId237" Type="http://schemas.openxmlformats.org/officeDocument/2006/relationships/image" Target="media/image180.png"/><Relationship Id="rId238" Type="http://schemas.openxmlformats.org/officeDocument/2006/relationships/image" Target="media/image181.png"/><Relationship Id="rId239" Type="http://schemas.openxmlformats.org/officeDocument/2006/relationships/image" Target="media/image182.png"/><Relationship Id="rId240" Type="http://schemas.openxmlformats.org/officeDocument/2006/relationships/image" Target="media/image183.png"/><Relationship Id="rId241" Type="http://schemas.openxmlformats.org/officeDocument/2006/relationships/image" Target="media/image184.png"/><Relationship Id="rId242" Type="http://schemas.openxmlformats.org/officeDocument/2006/relationships/image" Target="media/image185.png"/><Relationship Id="rId243" Type="http://schemas.openxmlformats.org/officeDocument/2006/relationships/image" Target="media/image186.png"/><Relationship Id="rId244" Type="http://schemas.openxmlformats.org/officeDocument/2006/relationships/image" Target="media/image187.png"/><Relationship Id="rId245" Type="http://schemas.openxmlformats.org/officeDocument/2006/relationships/image" Target="media/image188.png"/><Relationship Id="rId246" Type="http://schemas.openxmlformats.org/officeDocument/2006/relationships/image" Target="media/image189.png"/><Relationship Id="rId247" Type="http://schemas.openxmlformats.org/officeDocument/2006/relationships/image" Target="media/image190.png"/><Relationship Id="rId248" Type="http://schemas.openxmlformats.org/officeDocument/2006/relationships/image" Target="media/image191.png"/><Relationship Id="rId249" Type="http://schemas.openxmlformats.org/officeDocument/2006/relationships/image" Target="media/image192.png"/><Relationship Id="rId250" Type="http://schemas.openxmlformats.org/officeDocument/2006/relationships/image" Target="media/image193.png"/><Relationship Id="rId251" Type="http://schemas.openxmlformats.org/officeDocument/2006/relationships/image" Target="media/image194.png"/><Relationship Id="rId252" Type="http://schemas.openxmlformats.org/officeDocument/2006/relationships/image" Target="media/image195.png"/><Relationship Id="rId253" Type="http://schemas.openxmlformats.org/officeDocument/2006/relationships/image" Target="media/image196.png"/><Relationship Id="rId254" Type="http://schemas.openxmlformats.org/officeDocument/2006/relationships/image" Target="media/image197.png"/><Relationship Id="rId255" Type="http://schemas.openxmlformats.org/officeDocument/2006/relationships/image" Target="media/image198.png"/><Relationship Id="rId256" Type="http://schemas.openxmlformats.org/officeDocument/2006/relationships/image" Target="media/image199.png"/><Relationship Id="rId257" Type="http://schemas.openxmlformats.org/officeDocument/2006/relationships/image" Target="media/image200.png"/><Relationship Id="rId258" Type="http://schemas.openxmlformats.org/officeDocument/2006/relationships/image" Target="media/image201.png"/><Relationship Id="rId259" Type="http://schemas.openxmlformats.org/officeDocument/2006/relationships/image" Target="media/image202.png"/><Relationship Id="rId260" Type="http://schemas.openxmlformats.org/officeDocument/2006/relationships/image" Target="media/image203.png"/><Relationship Id="rId261" Type="http://schemas.openxmlformats.org/officeDocument/2006/relationships/image" Target="media/image204.png"/><Relationship Id="rId262" Type="http://schemas.openxmlformats.org/officeDocument/2006/relationships/image" Target="media/image205.png"/><Relationship Id="rId263" Type="http://schemas.openxmlformats.org/officeDocument/2006/relationships/image" Target="media/image206.png"/><Relationship Id="rId264" Type="http://schemas.openxmlformats.org/officeDocument/2006/relationships/image" Target="media/image207.png"/><Relationship Id="rId265" Type="http://schemas.openxmlformats.org/officeDocument/2006/relationships/image" Target="media/image208.png"/><Relationship Id="rId266" Type="http://schemas.openxmlformats.org/officeDocument/2006/relationships/image" Target="media/image209.png"/><Relationship Id="rId267" Type="http://schemas.openxmlformats.org/officeDocument/2006/relationships/image" Target="media/image210.png"/><Relationship Id="rId268" Type="http://schemas.openxmlformats.org/officeDocument/2006/relationships/image" Target="media/image211.png"/><Relationship Id="rId269" Type="http://schemas.openxmlformats.org/officeDocument/2006/relationships/image" Target="media/image212.png"/><Relationship Id="rId270" Type="http://schemas.openxmlformats.org/officeDocument/2006/relationships/image" Target="media/image213.png"/><Relationship Id="rId271" Type="http://schemas.openxmlformats.org/officeDocument/2006/relationships/image" Target="media/image214.png"/><Relationship Id="rId272" Type="http://schemas.openxmlformats.org/officeDocument/2006/relationships/image" Target="media/image215.png"/><Relationship Id="rId273" Type="http://schemas.openxmlformats.org/officeDocument/2006/relationships/image" Target="media/image216.png"/><Relationship Id="rId274" Type="http://schemas.openxmlformats.org/officeDocument/2006/relationships/image" Target="media/image217.png"/><Relationship Id="rId275" Type="http://schemas.openxmlformats.org/officeDocument/2006/relationships/image" Target="media/image218.png"/><Relationship Id="rId276" Type="http://schemas.openxmlformats.org/officeDocument/2006/relationships/image" Target="media/image219.png"/><Relationship Id="rId277" Type="http://schemas.openxmlformats.org/officeDocument/2006/relationships/image" Target="media/image220.png"/><Relationship Id="rId278" Type="http://schemas.openxmlformats.org/officeDocument/2006/relationships/image" Target="media/image221.png"/><Relationship Id="rId279" Type="http://schemas.openxmlformats.org/officeDocument/2006/relationships/image" Target="media/image222.png"/><Relationship Id="rId280" Type="http://schemas.openxmlformats.org/officeDocument/2006/relationships/image" Target="media/image223.png"/><Relationship Id="rId281" Type="http://schemas.openxmlformats.org/officeDocument/2006/relationships/image" Target="media/image224.png"/><Relationship Id="rId282" Type="http://schemas.openxmlformats.org/officeDocument/2006/relationships/image" Target="media/image225.png"/><Relationship Id="rId283" Type="http://schemas.openxmlformats.org/officeDocument/2006/relationships/image" Target="media/image226.png"/><Relationship Id="rId284" Type="http://schemas.openxmlformats.org/officeDocument/2006/relationships/image" Target="media/image227.png"/><Relationship Id="rId285" Type="http://schemas.openxmlformats.org/officeDocument/2006/relationships/image" Target="media/image228.png"/><Relationship Id="rId286" Type="http://schemas.openxmlformats.org/officeDocument/2006/relationships/image" Target="media/image229.png"/><Relationship Id="rId287" Type="http://schemas.openxmlformats.org/officeDocument/2006/relationships/image" Target="media/image230.png"/><Relationship Id="rId288" Type="http://schemas.openxmlformats.org/officeDocument/2006/relationships/image" Target="media/image231.png"/><Relationship Id="rId289" Type="http://schemas.openxmlformats.org/officeDocument/2006/relationships/image" Target="media/image232.png"/><Relationship Id="rId290" Type="http://schemas.openxmlformats.org/officeDocument/2006/relationships/image" Target="media/image233.png"/><Relationship Id="rId291" Type="http://schemas.openxmlformats.org/officeDocument/2006/relationships/image" Target="media/image234.png"/><Relationship Id="rId292" Type="http://schemas.openxmlformats.org/officeDocument/2006/relationships/image" Target="media/image235.png"/><Relationship Id="rId293" Type="http://schemas.openxmlformats.org/officeDocument/2006/relationships/image" Target="media/image236.png"/><Relationship Id="rId294" Type="http://schemas.openxmlformats.org/officeDocument/2006/relationships/image" Target="media/image237.png"/><Relationship Id="rId295" Type="http://schemas.openxmlformats.org/officeDocument/2006/relationships/image" Target="media/image238.png"/><Relationship Id="rId296" Type="http://schemas.openxmlformats.org/officeDocument/2006/relationships/image" Target="media/image239.png"/><Relationship Id="rId297" Type="http://schemas.openxmlformats.org/officeDocument/2006/relationships/image" Target="media/image240.png"/><Relationship Id="rId298" Type="http://schemas.openxmlformats.org/officeDocument/2006/relationships/image" Target="media/image241.png"/><Relationship Id="rId299" Type="http://schemas.openxmlformats.org/officeDocument/2006/relationships/image" Target="media/image242.png"/><Relationship Id="rId300" Type="http://schemas.openxmlformats.org/officeDocument/2006/relationships/image" Target="media/image243.png"/><Relationship Id="rId301" Type="http://schemas.openxmlformats.org/officeDocument/2006/relationships/image" Target="media/image244.png"/><Relationship Id="rId302" Type="http://schemas.openxmlformats.org/officeDocument/2006/relationships/image" Target="media/image245.png"/><Relationship Id="rId303" Type="http://schemas.openxmlformats.org/officeDocument/2006/relationships/image" Target="media/image246.png"/><Relationship Id="rId304" Type="http://schemas.openxmlformats.org/officeDocument/2006/relationships/image" Target="media/image247.png"/><Relationship Id="rId305" Type="http://schemas.openxmlformats.org/officeDocument/2006/relationships/image" Target="media/image248.png"/><Relationship Id="rId306" Type="http://schemas.openxmlformats.org/officeDocument/2006/relationships/image" Target="media/image249.png"/><Relationship Id="rId307" Type="http://schemas.openxmlformats.org/officeDocument/2006/relationships/image" Target="media/image250.png"/><Relationship Id="rId308" Type="http://schemas.openxmlformats.org/officeDocument/2006/relationships/image" Target="media/image251.png"/><Relationship Id="rId309" Type="http://schemas.openxmlformats.org/officeDocument/2006/relationships/image" Target="media/image252.png"/><Relationship Id="rId310" Type="http://schemas.openxmlformats.org/officeDocument/2006/relationships/image" Target="media/image253.png"/><Relationship Id="rId311" Type="http://schemas.openxmlformats.org/officeDocument/2006/relationships/image" Target="media/image254.png"/><Relationship Id="rId312" Type="http://schemas.openxmlformats.org/officeDocument/2006/relationships/image" Target="media/image255.png"/><Relationship Id="rId313" Type="http://schemas.openxmlformats.org/officeDocument/2006/relationships/image" Target="media/image256.png"/><Relationship Id="rId314" Type="http://schemas.openxmlformats.org/officeDocument/2006/relationships/image" Target="media/image257.png"/><Relationship Id="rId315" Type="http://schemas.openxmlformats.org/officeDocument/2006/relationships/image" Target="media/image258.png"/><Relationship Id="rId316" Type="http://schemas.openxmlformats.org/officeDocument/2006/relationships/image" Target="media/image259.png"/><Relationship Id="rId317" Type="http://schemas.openxmlformats.org/officeDocument/2006/relationships/image" Target="media/image260.png"/><Relationship Id="rId318" Type="http://schemas.openxmlformats.org/officeDocument/2006/relationships/image" Target="media/image261.png"/><Relationship Id="rId319" Type="http://schemas.openxmlformats.org/officeDocument/2006/relationships/image" Target="media/image262.png"/><Relationship Id="rId320" Type="http://schemas.openxmlformats.org/officeDocument/2006/relationships/image" Target="media/image263.png"/><Relationship Id="rId321" Type="http://schemas.openxmlformats.org/officeDocument/2006/relationships/image" Target="media/image264.png"/><Relationship Id="rId322" Type="http://schemas.openxmlformats.org/officeDocument/2006/relationships/image" Target="media/image265.png"/><Relationship Id="rId323" Type="http://schemas.openxmlformats.org/officeDocument/2006/relationships/image" Target="media/image266.png"/><Relationship Id="rId324" Type="http://schemas.openxmlformats.org/officeDocument/2006/relationships/image" Target="media/image267.png"/><Relationship Id="rId325" Type="http://schemas.openxmlformats.org/officeDocument/2006/relationships/image" Target="media/image268.png"/><Relationship Id="rId326" Type="http://schemas.openxmlformats.org/officeDocument/2006/relationships/image" Target="media/image269.png"/><Relationship Id="rId327" Type="http://schemas.openxmlformats.org/officeDocument/2006/relationships/image" Target="media/image270.png"/><Relationship Id="rId328" Type="http://schemas.openxmlformats.org/officeDocument/2006/relationships/image" Target="media/image271.png"/><Relationship Id="rId329" Type="http://schemas.openxmlformats.org/officeDocument/2006/relationships/image" Target="media/image272.png"/><Relationship Id="rId330" Type="http://schemas.openxmlformats.org/officeDocument/2006/relationships/image" Target="media/image273.png"/><Relationship Id="rId331" Type="http://schemas.openxmlformats.org/officeDocument/2006/relationships/image" Target="media/image274.png"/><Relationship Id="rId332" Type="http://schemas.openxmlformats.org/officeDocument/2006/relationships/image" Target="media/image275.png"/><Relationship Id="rId333" Type="http://schemas.openxmlformats.org/officeDocument/2006/relationships/image" Target="media/image276.png"/><Relationship Id="rId334" Type="http://schemas.openxmlformats.org/officeDocument/2006/relationships/image" Target="media/image277.png"/><Relationship Id="rId335" Type="http://schemas.openxmlformats.org/officeDocument/2006/relationships/image" Target="media/image278.png"/><Relationship Id="rId336" Type="http://schemas.openxmlformats.org/officeDocument/2006/relationships/image" Target="media/image279.png"/><Relationship Id="rId337" Type="http://schemas.openxmlformats.org/officeDocument/2006/relationships/image" Target="media/image280.png"/><Relationship Id="rId338" Type="http://schemas.openxmlformats.org/officeDocument/2006/relationships/image" Target="media/image281.png"/><Relationship Id="rId339" Type="http://schemas.openxmlformats.org/officeDocument/2006/relationships/image" Target="media/image282.png"/><Relationship Id="rId340" Type="http://schemas.openxmlformats.org/officeDocument/2006/relationships/image" Target="media/image283.png"/><Relationship Id="rId341" Type="http://schemas.openxmlformats.org/officeDocument/2006/relationships/image" Target="media/image284.png"/><Relationship Id="rId342" Type="http://schemas.openxmlformats.org/officeDocument/2006/relationships/image" Target="media/image285.png"/><Relationship Id="rId343" Type="http://schemas.openxmlformats.org/officeDocument/2006/relationships/image" Target="media/image286.png"/><Relationship Id="rId344" Type="http://schemas.openxmlformats.org/officeDocument/2006/relationships/image" Target="media/image287.png"/><Relationship Id="rId345" Type="http://schemas.openxmlformats.org/officeDocument/2006/relationships/image" Target="media/image288.png"/><Relationship Id="rId346" Type="http://schemas.openxmlformats.org/officeDocument/2006/relationships/image" Target="media/image289.png"/><Relationship Id="rId347" Type="http://schemas.openxmlformats.org/officeDocument/2006/relationships/image" Target="media/image290.png"/><Relationship Id="rId348" Type="http://schemas.openxmlformats.org/officeDocument/2006/relationships/image" Target="media/image291.png"/><Relationship Id="rId349" Type="http://schemas.openxmlformats.org/officeDocument/2006/relationships/image" Target="media/image292.png"/><Relationship Id="rId350" Type="http://schemas.openxmlformats.org/officeDocument/2006/relationships/image" Target="media/image293.png"/><Relationship Id="rId351" Type="http://schemas.openxmlformats.org/officeDocument/2006/relationships/image" Target="media/image294.png"/><Relationship Id="rId352" Type="http://schemas.openxmlformats.org/officeDocument/2006/relationships/image" Target="media/image295.png"/><Relationship Id="rId353" Type="http://schemas.openxmlformats.org/officeDocument/2006/relationships/image" Target="media/image296.png"/><Relationship Id="rId354" Type="http://schemas.openxmlformats.org/officeDocument/2006/relationships/image" Target="media/image297.png"/><Relationship Id="rId355" Type="http://schemas.openxmlformats.org/officeDocument/2006/relationships/image" Target="media/image298.png"/><Relationship Id="rId356" Type="http://schemas.openxmlformats.org/officeDocument/2006/relationships/image" Target="media/image299.png"/><Relationship Id="rId357" Type="http://schemas.openxmlformats.org/officeDocument/2006/relationships/image" Target="media/image300.png"/><Relationship Id="rId358" Type="http://schemas.openxmlformats.org/officeDocument/2006/relationships/image" Target="media/image301.png"/><Relationship Id="rId359" Type="http://schemas.openxmlformats.org/officeDocument/2006/relationships/image" Target="media/image302.png"/><Relationship Id="rId360" Type="http://schemas.openxmlformats.org/officeDocument/2006/relationships/image" Target="media/image303.png"/><Relationship Id="rId361" Type="http://schemas.openxmlformats.org/officeDocument/2006/relationships/image" Target="media/image304.png"/><Relationship Id="rId362" Type="http://schemas.openxmlformats.org/officeDocument/2006/relationships/image" Target="media/image305.png"/><Relationship Id="rId363" Type="http://schemas.openxmlformats.org/officeDocument/2006/relationships/image" Target="media/image306.png"/><Relationship Id="rId364" Type="http://schemas.openxmlformats.org/officeDocument/2006/relationships/image" Target="media/image307.png"/><Relationship Id="rId365" Type="http://schemas.openxmlformats.org/officeDocument/2006/relationships/image" Target="media/image308.png"/><Relationship Id="rId366" Type="http://schemas.openxmlformats.org/officeDocument/2006/relationships/image" Target="media/image309.png"/><Relationship Id="rId367" Type="http://schemas.openxmlformats.org/officeDocument/2006/relationships/image" Target="media/image310.png"/><Relationship Id="rId368" Type="http://schemas.openxmlformats.org/officeDocument/2006/relationships/image" Target="media/image311.png"/><Relationship Id="rId369" Type="http://schemas.openxmlformats.org/officeDocument/2006/relationships/image" Target="media/image312.png"/><Relationship Id="rId370" Type="http://schemas.openxmlformats.org/officeDocument/2006/relationships/image" Target="media/image313.png"/><Relationship Id="rId371" Type="http://schemas.openxmlformats.org/officeDocument/2006/relationships/image" Target="media/image314.png"/><Relationship Id="rId372" Type="http://schemas.openxmlformats.org/officeDocument/2006/relationships/image" Target="media/image315.png"/><Relationship Id="rId373" Type="http://schemas.openxmlformats.org/officeDocument/2006/relationships/image" Target="media/image316.png"/><Relationship Id="rId374" Type="http://schemas.openxmlformats.org/officeDocument/2006/relationships/image" Target="media/image317.png"/><Relationship Id="rId375" Type="http://schemas.openxmlformats.org/officeDocument/2006/relationships/image" Target="media/image318.png"/><Relationship Id="rId376" Type="http://schemas.openxmlformats.org/officeDocument/2006/relationships/image" Target="media/image319.png"/><Relationship Id="rId377" Type="http://schemas.openxmlformats.org/officeDocument/2006/relationships/image" Target="media/image320.png"/><Relationship Id="rId378" Type="http://schemas.openxmlformats.org/officeDocument/2006/relationships/image" Target="media/image321.png"/><Relationship Id="rId379" Type="http://schemas.openxmlformats.org/officeDocument/2006/relationships/image" Target="media/image322.png"/><Relationship Id="rId380" Type="http://schemas.openxmlformats.org/officeDocument/2006/relationships/image" Target="media/image323.png"/><Relationship Id="rId381" Type="http://schemas.openxmlformats.org/officeDocument/2006/relationships/image" Target="media/image324.png"/><Relationship Id="rId382" Type="http://schemas.openxmlformats.org/officeDocument/2006/relationships/image" Target="media/image325.png"/><Relationship Id="rId383" Type="http://schemas.openxmlformats.org/officeDocument/2006/relationships/image" Target="media/image326.png"/><Relationship Id="rId384" Type="http://schemas.openxmlformats.org/officeDocument/2006/relationships/image" Target="media/image327.png"/><Relationship Id="rId385" Type="http://schemas.openxmlformats.org/officeDocument/2006/relationships/image" Target="media/image328.png"/><Relationship Id="rId386" Type="http://schemas.openxmlformats.org/officeDocument/2006/relationships/image" Target="media/image329.png"/><Relationship Id="rId387" Type="http://schemas.openxmlformats.org/officeDocument/2006/relationships/image" Target="media/image330.png"/><Relationship Id="rId388" Type="http://schemas.openxmlformats.org/officeDocument/2006/relationships/image" Target="media/image331.png"/><Relationship Id="rId389" Type="http://schemas.openxmlformats.org/officeDocument/2006/relationships/image" Target="media/image332.png"/><Relationship Id="rId390" Type="http://schemas.openxmlformats.org/officeDocument/2006/relationships/image" Target="media/image333.png"/><Relationship Id="rId391" Type="http://schemas.openxmlformats.org/officeDocument/2006/relationships/image" Target="media/image334.png"/><Relationship Id="rId392" Type="http://schemas.openxmlformats.org/officeDocument/2006/relationships/image" Target="media/image335.png"/><Relationship Id="rId393" Type="http://schemas.openxmlformats.org/officeDocument/2006/relationships/image" Target="media/image336.png"/><Relationship Id="rId394" Type="http://schemas.openxmlformats.org/officeDocument/2006/relationships/image" Target="media/image337.png"/><Relationship Id="rId395" Type="http://schemas.openxmlformats.org/officeDocument/2006/relationships/image" Target="media/image338.png"/><Relationship Id="rId396" Type="http://schemas.openxmlformats.org/officeDocument/2006/relationships/image" Target="media/image339.png"/><Relationship Id="rId397" Type="http://schemas.openxmlformats.org/officeDocument/2006/relationships/image" Target="media/image340.png"/><Relationship Id="rId398" Type="http://schemas.openxmlformats.org/officeDocument/2006/relationships/image" Target="media/image341.png"/><Relationship Id="rId399" Type="http://schemas.openxmlformats.org/officeDocument/2006/relationships/image" Target="media/image342.png"/><Relationship Id="rId400" Type="http://schemas.openxmlformats.org/officeDocument/2006/relationships/image" Target="media/image343.png"/><Relationship Id="rId401" Type="http://schemas.openxmlformats.org/officeDocument/2006/relationships/image" Target="media/image344.png"/><Relationship Id="rId402" Type="http://schemas.openxmlformats.org/officeDocument/2006/relationships/image" Target="media/image345.png"/><Relationship Id="rId403" Type="http://schemas.openxmlformats.org/officeDocument/2006/relationships/image" Target="media/image346.png"/><Relationship Id="rId404" Type="http://schemas.openxmlformats.org/officeDocument/2006/relationships/image" Target="media/image347.png"/><Relationship Id="rId405" Type="http://schemas.openxmlformats.org/officeDocument/2006/relationships/image" Target="media/image348.png"/><Relationship Id="rId406" Type="http://schemas.openxmlformats.org/officeDocument/2006/relationships/image" Target="media/image349.png"/><Relationship Id="rId407" Type="http://schemas.openxmlformats.org/officeDocument/2006/relationships/image" Target="media/image350.png"/><Relationship Id="rId408" Type="http://schemas.openxmlformats.org/officeDocument/2006/relationships/image" Target="media/image351.png"/><Relationship Id="rId409" Type="http://schemas.openxmlformats.org/officeDocument/2006/relationships/image" Target="media/image352.png"/><Relationship Id="rId410" Type="http://schemas.openxmlformats.org/officeDocument/2006/relationships/image" Target="media/image353.png"/><Relationship Id="rId411" Type="http://schemas.openxmlformats.org/officeDocument/2006/relationships/image" Target="media/image354.png"/><Relationship Id="rId412" Type="http://schemas.openxmlformats.org/officeDocument/2006/relationships/image" Target="media/image355.png"/><Relationship Id="rId413" Type="http://schemas.openxmlformats.org/officeDocument/2006/relationships/image" Target="media/image356.png"/><Relationship Id="rId414" Type="http://schemas.openxmlformats.org/officeDocument/2006/relationships/image" Target="media/image357.png"/><Relationship Id="rId415" Type="http://schemas.openxmlformats.org/officeDocument/2006/relationships/image" Target="media/image358.png"/><Relationship Id="rId416" Type="http://schemas.openxmlformats.org/officeDocument/2006/relationships/image" Target="media/image359.png"/><Relationship Id="rId417" Type="http://schemas.openxmlformats.org/officeDocument/2006/relationships/image" Target="media/image360.png"/><Relationship Id="rId418" Type="http://schemas.openxmlformats.org/officeDocument/2006/relationships/image" Target="media/image361.png"/><Relationship Id="rId419" Type="http://schemas.openxmlformats.org/officeDocument/2006/relationships/image" Target="media/image362.png"/><Relationship Id="rId420" Type="http://schemas.openxmlformats.org/officeDocument/2006/relationships/image" Target="media/image363.png"/><Relationship Id="rId421" Type="http://schemas.openxmlformats.org/officeDocument/2006/relationships/image" Target="media/image364.png"/><Relationship Id="rId422" Type="http://schemas.openxmlformats.org/officeDocument/2006/relationships/image" Target="media/image365.png"/><Relationship Id="rId423" Type="http://schemas.openxmlformats.org/officeDocument/2006/relationships/image" Target="media/image366.png"/><Relationship Id="rId424" Type="http://schemas.openxmlformats.org/officeDocument/2006/relationships/image" Target="media/image367.png"/><Relationship Id="rId425" Type="http://schemas.openxmlformats.org/officeDocument/2006/relationships/image" Target="media/image368.png"/><Relationship Id="rId426" Type="http://schemas.openxmlformats.org/officeDocument/2006/relationships/image" Target="media/image369.png"/><Relationship Id="rId92" Type="http://schemas.openxmlformats.org/officeDocument/2006/relationships/hyperlink" Target="http://www.sec.gov/Archives/edgar/data/859598/000085959817000073/distributionagreement.htm" TargetMode="External"/><Relationship Id="rId93" Type="http://schemas.openxmlformats.org/officeDocument/2006/relationships/hyperlink" Target="http://www.sec.gov/Archives/edgar/data/0001690334/000119312521365045/d272774dex21.htm" TargetMode="External"/><Relationship Id="rId94" Type="http://schemas.openxmlformats.org/officeDocument/2006/relationships/hyperlink" Target="http://www.sec.gov/Archives/edgar/data/1690334/000156459019030155/smhi-ex101_9.htm" TargetMode="External"/><Relationship Id="rId95" Type="http://schemas.openxmlformats.org/officeDocument/2006/relationships/hyperlink" Target="http://www.sec.gov/Archives/edgar/data/1690334/000143774919005293/ex_138221.htm" TargetMode="External"/><Relationship Id="rId96" Type="http://schemas.openxmlformats.org/officeDocument/2006/relationships/hyperlink" Target="http://www.sec.gov/Archives/edgar/data/859598/000085959816000211/exhibit44convertiblesenior.htm" TargetMode="External"/><Relationship Id="rId97" Type="http://schemas.openxmlformats.org/officeDocument/2006/relationships/hyperlink" Target="http://www.sec.gov/Archives/edgar/data/859598/000085959817000025/exhibit101amendmentno1toth.htm" TargetMode="External"/><Relationship Id="rId98" Type="http://schemas.openxmlformats.org/officeDocument/2006/relationships/hyperlink" Target="http://www.sec.gov/Archives/edgar/data/859598/000085959816000211/exhibit45investmentagreeme.htm" TargetMode="External"/><Relationship Id="rId99" Type="http://schemas.openxmlformats.org/officeDocument/2006/relationships/hyperlink" Target="http://www.sec.gov/Archives/edgar/data/859598/000085959816000211/exhibit47companyregistrati.htm" TargetMode="External"/><Relationship Id="rId100" Type="http://schemas.openxmlformats.org/officeDocument/2006/relationships/hyperlink" Target="http://www.sec.gov/Archives/edgar/data/1690334/000143774919000656/ex_132760.htm" TargetMode="External"/><Relationship Id="rId101" Type="http://schemas.openxmlformats.org/officeDocument/2006/relationships/hyperlink" Target="http://www.sec.gov/Archives/edgar/data/1690334/000143774918011923/ex_116292.htm" TargetMode="External"/><Relationship Id="rId102" Type="http://schemas.openxmlformats.org/officeDocument/2006/relationships/hyperlink" Target="http://www.sec.gov/Archives/edgar/data/1690334/000143774918011923/ex_116290.htm" TargetMode="External"/><Relationship Id="rId103" Type="http://schemas.openxmlformats.org/officeDocument/2006/relationships/hyperlink" Target="http://www.sec.gov/Archives/edgar/data/1690334/000143774918011923/ex_116291.htm" TargetMode="External"/><Relationship Id="rId106" Type="http://schemas.openxmlformats.org/officeDocument/2006/relationships/hyperlink" Target="http://www.sec.gov/Archives/edgar/data/1690334/000143774918009472/ex_113638.htm" TargetMode="External"/><Relationship Id="rId107" Type="http://schemas.openxmlformats.org/officeDocument/2006/relationships/hyperlink" Target="http://www.sec.gov/Archives/edgar/data/1690334/000119312520080834/d878027dex41.htm" TargetMode="External"/><Relationship Id="rId108" Type="http://schemas.openxmlformats.org/officeDocument/2006/relationships/hyperlink" Target="http://www.sec.gov/Archives/edgar/data/1690334/000156459020008689/smhi-ex411_235.htm" TargetMode="External"/><Relationship Id="rId109" Type="http://schemas.openxmlformats.org/officeDocument/2006/relationships/hyperlink" Target="http://www.sec.gov/Archives/edgar/data/859598/000085959817000073/taxmattersagreement.htm" TargetMode="External"/><Relationship Id="rId110" Type="http://schemas.openxmlformats.org/officeDocument/2006/relationships/hyperlink" Target="http://www.sec.gov/Archives/edgar/data/1690334/000169033417000039/smhi2017equityincentiveplan.htm" TargetMode="External"/><Relationship Id="rId111" Type="http://schemas.openxmlformats.org/officeDocument/2006/relationships/hyperlink" Target="http://www.sec.gov/Archives/edgar/data/1690334/000169033417000039/smhi2017employeestockpurch.htm" TargetMode="External"/><Relationship Id="rId112" Type="http://schemas.openxmlformats.org/officeDocument/2006/relationships/hyperlink" Target="http://www.sec.gov/Archives/edgar/data/1690334/000169033417000002/exhibit107seacormarineinde.htm" TargetMode="External"/><Relationship Id="rId113" Type="http://schemas.openxmlformats.org/officeDocument/2006/relationships/hyperlink" Target="http://www.sec.gov/Archives/edgar/data/1690334/000169033417000007/exhibit108letteragreement.htm" TargetMode="External"/><Relationship Id="rId114" Type="http://schemas.openxmlformats.org/officeDocument/2006/relationships/hyperlink" Target="http://www.sec.gov/Archives/edgar/data/1690334/000169033417000076/exhibit992formofsmhistocko.htm" TargetMode="External"/><Relationship Id="rId115" Type="http://schemas.openxmlformats.org/officeDocument/2006/relationships/hyperlink" Target="http://www.sec.gov/Archives/edgar/data/1690334/000169033417000076/exhibit993formofsmhirestri.htm" TargetMode="External"/><Relationship Id="rId116" Type="http://schemas.openxmlformats.org/officeDocument/2006/relationships/hyperlink" Target="http://www.sec.gov/Archives/edgar/data/1690334/000156459019018265/smhi-ex101_200.htm" TargetMode="External"/><Relationship Id="rId117" Type="http://schemas.openxmlformats.org/officeDocument/2006/relationships/hyperlink" Target="http://www.sec.gov/Archives/edgar/data/1690334/000143774918020355/ex_124873.htm" TargetMode="External"/><Relationship Id="rId118" Type="http://schemas.openxmlformats.org/officeDocument/2006/relationships/hyperlink" Target="http://www.sec.gov/Archives/edgar/data/1690334/000143774918020355/ex_124874.htm" TargetMode="External"/><Relationship Id="rId119" Type="http://schemas.openxmlformats.org/officeDocument/2006/relationships/hyperlink" Target="http://www.sec.gov/Archives/edgar/data/1690334/000143774918015130/ex_119738.htm" TargetMode="External"/><Relationship Id="rId120" Type="http://schemas.openxmlformats.org/officeDocument/2006/relationships/hyperlink" Target="http://www.sec.gov/Archives/edgar/data/1690334/000143774918009472/ex_113637.htm" TargetMode="External"/><Relationship Id="rId123" Type="http://schemas.openxmlformats.org/officeDocument/2006/relationships/hyperlink" Target="http://www.sec.gov/Archives/edgar/data/1690334/000143774918008386/ex_112260.htm" TargetMode="External"/><Relationship Id="rId124" Type="http://schemas.openxmlformats.org/officeDocument/2006/relationships/hyperlink" Target="http://www.sec.gov/Archives/edgar/data/1690334/000156459019042390/smhi-ex102_11.htm" TargetMode="External"/><Relationship Id="rId125" Type="http://schemas.openxmlformats.org/officeDocument/2006/relationships/hyperlink" Target="http://www.sec.gov/Archives/edgar/data/1690334/000156459019042390/smhi-ex103_8.htm" TargetMode="External"/><Relationship Id="rId126" Type="http://schemas.openxmlformats.org/officeDocument/2006/relationships/hyperlink" Target="http://www.sec.gov/Archives/edgar/data/1690334/000156459019042390/smhi-ex104_202.htm" TargetMode="External"/><Relationship Id="rId127" Type="http://schemas.openxmlformats.org/officeDocument/2006/relationships/hyperlink" Target="http://www.sec.gov/Archives/edgar/data/1690334/000156459019042390/smhi-ex105_201.htm" TargetMode="External"/><Relationship Id="rId128" Type="http://schemas.openxmlformats.org/officeDocument/2006/relationships/hyperlink" Target="http://www.sec.gov/Archives/edgar/data/1690334/000156459019030155/smhi-ex103_350.htm" TargetMode="External"/><Relationship Id="rId129" Type="http://schemas.openxmlformats.org/officeDocument/2006/relationships/hyperlink" Target="http://www.sec.gov/Archives/edgar/data/1690334/000156459019042390/smhi-ex101_338.htm" TargetMode="External"/><Relationship Id="rId130" Type="http://schemas.openxmlformats.org/officeDocument/2006/relationships/hyperlink" Target="http://www.sec.gov/Archives/edgar/data/1690334/000119312519305291/d821626dex101.htm" TargetMode="External"/><Relationship Id="rId131" Type="http://schemas.openxmlformats.org/officeDocument/2006/relationships/hyperlink" Target="http://www.sec.gov/Archives/edgar/data/1690334/000119312520160742/d939332dex101.htm" TargetMode="External"/><Relationship Id="rId132" Type="http://schemas.openxmlformats.org/officeDocument/2006/relationships/hyperlink" Target="http://www.sec.gov/Archives/edgar/data/1690334/000119312520160742/d939332dex102.htm" TargetMode="External"/><Relationship Id="rId133" Type="http://schemas.openxmlformats.org/officeDocument/2006/relationships/hyperlink" Target="http://www.sec.gov/Archives/edgar/data/1690334/000119312520160742/d939332dex103.htm" TargetMode="External"/><Relationship Id="rId134" Type="http://schemas.openxmlformats.org/officeDocument/2006/relationships/hyperlink" Target="http://www.sec.gov/Archives/edgar/data/1690334/000095012320006442/d903262dex101.htm" TargetMode="External"/><Relationship Id="rId135" Type="http://schemas.openxmlformats.org/officeDocument/2006/relationships/hyperlink" Target="http://www.sec.gov/Archives/edgar/data/1690334/000119312520187867/d38605dex101.htm" TargetMode="External"/><Relationship Id="rId138" Type="http://schemas.openxmlformats.org/officeDocument/2006/relationships/hyperlink" Target="http://www.sec.gov/Archives/edgar/data/1690334/000119312520320690/d61242dex101.htm" TargetMode="External"/><Relationship Id="rId139" Type="http://schemas.openxmlformats.org/officeDocument/2006/relationships/hyperlink" Target="http://www.sec.gov/Archives/edgar/data/1690334/000119312520320690/d61242dex102.htm" TargetMode="External"/><Relationship Id="rId140" Type="http://schemas.openxmlformats.org/officeDocument/2006/relationships/hyperlink" Target="http://www.sec.gov/Archives/edgar/data/1690334/000119312520115118/d856182ddef14a.htm#tx856182_60" TargetMode="External"/><Relationship Id="rId141" Type="http://schemas.openxmlformats.org/officeDocument/2006/relationships/hyperlink" Target="http://www.sec.gov/Archives/edgar/data/0001690334/000156459021012639/smhi-ex1040_22.htm" TargetMode="External"/><Relationship Id="rId142" Type="http://schemas.openxmlformats.org/officeDocument/2006/relationships/hyperlink" Target="http://www.sec.gov/Archives/edgar/data/0001690334/000156459021012639/smhi-ex1041_21.htm" TargetMode="External"/><Relationship Id="rId143" Type="http://schemas.openxmlformats.org/officeDocument/2006/relationships/hyperlink" Target="http://www.sec.gov/Archives/edgar/data/0001690334/000156459021012639/smhi-ex1042_20.htm" TargetMode="External"/><Relationship Id="rId144" Type="http://schemas.openxmlformats.org/officeDocument/2006/relationships/hyperlink" Target="http://www.sec.gov/Archives/edgar/data/0001690334/000156459021012639/smhi-ex1043_19.htm" TargetMode="External"/><Relationship Id="rId145" Type="http://schemas.openxmlformats.org/officeDocument/2006/relationships/hyperlink" Target="http://www.sec.gov/Archives/edgar/data/0001690334/000119312521188219/d47268dex101.htm" TargetMode="External"/><Relationship Id="rId146" Type="http://schemas.openxmlformats.org/officeDocument/2006/relationships/hyperlink" Target="http://www.sec.gov/Archives/edgar/data/0001690334/000119312521188219/d47268dex102.htm" TargetMode="External"/><Relationship Id="rId147" Type="http://schemas.openxmlformats.org/officeDocument/2006/relationships/hyperlink" Target="http://www.sec.gov/Archives/edgar/data/0001690334/000156459021040876/smhi-ex103_5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2022-03-10T16:40:45Z</dcterms:created>
  <dcterms:modified xsi:type="dcterms:W3CDTF">2022-03-10T16:40:45Z</dcterms:modified>
</cp:coreProperties>
</file>