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18"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19"/>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1-37966</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SEACOR Marine Holdings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47-2564547</w:t>
            </w:r>
          </w:p>
        </w:tc>
      </w:tr>
      <w:tr>
        <w:trPr>
          <w:trHeight w:val="216"/>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2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38"/>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12121 Wickchester Lane, Suite 500, Houston, TX</w:t>
            </w:r>
          </w:p>
        </w:tc>
        <w:tc>
          <w:tcPr>
            <w:tcW w:w="3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77079</w:t>
            </w:r>
          </w:p>
        </w:tc>
      </w:tr>
      <w:tr>
        <w:trPr>
          <w:trHeight w:val="297"/>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7"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0" w:type="dxa"/>
            <w:vAlign w:val="bottom"/>
          </w:tcPr>
          <w:p>
            <w:pPr>
              <w:spacing w:after="0"/>
              <w:rPr>
                <w:sz w:val="18"/>
                <w:szCs w:val="18"/>
                <w:color w:val="auto"/>
              </w:rPr>
            </w:pPr>
          </w:p>
        </w:tc>
        <w:tc>
          <w:tcPr>
            <w:tcW w:w="29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80" w:type="dxa"/>
            <w:vAlign w:val="bottom"/>
          </w:tcPr>
          <w:p>
            <w:pPr>
              <w:spacing w:after="0"/>
              <w:rPr>
                <w:sz w:val="20"/>
                <w:szCs w:val="20"/>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SMHI</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03" w:lineRule="exact"/>
        <w:rPr>
          <w:sz w:val="24"/>
          <w:szCs w:val="24"/>
          <w:color w:val="auto"/>
        </w:rPr>
      </w:pPr>
    </w:p>
    <w:p>
      <w:pPr>
        <w:jc w:val="both"/>
        <w:ind w:firstLine="74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74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06" w:right="339" w:bottom="1440" w:gutter="0" w:footer="0" w:header="0"/>
        </w:sectPr>
      </w:pP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spacing w:after="0"/>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w:t>
      </w:r>
    </w:p>
    <w:p>
      <w:pPr>
        <w:spacing w:after="0" w:line="5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400"/>
        <w:spacing w:after="0" w:line="161" w:lineRule="exact"/>
        <w:rPr>
          <w:sz w:val="20"/>
          <w:szCs w:val="20"/>
          <w:color w:val="auto"/>
        </w:rPr>
      </w:pPr>
      <w:r>
        <w:rPr>
          <w:rFonts w:ascii="MS PGothic" w:cs="MS PGothic" w:eastAsia="MS PGothic" w:hAnsi="MS PGothic"/>
          <w:sz w:val="16"/>
          <w:szCs w:val="16"/>
          <w:color w:val="auto"/>
        </w:rPr>
        <w:t>☒</w:t>
      </w:r>
    </w:p>
    <w:p>
      <w:pPr>
        <w:spacing w:after="0" w:line="421" w:lineRule="exact"/>
        <w:rPr>
          <w:sz w:val="24"/>
          <w:szCs w:val="24"/>
          <w:color w:val="auto"/>
        </w:rPr>
      </w:pPr>
    </w:p>
    <w:p>
      <w:pPr>
        <w:sectPr>
          <w:pgSz w:w="11900" w:h="16838" w:orient="portrait"/>
          <w:cols w:equalWidth="0" w:num="9">
            <w:col w:w="1620" w:space="80"/>
            <w:col w:w="160" w:space="400"/>
            <w:col w:w="1200" w:space="500"/>
            <w:col w:w="160" w:space="400"/>
            <w:col w:w="1520" w:space="160"/>
            <w:col w:w="160" w:space="420"/>
            <w:col w:w="1260" w:space="420"/>
            <w:col w:w="1820" w:space="400"/>
            <w:col w:w="560"/>
          </w:cols>
          <w:pgMar w:left="320" w:top="506" w:right="339" w:bottom="1440" w:gutter="0" w:footer="0" w:header="0"/>
          <w:type w:val="continuous"/>
        </w:sectPr>
      </w:pPr>
    </w:p>
    <w:p>
      <w:pPr>
        <w:ind w:right="20" w:firstLine="74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shares of common stock, par value $.01 per share (“Common Stock”), outstanding as of October 30, 2020 was 23,435,254.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760" w:type="dxa"/>
            <w:vAlign w:val="bottom"/>
            <w:gridSpan w:val="3"/>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SEACOR MARINE HOLDINGS INC.</w:t>
            </w:r>
          </w:p>
        </w:tc>
        <w:tc>
          <w:tcPr>
            <w:tcW w:w="520" w:type="dxa"/>
            <w:vAlign w:val="bottom"/>
          </w:tcPr>
          <w:p>
            <w:pPr>
              <w:spacing w:after="0"/>
              <w:rPr>
                <w:sz w:val="20"/>
                <w:szCs w:val="20"/>
                <w:color w:val="auto"/>
              </w:rPr>
            </w:pPr>
          </w:p>
        </w:tc>
      </w:tr>
      <w:tr>
        <w:trPr>
          <w:trHeight w:val="392"/>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6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2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10000" w:type="dxa"/>
            <w:vAlign w:val="bottom"/>
            <w:gridSpan w:val="6"/>
          </w:tcPr>
          <w:p>
            <w:pPr>
              <w:ind w:left="2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8"/>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7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Loss for the Three and Nine Months Ended September 30, 2020 and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7"/>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20" w:type="dxa"/>
            <w:vAlign w:val="bottom"/>
            <w:gridSpan w:val="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Loss for the Three and Nine Months Ended September 30,</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2020 and 2019</w:t>
              </w:r>
            </w:hyperlink>
          </w:p>
        </w:tc>
        <w:tc>
          <w:tcPr>
            <w:tcW w:w="5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20" w:type="dxa"/>
            <w:vAlign w:val="bottom"/>
            <w:gridSpan w:val="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Changes in Equity for the Three and Nine Months Ended September 30, 2020</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and 2019</w:t>
              </w:r>
            </w:hyperlink>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8"/>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Condensed Consolidated Statements of Cash Flows for the Nine Months Ended September 30, 2020 and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38"/>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Condensed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Quantitative and Qualitative Disclosures About Market Risk</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Controls and Procedures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3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0000" w:type="dxa"/>
            <w:vAlign w:val="bottom"/>
            <w:gridSpan w:val="6"/>
          </w:tcPr>
          <w:p>
            <w:pPr>
              <w:ind w:left="20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Other Information</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Legal Proceedings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Risk Factors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Unregistered Sales of Equity Securities and Use of Proceeds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Default Upon Senior Securities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Mine Safety Disclosures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37"/>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Other Information</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38"/>
        </w:trPr>
        <w:tc>
          <w:tcPr>
            <w:tcW w:w="7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8820" w:type="dxa"/>
            <w:vAlign w:val="bottom"/>
            <w:gridSpan w:val="5"/>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Exhibits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9"/>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48"/>
        </w:trPr>
        <w:tc>
          <w:tcPr>
            <w:tcW w:w="1180" w:type="dxa"/>
            <w:vAlign w:val="bottom"/>
          </w:tcPr>
          <w:p>
            <w:pPr>
              <w:spacing w:after="0"/>
              <w:rPr>
                <w:sz w:val="12"/>
                <w:szCs w:val="12"/>
                <w:color w:val="auto"/>
              </w:rPr>
            </w:pPr>
          </w:p>
        </w:tc>
        <w:tc>
          <w:tcPr>
            <w:tcW w:w="6620" w:type="dxa"/>
            <w:vAlign w:val="bottom"/>
          </w:tcPr>
          <w:p>
            <w:pPr>
              <w:jc w:val="center"/>
              <w:ind w:left="2211"/>
              <w:spacing w:after="0" w:line="149" w:lineRule="exact"/>
              <w:rPr>
                <w:sz w:val="20"/>
                <w:szCs w:val="20"/>
                <w:color w:val="auto"/>
              </w:rPr>
            </w:pPr>
            <w:r>
              <w:rPr>
                <w:rFonts w:ascii="Times New Roman" w:cs="Times New Roman" w:eastAsia="Times New Roman" w:hAnsi="Times New Roman"/>
                <w:sz w:val="14"/>
                <w:szCs w:val="14"/>
                <w:b w:val="1"/>
                <w:bCs w:val="1"/>
                <w:color w:val="auto"/>
              </w:rPr>
              <w:t>SEACOR MARINE HOLDINGS INC.</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6620" w:type="dxa"/>
            <w:vAlign w:val="bottom"/>
          </w:tcPr>
          <w:p>
            <w:pPr>
              <w:jc w:val="center"/>
              <w:ind w:left="2211"/>
              <w:spacing w:after="0" w:line="149" w:lineRule="exact"/>
              <w:rPr>
                <w:sz w:val="20"/>
                <w:szCs w:val="20"/>
                <w:color w:val="auto"/>
              </w:rPr>
            </w:pPr>
            <w:r>
              <w:rPr>
                <w:rFonts w:ascii="Times New Roman" w:cs="Times New Roman" w:eastAsia="Times New Roman" w:hAnsi="Times New Roman"/>
                <w:sz w:val="14"/>
                <w:szCs w:val="14"/>
                <w:b w:val="1"/>
                <w:bCs w:val="1"/>
                <w:color w:val="auto"/>
              </w:rPr>
              <w:t>UNAUDITED CONDENSED CONSOLIDATED BALANCE SHEETS</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0"/>
        </w:trPr>
        <w:tc>
          <w:tcPr>
            <w:tcW w:w="1180" w:type="dxa"/>
            <w:vAlign w:val="bottom"/>
          </w:tcPr>
          <w:p>
            <w:pPr>
              <w:spacing w:after="0"/>
              <w:rPr>
                <w:sz w:val="16"/>
                <w:szCs w:val="16"/>
                <w:color w:val="auto"/>
              </w:rPr>
            </w:pPr>
          </w:p>
        </w:tc>
        <w:tc>
          <w:tcPr>
            <w:tcW w:w="6620" w:type="dxa"/>
            <w:vAlign w:val="bottom"/>
          </w:tcPr>
          <w:p>
            <w:pPr>
              <w:jc w:val="center"/>
              <w:ind w:left="221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20"/>
        </w:trPr>
        <w:tc>
          <w:tcPr>
            <w:tcW w:w="11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4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142"/>
        </w:trPr>
        <w:tc>
          <w:tcPr>
            <w:tcW w:w="1180" w:type="dxa"/>
            <w:vAlign w:val="bottom"/>
            <w:tcBorders>
              <w:top w:val="single" w:sz="8" w:color="CFF0FC"/>
            </w:tcBorders>
            <w:shd w:val="clear" w:color="auto" w:fill="CFF0FC"/>
          </w:tcPr>
          <w:p>
            <w:pPr>
              <w:spacing w:after="0"/>
              <w:rPr>
                <w:sz w:val="12"/>
                <w:szCs w:val="12"/>
                <w:color w:val="auto"/>
              </w:rPr>
            </w:pPr>
          </w:p>
        </w:tc>
        <w:tc>
          <w:tcPr>
            <w:tcW w:w="6620" w:type="dxa"/>
            <w:vAlign w:val="bottom"/>
            <w:tcBorders>
              <w:top w:val="single" w:sz="8" w:color="CFF0FC"/>
            </w:tcBorders>
            <w:shd w:val="clear" w:color="auto" w:fill="CFF0FC"/>
          </w:tcPr>
          <w:p>
            <w:pPr>
              <w:jc w:val="center"/>
              <w:ind w:right="1291"/>
              <w:spacing w:after="0" w:line="142" w:lineRule="exact"/>
              <w:rPr>
                <w:sz w:val="20"/>
                <w:szCs w:val="20"/>
                <w:color w:val="auto"/>
              </w:rPr>
            </w:pPr>
            <w:r>
              <w:rPr>
                <w:rFonts w:ascii="Times New Roman" w:cs="Times New Roman" w:eastAsia="Times New Roman" w:hAnsi="Times New Roman"/>
                <w:sz w:val="13"/>
                <w:szCs w:val="13"/>
                <w:b w:val="1"/>
                <w:bCs w:val="1"/>
                <w:color w:val="auto"/>
                <w:w w:val="94"/>
              </w:rPr>
              <w:t>ASSETS</w:t>
            </w:r>
          </w:p>
        </w:tc>
        <w:tc>
          <w:tcPr>
            <w:tcW w:w="14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45,179</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83,943</w:t>
            </w:r>
          </w:p>
        </w:tc>
        <w:tc>
          <w:tcPr>
            <w:tcW w:w="120" w:type="dxa"/>
            <w:vAlign w:val="bottom"/>
            <w:shd w:val="clear" w:color="auto" w:fill="CFF0FC"/>
          </w:tcPr>
          <w:p>
            <w:pPr>
              <w:spacing w:after="0"/>
              <w:rPr>
                <w:sz w:val="12"/>
                <w:szCs w:val="12"/>
                <w:color w:val="auto"/>
              </w:rPr>
            </w:pPr>
          </w:p>
        </w:tc>
      </w:tr>
      <w:tr>
        <w:trPr>
          <w:trHeight w:val="148"/>
        </w:trPr>
        <w:tc>
          <w:tcPr>
            <w:tcW w:w="1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Restricted cash</w:t>
            </w: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3,104</w:t>
            </w: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Receivables:</w:t>
            </w:r>
          </w:p>
        </w:tc>
        <w:tc>
          <w:tcPr>
            <w:tcW w:w="6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Trade, net of allowance for credit loss accounts of $850 and $455 in 2020 and 2019, respectively</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54,935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49,128</w:t>
            </w: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Other</w:t>
            </w:r>
          </w:p>
        </w:tc>
        <w:tc>
          <w:tcPr>
            <w:tcW w:w="6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17,914</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18,531</w:t>
            </w:r>
          </w:p>
        </w:tc>
        <w:tc>
          <w:tcPr>
            <w:tcW w:w="120" w:type="dxa"/>
            <w:vAlign w:val="bottom"/>
            <w:shd w:val="clear" w:color="auto" w:fill="CFF0FC"/>
          </w:tcPr>
          <w:p>
            <w:pPr>
              <w:spacing w:after="0"/>
              <w:rPr>
                <w:sz w:val="12"/>
                <w:szCs w:val="12"/>
                <w:color w:val="auto"/>
              </w:rPr>
            </w:pPr>
          </w:p>
        </w:tc>
      </w:tr>
      <w:tr>
        <w:trPr>
          <w:trHeight w:val="149"/>
        </w:trPr>
        <w:tc>
          <w:tcPr>
            <w:tcW w:w="7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Receivable from SEACOR Holdings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Tax Receivable</w:t>
            </w:r>
          </w:p>
        </w:tc>
        <w:tc>
          <w:tcPr>
            <w:tcW w:w="6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11,770</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Prepaid expenses and other</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3,598</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2,612</w:t>
            </w:r>
          </w:p>
        </w:tc>
        <w:tc>
          <w:tcPr>
            <w:tcW w:w="120" w:type="dxa"/>
            <w:vAlign w:val="bottom"/>
            <w:shd w:val="clear" w:color="auto" w:fill="CFF0FC"/>
          </w:tcPr>
          <w:p>
            <w:pPr>
              <w:spacing w:after="0"/>
              <w:rPr>
                <w:sz w:val="12"/>
                <w:szCs w:val="12"/>
                <w:color w:val="auto"/>
              </w:rPr>
            </w:pPr>
          </w:p>
        </w:tc>
      </w:tr>
      <w:tr>
        <w:trPr>
          <w:trHeight w:val="142"/>
        </w:trPr>
        <w:tc>
          <w:tcPr>
            <w:tcW w:w="7800" w:type="dxa"/>
            <w:vAlign w:val="bottom"/>
            <w:tcBorders>
              <w:bottom w:val="single" w:sz="8" w:color="CFF0FC"/>
            </w:tcBorders>
            <w:gridSpan w:val="2"/>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156,135</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158,546</w:t>
            </w:r>
          </w:p>
        </w:tc>
        <w:tc>
          <w:tcPr>
            <w:tcW w:w="120" w:type="dxa"/>
            <w:vAlign w:val="bottom"/>
            <w:tcBorders>
              <w:bottom w:val="single" w:sz="8" w:color="CFF0FC"/>
            </w:tcBorders>
          </w:tcPr>
          <w:p>
            <w:pPr>
              <w:spacing w:after="0"/>
              <w:rPr>
                <w:sz w:val="12"/>
                <w:szCs w:val="12"/>
                <w:color w:val="auto"/>
              </w:rPr>
            </w:pPr>
          </w:p>
        </w:tc>
      </w:tr>
      <w:tr>
        <w:trPr>
          <w:trHeight w:val="142"/>
        </w:trPr>
        <w:tc>
          <w:tcPr>
            <w:tcW w:w="78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Property and Equipment:</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1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Historical cost</w:t>
            </w: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1,078,169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976,978</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Accumulated depreciation</w:t>
            </w: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(334,387)</w:t>
            </w:r>
          </w:p>
        </w:tc>
        <w:tc>
          <w:tcPr>
            <w:tcW w:w="1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(358,962)</w:t>
            </w:r>
          </w:p>
        </w:tc>
      </w:tr>
      <w:tr>
        <w:trPr>
          <w:trHeight w:val="142"/>
        </w:trPr>
        <w:tc>
          <w:tcPr>
            <w:tcW w:w="11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743,782</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618,016</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Construction in progress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56,709</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74,344</w:t>
            </w:r>
          </w:p>
        </w:tc>
        <w:tc>
          <w:tcPr>
            <w:tcW w:w="120" w:type="dxa"/>
            <w:vAlign w:val="bottom"/>
            <w:shd w:val="clear" w:color="auto" w:fill="CFF0FC"/>
          </w:tcPr>
          <w:p>
            <w:pPr>
              <w:spacing w:after="0"/>
              <w:rPr>
                <w:sz w:val="12"/>
                <w:szCs w:val="12"/>
                <w:color w:val="auto"/>
              </w:rPr>
            </w:pPr>
          </w:p>
        </w:tc>
      </w:tr>
      <w:tr>
        <w:trPr>
          <w:trHeight w:val="142"/>
        </w:trPr>
        <w:tc>
          <w:tcPr>
            <w:tcW w:w="7800" w:type="dxa"/>
            <w:vAlign w:val="bottom"/>
            <w:tcBorders>
              <w:bottom w:val="single" w:sz="8" w:color="CFF0FC"/>
            </w:tcBorders>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auto"/>
              </w:rPr>
              <w:t>Net property and equipment</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800,491</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692,360</w:t>
            </w:r>
          </w:p>
        </w:tc>
        <w:tc>
          <w:tcPr>
            <w:tcW w:w="120" w:type="dxa"/>
            <w:vAlign w:val="bottom"/>
            <w:tcBorders>
              <w:bottom w:val="single" w:sz="8" w:color="CFF0FC"/>
            </w:tcBorders>
          </w:tcPr>
          <w:p>
            <w:pPr>
              <w:spacing w:after="0"/>
              <w:rPr>
                <w:sz w:val="12"/>
                <w:szCs w:val="12"/>
                <w:color w:val="auto"/>
              </w:rPr>
            </w:pPr>
          </w:p>
        </w:tc>
      </w:tr>
      <w:tr>
        <w:trPr>
          <w:trHeight w:val="142"/>
        </w:trPr>
        <w:tc>
          <w:tcPr>
            <w:tcW w:w="78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Right-of-Use Asset - Operating Leases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8,327</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17,313</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Right-of-Use Asset - Finance Leases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Investments, at Equity, and Advances to 50% or Less Owned Companies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88,933</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124,680</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Construction Reserve Funds</w:t>
            </w:r>
          </w:p>
        </w:tc>
        <w:tc>
          <w:tcPr>
            <w:tcW w:w="140" w:type="dxa"/>
            <w:vAlign w:val="bottom"/>
          </w:tcPr>
          <w:p>
            <w:pPr>
              <w:spacing w:after="0"/>
              <w:rPr>
                <w:sz w:val="12"/>
                <w:szCs w:val="12"/>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12,893</w:t>
            </w: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66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3,152</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3,401</w:t>
            </w:r>
          </w:p>
        </w:tc>
        <w:tc>
          <w:tcPr>
            <w:tcW w:w="120" w:type="dxa"/>
            <w:vAlign w:val="bottom"/>
            <w:shd w:val="clear" w:color="auto" w:fill="CFF0FC"/>
          </w:tcPr>
          <w:p>
            <w:pPr>
              <w:spacing w:after="0"/>
              <w:rPr>
                <w:sz w:val="12"/>
                <w:szCs w:val="12"/>
                <w:color w:val="auto"/>
              </w:rPr>
            </w:pPr>
          </w:p>
        </w:tc>
      </w:tr>
      <w:tr>
        <w:trPr>
          <w:trHeight w:val="182"/>
        </w:trPr>
        <w:tc>
          <w:tcPr>
            <w:tcW w:w="1180" w:type="dxa"/>
            <w:vAlign w:val="bottom"/>
            <w:tcBorders>
              <w:bottom w:val="single" w:sz="8" w:color="CFF0FC"/>
            </w:tcBorders>
          </w:tcPr>
          <w:p>
            <w:pPr>
              <w:spacing w:after="0"/>
              <w:rPr>
                <w:sz w:val="15"/>
                <w:szCs w:val="15"/>
                <w:color w:val="auto"/>
              </w:rPr>
            </w:pPr>
          </w:p>
        </w:tc>
        <w:tc>
          <w:tcPr>
            <w:tcW w:w="66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1,057,175</w:t>
            </w: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1,009,193</w:t>
            </w:r>
          </w:p>
        </w:tc>
        <w:tc>
          <w:tcPr>
            <w:tcW w:w="120" w:type="dxa"/>
            <w:vAlign w:val="bottom"/>
            <w:tcBorders>
              <w:bottom w:val="single" w:sz="8" w:color="CFF0FC"/>
            </w:tcBorders>
          </w:tcPr>
          <w:p>
            <w:pPr>
              <w:spacing w:after="0"/>
              <w:rPr>
                <w:sz w:val="15"/>
                <w:szCs w:val="15"/>
                <w:color w:val="auto"/>
              </w:rPr>
            </w:pPr>
          </w:p>
        </w:tc>
      </w:tr>
      <w:tr>
        <w:trPr>
          <w:trHeight w:val="129"/>
        </w:trPr>
        <w:tc>
          <w:tcPr>
            <w:tcW w:w="1180" w:type="dxa"/>
            <w:vAlign w:val="bottom"/>
            <w:shd w:val="clear" w:color="auto" w:fill="CFF0FC"/>
          </w:tcPr>
          <w:p>
            <w:pPr>
              <w:spacing w:after="0"/>
              <w:rPr>
                <w:sz w:val="11"/>
                <w:szCs w:val="11"/>
                <w:color w:val="auto"/>
              </w:rPr>
            </w:pPr>
          </w:p>
        </w:tc>
        <w:tc>
          <w:tcPr>
            <w:tcW w:w="6620" w:type="dxa"/>
            <w:vAlign w:val="bottom"/>
            <w:shd w:val="clear" w:color="auto" w:fill="CFF0FC"/>
          </w:tcPr>
          <w:p>
            <w:pPr>
              <w:jc w:val="center"/>
              <w:ind w:right="1291"/>
              <w:spacing w:after="0" w:line="129" w:lineRule="exact"/>
              <w:rPr>
                <w:sz w:val="20"/>
                <w:szCs w:val="20"/>
                <w:color w:val="auto"/>
              </w:rPr>
            </w:pPr>
            <w:r>
              <w:rPr>
                <w:rFonts w:ascii="Times New Roman" w:cs="Times New Roman" w:eastAsia="Times New Roman" w:hAnsi="Times New Roman"/>
                <w:sz w:val="13"/>
                <w:szCs w:val="13"/>
                <w:b w:val="1"/>
                <w:bCs w:val="1"/>
                <w:color w:val="auto"/>
                <w:w w:val="97"/>
              </w:rPr>
              <w:t>LIABILITIES AND EQUITY</w:t>
            </w:r>
          </w:p>
        </w:tc>
        <w:tc>
          <w:tcPr>
            <w:tcW w:w="1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9,632</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15,099</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Current Portion of financing lease liabilities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11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Recourse</w:t>
            </w: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46,464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17,802</w:t>
            </w:r>
          </w:p>
        </w:tc>
        <w:tc>
          <w:tcPr>
            <w:tcW w:w="120" w:type="dxa"/>
            <w:vAlign w:val="bottom"/>
          </w:tcPr>
          <w:p>
            <w:pPr>
              <w:spacing w:after="0"/>
              <w:rPr>
                <w:sz w:val="12"/>
                <w:szCs w:val="12"/>
                <w:color w:val="auto"/>
              </w:rPr>
            </w:pPr>
          </w:p>
        </w:tc>
      </w:tr>
      <w:tr>
        <w:trPr>
          <w:trHeight w:val="149"/>
        </w:trPr>
        <w:tc>
          <w:tcPr>
            <w:tcW w:w="1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w w:val="93"/>
              </w:rPr>
              <w:t>Non-recourse</w:t>
            </w:r>
          </w:p>
        </w:tc>
        <w:tc>
          <w:tcPr>
            <w:tcW w:w="6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5,644</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29,542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25,691</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Due to SEACOR Holdings</w:t>
            </w: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Accrued wages and benefits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w:t>
            </w: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Accrued interest</w:t>
            </w:r>
          </w:p>
        </w:tc>
        <w:tc>
          <w:tcPr>
            <w:tcW w:w="6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2,887</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120" w:type="dxa"/>
            <w:vAlign w:val="bottom"/>
            <w:shd w:val="clear" w:color="auto" w:fill="CFF0FC"/>
          </w:tcPr>
          <w:p>
            <w:pPr>
              <w:spacing w:after="0"/>
              <w:rPr>
                <w:sz w:val="12"/>
                <w:szCs w:val="12"/>
                <w:color w:val="auto"/>
              </w:rPr>
            </w:pPr>
          </w:p>
        </w:tc>
      </w:tr>
      <w:tr>
        <w:trPr>
          <w:trHeight w:val="149"/>
        </w:trPr>
        <w:tc>
          <w:tcPr>
            <w:tcW w:w="7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Deferred revenue and unearned revenue</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5,327</w:t>
            </w: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Accrued capital, repair and maintenance expenditures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11,164</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15,997</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Accrued insurance deductibles and premiums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3,564</w:t>
            </w: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Derivatives</w:t>
            </w:r>
          </w:p>
        </w:tc>
        <w:tc>
          <w:tcPr>
            <w:tcW w:w="6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4,103</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3,009</w:t>
            </w:r>
          </w:p>
        </w:tc>
        <w:tc>
          <w:tcPr>
            <w:tcW w:w="120" w:type="dxa"/>
            <w:vAlign w:val="bottom"/>
            <w:shd w:val="clear" w:color="auto" w:fill="CFF0FC"/>
          </w:tcPr>
          <w:p>
            <w:pPr>
              <w:spacing w:after="0"/>
              <w:rPr>
                <w:sz w:val="12"/>
                <w:szCs w:val="12"/>
                <w:color w:val="auto"/>
              </w:rPr>
            </w:pPr>
          </w:p>
        </w:tc>
      </w:tr>
      <w:tr>
        <w:trPr>
          <w:trHeight w:val="149"/>
        </w:trPr>
        <w:tc>
          <w:tcPr>
            <w:tcW w:w="780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5,027</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5,691</w:t>
            </w:r>
          </w:p>
        </w:tc>
        <w:tc>
          <w:tcPr>
            <w:tcW w:w="120" w:type="dxa"/>
            <w:vAlign w:val="bottom"/>
            <w:tcBorders>
              <w:bottom w:val="single" w:sz="8" w:color="CFF0FC"/>
            </w:tcBorders>
          </w:tcPr>
          <w:p>
            <w:pPr>
              <w:spacing w:after="0"/>
              <w:rPr>
                <w:sz w:val="12"/>
                <w:szCs w:val="12"/>
                <w:color w:val="auto"/>
              </w:rPr>
            </w:pPr>
          </w:p>
        </w:tc>
      </w:tr>
      <w:tr>
        <w:trPr>
          <w:trHeight w:val="142"/>
        </w:trPr>
        <w:tc>
          <w:tcPr>
            <w:tcW w:w="7800" w:type="dxa"/>
            <w:vAlign w:val="bottom"/>
            <w:gridSpan w:val="2"/>
            <w:shd w:val="clear" w:color="auto" w:fill="CFF0FC"/>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121,487</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94,817</w:t>
            </w:r>
          </w:p>
        </w:tc>
        <w:tc>
          <w:tcPr>
            <w:tcW w:w="120" w:type="dxa"/>
            <w:vAlign w:val="bottom"/>
            <w:shd w:val="clear" w:color="auto" w:fill="CFF0FC"/>
          </w:tcPr>
          <w:p>
            <w:pPr>
              <w:spacing w:after="0"/>
              <w:rPr>
                <w:sz w:val="12"/>
                <w:szCs w:val="12"/>
                <w:color w:val="auto"/>
              </w:rPr>
            </w:pPr>
          </w:p>
        </w:tc>
      </w:tr>
      <w:tr>
        <w:trPr>
          <w:trHeight w:val="142"/>
        </w:trPr>
        <w:tc>
          <w:tcPr>
            <w:tcW w:w="78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Long-Term Operating Lease Liabilities</w:t>
            </w:r>
          </w:p>
        </w:tc>
        <w:tc>
          <w:tcPr>
            <w:tcW w:w="14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5,694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9,822</w:t>
            </w: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Long-Term Financing Lease Liabilities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1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Recourse</w:t>
            </w:r>
          </w:p>
        </w:tc>
        <w:tc>
          <w:tcPr>
            <w:tcW w:w="6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315,326</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239,939</w:t>
            </w:r>
          </w:p>
        </w:tc>
        <w:tc>
          <w:tcPr>
            <w:tcW w:w="120" w:type="dxa"/>
            <w:vAlign w:val="bottom"/>
            <w:shd w:val="clear" w:color="auto" w:fill="CFF0FC"/>
          </w:tcPr>
          <w:p>
            <w:pPr>
              <w:spacing w:after="0"/>
              <w:rPr>
                <w:sz w:val="12"/>
                <w:szCs w:val="12"/>
                <w:color w:val="auto"/>
              </w:rPr>
            </w:pPr>
          </w:p>
        </w:tc>
      </w:tr>
      <w:tr>
        <w:trPr>
          <w:trHeight w:val="149"/>
        </w:trPr>
        <w:tc>
          <w:tcPr>
            <w:tcW w:w="1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Non-recourse</w:t>
            </w: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137,638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140,312</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Conversion Option Liability on Convertible Senior Notes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5,205</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36,452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33,905</w:t>
            </w: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Gains and Other Liabilities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3,810</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6,269</w:t>
            </w:r>
          </w:p>
        </w:tc>
        <w:tc>
          <w:tcPr>
            <w:tcW w:w="120" w:type="dxa"/>
            <w:vAlign w:val="bottom"/>
            <w:shd w:val="clear" w:color="auto" w:fill="CFF0FC"/>
          </w:tcPr>
          <w:p>
            <w:pPr>
              <w:spacing w:after="0"/>
              <w:rPr>
                <w:sz w:val="12"/>
                <w:szCs w:val="12"/>
                <w:color w:val="auto"/>
              </w:rPr>
            </w:pPr>
          </w:p>
        </w:tc>
      </w:tr>
      <w:tr>
        <w:trPr>
          <w:trHeight w:val="142"/>
        </w:trPr>
        <w:tc>
          <w:tcPr>
            <w:tcW w:w="7800" w:type="dxa"/>
            <w:vAlign w:val="bottom"/>
            <w:tcBorders>
              <w:bottom w:val="single" w:sz="8" w:color="CFF0FC"/>
            </w:tcBorders>
            <w:gridSpan w:val="2"/>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620,521</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530,269</w:t>
            </w:r>
          </w:p>
        </w:tc>
        <w:tc>
          <w:tcPr>
            <w:tcW w:w="120" w:type="dxa"/>
            <w:vAlign w:val="bottom"/>
            <w:tcBorders>
              <w:bottom w:val="single" w:sz="8" w:color="CFF0FC"/>
            </w:tcBorders>
          </w:tcPr>
          <w:p>
            <w:pPr>
              <w:spacing w:after="0"/>
              <w:rPr>
                <w:sz w:val="12"/>
                <w:szCs w:val="12"/>
                <w:color w:val="auto"/>
              </w:rPr>
            </w:pPr>
          </w:p>
        </w:tc>
      </w:tr>
      <w:tr>
        <w:trPr>
          <w:trHeight w:val="142"/>
        </w:trPr>
        <w:tc>
          <w:tcPr>
            <w:tcW w:w="1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Equity:</w:t>
            </w:r>
          </w:p>
        </w:tc>
        <w:tc>
          <w:tcPr>
            <w:tcW w:w="6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SEACOR Marine Holdings Inc. stockholders’ equity:</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Common stock, $.01 par value, 60,000,000 shares authorized; 23,435,234 and 21,928,674 shares issued in 2020 and 2019, respectively</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20" w:type="dxa"/>
            <w:vAlign w:val="bottom"/>
            <w:shd w:val="clear" w:color="auto" w:fill="CFF0FC"/>
          </w:tcPr>
          <w:p>
            <w:pPr>
              <w:spacing w:after="0"/>
              <w:rPr>
                <w:sz w:val="12"/>
                <w:szCs w:val="12"/>
                <w:color w:val="auto"/>
              </w:rPr>
            </w:pPr>
          </w:p>
        </w:tc>
      </w:tr>
      <w:tr>
        <w:trPr>
          <w:trHeight w:val="149"/>
        </w:trPr>
        <w:tc>
          <w:tcPr>
            <w:tcW w:w="7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450,320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429,318</w:t>
            </w:r>
          </w:p>
        </w:tc>
        <w:tc>
          <w:tcPr>
            <w:tcW w:w="120" w:type="dxa"/>
            <w:vAlign w:val="bottom"/>
          </w:tcPr>
          <w:p>
            <w:pPr>
              <w:spacing w:after="0"/>
              <w:rPr>
                <w:sz w:val="12"/>
                <w:szCs w:val="12"/>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(Accumulated Deficit) Retained earnings</w:t>
            </w: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(13,023)</w:t>
            </w: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27,076</w:t>
            </w:r>
          </w:p>
        </w:tc>
        <w:tc>
          <w:tcPr>
            <w:tcW w:w="120" w:type="dxa"/>
            <w:vAlign w:val="bottom"/>
            <w:shd w:val="clear" w:color="auto" w:fill="CFF0FC"/>
          </w:tcPr>
          <w:p>
            <w:pPr>
              <w:spacing w:after="0"/>
              <w:rPr>
                <w:sz w:val="12"/>
                <w:szCs w:val="12"/>
                <w:color w:val="auto"/>
              </w:rPr>
            </w:pPr>
          </w:p>
        </w:tc>
      </w:tr>
      <w:tr>
        <w:trPr>
          <w:trHeight w:val="148"/>
        </w:trPr>
        <w:tc>
          <w:tcPr>
            <w:tcW w:w="78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Shares held in treasury of 73,284 and 47,187, respectively, at cost</w:t>
            </w:r>
          </w:p>
        </w:tc>
        <w:tc>
          <w:tcPr>
            <w:tcW w:w="140" w:type="dxa"/>
            <w:vAlign w:val="bottom"/>
          </w:tcPr>
          <w:p>
            <w:pPr>
              <w:spacing w:after="0"/>
              <w:rPr>
                <w:sz w:val="12"/>
                <w:szCs w:val="12"/>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(848)</w:t>
            </w:r>
          </w:p>
        </w:tc>
        <w:tc>
          <w:tcPr>
            <w:tcW w:w="140" w:type="dxa"/>
            <w:vAlign w:val="bottom"/>
          </w:tcPr>
          <w:p>
            <w:pPr>
              <w:spacing w:after="0"/>
              <w:rPr>
                <w:sz w:val="12"/>
                <w:szCs w:val="12"/>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(669)</w:t>
            </w:r>
          </w:p>
        </w:tc>
      </w:tr>
      <w:tr>
        <w:trPr>
          <w:trHeight w:val="149"/>
        </w:trPr>
        <w:tc>
          <w:tcPr>
            <w:tcW w:w="78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gain (loss), net of tax</w:t>
            </w: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(380)</w:t>
            </w: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20" w:type="dxa"/>
            <w:vAlign w:val="bottom"/>
            <w:shd w:val="clear" w:color="auto" w:fill="CFF0FC"/>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436,304</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457,492</w:t>
            </w:r>
          </w:p>
        </w:tc>
        <w:tc>
          <w:tcPr>
            <w:tcW w:w="120" w:type="dxa"/>
            <w:vAlign w:val="bottom"/>
          </w:tcPr>
          <w:p>
            <w:pPr>
              <w:spacing w:after="0"/>
              <w:rPr>
                <w:sz w:val="12"/>
                <w:szCs w:val="12"/>
                <w:color w:val="auto"/>
              </w:rPr>
            </w:pPr>
          </w:p>
        </w:tc>
      </w:tr>
      <w:tr>
        <w:trPr>
          <w:trHeight w:val="149"/>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21,432</w:t>
            </w:r>
          </w:p>
        </w:tc>
        <w:tc>
          <w:tcPr>
            <w:tcW w:w="120" w:type="dxa"/>
            <w:vAlign w:val="bottom"/>
            <w:shd w:val="clear" w:color="auto" w:fill="CFF0FC"/>
          </w:tcPr>
          <w:p>
            <w:pPr>
              <w:spacing w:after="0"/>
              <w:rPr>
                <w:sz w:val="12"/>
                <w:szCs w:val="12"/>
                <w:color w:val="auto"/>
              </w:rPr>
            </w:pPr>
          </w:p>
        </w:tc>
      </w:tr>
      <w:tr>
        <w:trPr>
          <w:trHeight w:val="142"/>
        </w:trPr>
        <w:tc>
          <w:tcPr>
            <w:tcW w:w="1180" w:type="dxa"/>
            <w:vAlign w:val="bottom"/>
            <w:tcBorders>
              <w:bottom w:val="single" w:sz="8" w:color="CFF0FC"/>
            </w:tcBorders>
          </w:tcPr>
          <w:p>
            <w:pPr>
              <w:ind w:left="500"/>
              <w:spacing w:after="0" w:line="142" w:lineRule="exact"/>
              <w:rPr>
                <w:sz w:val="20"/>
                <w:szCs w:val="20"/>
                <w:color w:val="auto"/>
              </w:rPr>
            </w:pPr>
            <w:r>
              <w:rPr>
                <w:rFonts w:ascii="Times New Roman" w:cs="Times New Roman" w:eastAsia="Times New Roman" w:hAnsi="Times New Roman"/>
                <w:sz w:val="13"/>
                <w:szCs w:val="13"/>
                <w:color w:val="auto"/>
              </w:rPr>
              <w:t>Total equity</w:t>
            </w:r>
          </w:p>
        </w:tc>
        <w:tc>
          <w:tcPr>
            <w:tcW w:w="66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436,654</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478,924</w:t>
            </w:r>
          </w:p>
        </w:tc>
        <w:tc>
          <w:tcPr>
            <w:tcW w:w="120" w:type="dxa"/>
            <w:vAlign w:val="bottom"/>
            <w:tcBorders>
              <w:bottom w:val="single" w:sz="8" w:color="CFF0FC"/>
            </w:tcBorders>
          </w:tcPr>
          <w:p>
            <w:pPr>
              <w:spacing w:after="0"/>
              <w:rPr>
                <w:sz w:val="12"/>
                <w:szCs w:val="12"/>
                <w:color w:val="auto"/>
              </w:rPr>
            </w:pPr>
          </w:p>
        </w:tc>
      </w:tr>
      <w:tr>
        <w:trPr>
          <w:trHeight w:val="142"/>
        </w:trPr>
        <w:tc>
          <w:tcPr>
            <w:tcW w:w="1180" w:type="dxa"/>
            <w:vAlign w:val="bottom"/>
            <w:tcBorders>
              <w:bottom w:val="single" w:sz="8" w:color="CFF0FC"/>
            </w:tcBorders>
            <w:shd w:val="clear" w:color="auto" w:fill="CFF0FC"/>
          </w:tcPr>
          <w:p>
            <w:pPr>
              <w:spacing w:after="0"/>
              <w:rPr>
                <w:sz w:val="12"/>
                <w:szCs w:val="12"/>
                <w:color w:val="auto"/>
              </w:rPr>
            </w:pPr>
          </w:p>
        </w:tc>
        <w:tc>
          <w:tcPr>
            <w:tcW w:w="66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1,057,175</w:t>
            </w:r>
          </w:p>
        </w:tc>
        <w:tc>
          <w:tcPr>
            <w:tcW w:w="3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1,009,193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 w:name="page4"/>
    <w:bookmarkEnd w:id="3"/>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SEACOR MARINE HOLDINGS INC. UNAUDITED CONDENSED CONSOLIDATED STATEMENTS OF LOSS (in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bottom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129,318</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77,661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16,613</w:t>
            </w:r>
          </w:p>
        </w:tc>
        <w:tc>
          <w:tcPr>
            <w:tcW w:w="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46,927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57,286</w:t>
            </w:r>
          </w:p>
        </w:tc>
        <w:tc>
          <w:tcPr>
            <w:tcW w:w="24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58,917</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166,220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Losses on Asset Dispositions and Impairments, Net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(15,792)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(2,719)</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8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(11,356)</w:t>
            </w: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(3,356)</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(52,694)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(42,031)</w:t>
            </w:r>
          </w:p>
        </w:tc>
        <w:tc>
          <w:tcPr>
            <w:tcW w:w="0" w:type="dxa"/>
            <w:vAlign w:val="bottom"/>
          </w:tcPr>
          <w:p>
            <w:pPr>
              <w:spacing w:after="0"/>
              <w:rPr>
                <w:sz w:val="1"/>
                <w:szCs w:val="1"/>
                <w:color w:val="auto"/>
              </w:rPr>
            </w:pPr>
          </w:p>
        </w:tc>
      </w:tr>
      <w:tr>
        <w:trPr>
          <w:trHeight w:val="20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(8,598)</w:t>
            </w: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(7,362)</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(22,659)</w:t>
            </w:r>
          </w:p>
        </w:tc>
        <w:tc>
          <w:tcPr>
            <w:tcW w:w="0" w:type="dxa"/>
            <w:vAlign w:val="bottom"/>
          </w:tcPr>
          <w:p>
            <w:pPr>
              <w:spacing w:after="0"/>
              <w:rPr>
                <w:sz w:val="1"/>
                <w:szCs w:val="1"/>
                <w:color w:val="auto"/>
              </w:rPr>
            </w:pPr>
          </w:p>
        </w:tc>
      </w:tr>
      <w:tr>
        <w:trPr>
          <w:trHeight w:val="246"/>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SEACOR Holdings guarantee fees</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40"/>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 gains, net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currency losses, net</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(853)</w:t>
            </w:r>
          </w:p>
        </w:tc>
        <w:tc>
          <w:tcPr>
            <w:tcW w:w="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(370)</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(9,407)</w:t>
            </w:r>
          </w:p>
        </w:tc>
        <w:tc>
          <w:tcPr>
            <w:tcW w:w="3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(4,384)</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(21,750)</w:t>
            </w:r>
          </w:p>
        </w:tc>
        <w:tc>
          <w:tcPr>
            <w:tcW w:w="0" w:type="dxa"/>
            <w:vAlign w:val="bottom"/>
          </w:tcPr>
          <w:p>
            <w:pPr>
              <w:spacing w:after="0"/>
              <w:rPr>
                <w:sz w:val="1"/>
                <w:szCs w:val="1"/>
                <w:color w:val="auto"/>
              </w:rPr>
            </w:pPr>
          </w:p>
        </w:tc>
      </w:tr>
      <w:tr>
        <w:trPr>
          <w:trHeight w:val="199"/>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 Tax Benefit and Equity in Earnings</w:t>
            </w: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 50% or Less Owned Companies</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(20,763)</w:t>
            </w: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(7,740)</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(70,461)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(63,781)</w:t>
            </w: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(3,119)</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(24,868)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(5,606)</w:t>
            </w:r>
          </w:p>
        </w:tc>
        <w:tc>
          <w:tcPr>
            <w:tcW w:w="0" w:type="dxa"/>
            <w:vAlign w:val="bottom"/>
          </w:tcPr>
          <w:p>
            <w:pPr>
              <w:spacing w:after="0"/>
              <w:rPr>
                <w:sz w:val="1"/>
                <w:szCs w:val="1"/>
                <w:color w:val="auto"/>
              </w:rPr>
            </w:pPr>
          </w:p>
        </w:tc>
      </w:tr>
      <w:tr>
        <w:trPr>
          <w:trHeight w:val="199"/>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 Before Equity in Earnings of 50% or Less Owned</w:t>
            </w: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Companies</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(17,644)</w:t>
            </w: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(9,017)</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(45,593)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(58,175)</w:t>
            </w: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Equity in Earnings Gains (Losses) of 50% or Less Owned Companies</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(433)</w:t>
            </w: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(1,325)</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(11,879)</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8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(18,077)</w:t>
            </w: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(10,342)</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(44,135)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(70,054)</w:t>
            </w: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Loss on Discontinued Operations, Net of Tax (see Note 15)</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(7,899)</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(6,724)</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(18,077)</w:t>
            </w: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(18,241)</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(44,135)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(76,778)</w:t>
            </w: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in Subsidiaries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(4,395)</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SEACOR Marine Holdings Inc.</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(18,081)</w:t>
            </w: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(18,445)</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(40,099)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(72,383)</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Loss Per Common Share and Warrants of SEACOR Marine</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Holdings Inc.</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(0.72)</w:t>
            </w: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(0.44)</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840" w:type="dxa"/>
            <w:vAlign w:val="bottom"/>
          </w:tcPr>
          <w:p>
            <w:pPr>
              <w:spacing w:after="0"/>
              <w:rPr>
                <w:sz w:val="24"/>
                <w:szCs w:val="24"/>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(0.72)</w:t>
            </w:r>
          </w:p>
        </w:tc>
        <w:tc>
          <w:tcPr>
            <w:tcW w:w="38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(0.78)</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27"/>
        </w:trPr>
        <w:tc>
          <w:tcPr>
            <w:tcW w:w="5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and Warrants Outstanding: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Basic and diluted shares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24,989,977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23,740,718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24,611,666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23,406,759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COMPREHENSIVE LOSS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240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58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Borders>
              <w:bottom w:val="single" w:sz="8" w:color="CFF0FC"/>
            </w:tcBorders>
          </w:tcPr>
          <w:p>
            <w:pPr>
              <w:spacing w:after="0"/>
              <w:rPr>
                <w:sz w:val="18"/>
                <w:szCs w:val="18"/>
                <w:color w:val="auto"/>
              </w:rPr>
            </w:pPr>
          </w:p>
        </w:tc>
      </w:tr>
      <w:tr>
        <w:trPr>
          <w:trHeight w:val="21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(18,241)</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(44,135)</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(76,778)</w:t>
            </w:r>
          </w:p>
        </w:tc>
        <w:tc>
          <w:tcPr>
            <w:tcW w:w="120" w:type="dxa"/>
            <w:vAlign w:val="bottom"/>
            <w:shd w:val="clear" w:color="auto" w:fill="CFF0FC"/>
          </w:tcPr>
          <w:p>
            <w:pPr>
              <w:spacing w:after="0"/>
              <w:rPr>
                <w:sz w:val="18"/>
                <w:szCs w:val="18"/>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gains (losses)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(1,626)</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(385)</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(1,902)</w:t>
            </w: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Derivative losses on cash flow hedges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(2,263)</w:t>
            </w: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Reclassification of derivative losses on cash flow hedges to interest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FF0FC"/>
          </w:tcPr>
          <w:p>
            <w:pPr>
              <w:spacing w:after="0"/>
              <w:rPr>
                <w:sz w:val="19"/>
                <w:szCs w:val="19"/>
                <w:color w:val="auto"/>
              </w:rPr>
            </w:pPr>
          </w:p>
        </w:tc>
      </w:tr>
      <w:tr>
        <w:trPr>
          <w:trHeight w:val="202"/>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Reclassification of derivative losses on cash flow hedges to equity in earnings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50% or less owned companies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(282)</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(682)</w:t>
            </w:r>
          </w:p>
        </w:tc>
      </w:tr>
      <w:tr>
        <w:trPr>
          <w:trHeight w:val="212"/>
        </w:trPr>
        <w:tc>
          <w:tcPr>
            <w:tcW w:w="58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Tax Benefit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8"/>
                <w:szCs w:val="18"/>
                <w:color w:val="auto"/>
              </w:rPr>
            </w:pPr>
          </w:p>
        </w:tc>
      </w:tr>
      <w:tr>
        <w:trPr>
          <w:trHeight w:val="212"/>
        </w:trPr>
        <w:tc>
          <w:tcPr>
            <w:tcW w:w="58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(15,916)</w:t>
            </w:r>
          </w:p>
        </w:tc>
        <w:tc>
          <w:tcPr>
            <w:tcW w:w="2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(20,190)</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(46,063)</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(81,095)</w:t>
            </w:r>
          </w:p>
        </w:tc>
        <w:tc>
          <w:tcPr>
            <w:tcW w:w="120" w:type="dxa"/>
            <w:vAlign w:val="bottom"/>
            <w:tcBorders>
              <w:bottom w:val="single" w:sz="8" w:color="CFF0FC"/>
            </w:tcBorders>
          </w:tcPr>
          <w:p>
            <w:pPr>
              <w:spacing w:after="0"/>
              <w:rPr>
                <w:sz w:val="17"/>
                <w:szCs w:val="17"/>
                <w:color w:val="auto"/>
              </w:rPr>
            </w:pPr>
          </w:p>
        </w:tc>
      </w:tr>
      <w:tr>
        <w:trPr>
          <w:trHeight w:val="198"/>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 in</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Subsidiaries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(4,036)</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(4,395)</w:t>
            </w:r>
          </w:p>
        </w:tc>
      </w:t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attributable to SEACOR Marine Holdings Inc.</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(15,920)</w:t>
            </w:r>
          </w:p>
        </w:tc>
        <w:tc>
          <w:tcPr>
            <w:tcW w:w="24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(20,394)</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(76,700)</w:t>
            </w:r>
          </w:p>
        </w:tc>
        <w:tc>
          <w:tcPr>
            <w:tcW w:w="120" w:type="dxa"/>
            <w:vAlign w:val="bottom"/>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 OF CHANGES IN EQUITY</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Shares of</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Additional</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Accumulated</w:t>
            </w:r>
          </w:p>
        </w:tc>
        <w:tc>
          <w:tcPr>
            <w:tcW w:w="14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i w:val="1"/>
                <w:iCs w:val="1"/>
                <w:color w:val="auto"/>
              </w:rPr>
              <w:t>Non-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w:t>
            </w:r>
          </w:p>
        </w:tc>
        <w:tc>
          <w:tcPr>
            <w:tcW w:w="100" w:type="dxa"/>
            <w:vAlign w:val="bottom"/>
          </w:tcPr>
          <w:p>
            <w:pPr>
              <w:spacing w:after="0"/>
              <w:rPr>
                <w:sz w:val="12"/>
                <w:szCs w:val="12"/>
                <w:color w:val="auto"/>
              </w:rPr>
            </w:pPr>
          </w:p>
        </w:tc>
        <w:tc>
          <w:tcPr>
            <w:tcW w:w="64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i w:val="1"/>
                <w:iCs w:val="1"/>
                <w:color w:val="auto"/>
                <w:w w:val="98"/>
              </w:rPr>
              <w:t>Common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w:t>
            </w:r>
          </w:p>
        </w:tc>
        <w:tc>
          <w:tcPr>
            <w:tcW w:w="80" w:type="dxa"/>
            <w:vAlign w:val="bottom"/>
          </w:tcPr>
          <w:p>
            <w:pPr>
              <w:spacing w:after="0"/>
              <w:rPr>
                <w:sz w:val="12"/>
                <w:szCs w:val="12"/>
                <w:color w:val="auto"/>
              </w:rPr>
            </w:pPr>
          </w:p>
        </w:tc>
        <w:tc>
          <w:tcPr>
            <w:tcW w:w="8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i w:val="1"/>
                <w:iCs w:val="1"/>
                <w:color w:val="auto"/>
              </w:rPr>
              <w:t>Retained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Other</w:t>
            </w:r>
          </w:p>
        </w:tc>
        <w:tc>
          <w:tcPr>
            <w:tcW w:w="8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Paid-In</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Held in</w:t>
            </w: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Comprehensive</w:t>
            </w:r>
          </w:p>
        </w:tc>
        <w:tc>
          <w:tcPr>
            <w:tcW w:w="8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Interests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Outstanding</w:t>
            </w:r>
          </w:p>
        </w:tc>
        <w:tc>
          <w:tcPr>
            <w:tcW w:w="100" w:type="dxa"/>
            <w:vAlign w:val="bottom"/>
          </w:tcPr>
          <w:p>
            <w:pPr>
              <w:spacing w:after="0"/>
              <w:rPr>
                <w:sz w:val="15"/>
                <w:szCs w:val="15"/>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Capital</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Treasury</w:t>
            </w:r>
          </w:p>
        </w:tc>
        <w:tc>
          <w:tcPr>
            <w:tcW w:w="100" w:type="dxa"/>
            <w:vAlign w:val="bottom"/>
          </w:tcPr>
          <w:p>
            <w:pPr>
              <w:spacing w:after="0"/>
              <w:rPr>
                <w:sz w:val="15"/>
                <w:szCs w:val="15"/>
                <w:color w:val="auto"/>
              </w:rPr>
            </w:pPr>
          </w:p>
        </w:tc>
        <w:tc>
          <w:tcPr>
            <w:tcW w:w="6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80" w:type="dxa"/>
            <w:vAlign w:val="bottom"/>
          </w:tcPr>
          <w:p>
            <w:pPr>
              <w:spacing w:after="0"/>
              <w:rPr>
                <w:sz w:val="15"/>
                <w:szCs w:val="15"/>
                <w:color w:val="auto"/>
              </w:rPr>
            </w:pP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i w:val="1"/>
                <w:iCs w:val="1"/>
                <w:color w:val="auto"/>
              </w:rPr>
              <w:t>Earnings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i w:val="1"/>
                <w:iCs w:val="1"/>
                <w:color w:val="auto"/>
              </w:rPr>
              <w:t>Loss</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i w:val="1"/>
                <w:iCs w:val="1"/>
                <w:color w:val="auto"/>
              </w:rPr>
              <w:t>Equity</w:t>
            </w:r>
          </w:p>
        </w:tc>
        <w:tc>
          <w:tcPr>
            <w:tcW w:w="0" w:type="dxa"/>
            <w:vAlign w:val="bottom"/>
          </w:tcPr>
          <w:p>
            <w:pPr>
              <w:spacing w:after="0"/>
              <w:rPr>
                <w:sz w:val="1"/>
                <w:szCs w:val="1"/>
                <w:color w:val="auto"/>
              </w:rPr>
            </w:pPr>
          </w:p>
        </w:tc>
      </w:tr>
      <w:tr>
        <w:trPr>
          <w:trHeight w:val="194"/>
        </w:trPr>
        <w:tc>
          <w:tcPr>
            <w:tcW w:w="25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21,881,487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429,318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Forfeiture of employee share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awards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(8,182)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289,452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employee share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awards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Warrants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338,320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Restricted stock vesting</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(25,743)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Director share awards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of consolidated joint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venture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13,689</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(3,357)</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(40,099)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(44,135)</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(1,928)</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(1,928)</w:t>
            </w:r>
          </w:p>
        </w:tc>
        <w:tc>
          <w:tcPr>
            <w:tcW w:w="0" w:type="dxa"/>
            <w:vAlign w:val="bottom"/>
          </w:tcPr>
          <w:p>
            <w:pPr>
              <w:spacing w:after="0"/>
              <w:rPr>
                <w:sz w:val="1"/>
                <w:szCs w:val="1"/>
                <w:color w:val="auto"/>
              </w:rPr>
            </w:pPr>
          </w:p>
        </w:tc>
      </w:tr>
      <w:tr>
        <w:trPr>
          <w:trHeight w:val="209"/>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23,435,234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450,320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73,284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436,654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2020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23,096,914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449,116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(847)</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(2,541)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warrants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338,320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employee share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awards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(18,077)</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23,435,234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450,320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73,284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436,654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 OF CHANGES IN EQUITY</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Shares of</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Additional</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Accumulated</w:t>
            </w:r>
          </w:p>
        </w:tc>
        <w:tc>
          <w:tcPr>
            <w:tcW w:w="14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i w:val="1"/>
                <w:iCs w:val="1"/>
                <w:color w:val="auto"/>
              </w:rPr>
              <w:t>Non-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Common</w:t>
            </w:r>
          </w:p>
        </w:tc>
        <w:tc>
          <w:tcPr>
            <w:tcW w:w="100" w:type="dxa"/>
            <w:vAlign w:val="bottom"/>
          </w:tcPr>
          <w:p>
            <w:pPr>
              <w:spacing w:after="0"/>
              <w:rPr>
                <w:sz w:val="12"/>
                <w:szCs w:val="12"/>
                <w:color w:val="auto"/>
              </w:rPr>
            </w:pPr>
          </w:p>
        </w:tc>
        <w:tc>
          <w:tcPr>
            <w:tcW w:w="64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i w:val="1"/>
                <w:iCs w:val="1"/>
                <w:color w:val="auto"/>
                <w:w w:val="98"/>
              </w:rPr>
              <w:t>Common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w:t>
            </w:r>
          </w:p>
        </w:tc>
        <w:tc>
          <w:tcPr>
            <w:tcW w:w="8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rPr>
              <w:t>Retained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Other</w:t>
            </w:r>
          </w:p>
        </w:tc>
        <w:tc>
          <w:tcPr>
            <w:tcW w:w="8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Paid-In</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Held in</w:t>
            </w: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Comprehensive</w:t>
            </w:r>
          </w:p>
        </w:tc>
        <w:tc>
          <w:tcPr>
            <w:tcW w:w="8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Interests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Outstanding</w:t>
            </w:r>
          </w:p>
        </w:tc>
        <w:tc>
          <w:tcPr>
            <w:tcW w:w="100" w:type="dxa"/>
            <w:vAlign w:val="bottom"/>
          </w:tcPr>
          <w:p>
            <w:pPr>
              <w:spacing w:after="0"/>
              <w:rPr>
                <w:sz w:val="15"/>
                <w:szCs w:val="15"/>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Capital</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Treasury</w:t>
            </w:r>
          </w:p>
        </w:tc>
        <w:tc>
          <w:tcPr>
            <w:tcW w:w="100" w:type="dxa"/>
            <w:vAlign w:val="bottom"/>
          </w:tcPr>
          <w:p>
            <w:pPr>
              <w:spacing w:after="0"/>
              <w:rPr>
                <w:sz w:val="15"/>
                <w:szCs w:val="15"/>
                <w:color w:val="auto"/>
              </w:rPr>
            </w:pPr>
          </w:p>
        </w:tc>
        <w:tc>
          <w:tcPr>
            <w:tcW w:w="6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rPr>
              <w:t>Earnings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i w:val="1"/>
                <w:iCs w:val="1"/>
                <w:color w:val="auto"/>
              </w:rPr>
              <w:t>Loss</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i w:val="1"/>
                <w:iCs w:val="1"/>
                <w:color w:val="auto"/>
              </w:rPr>
              <w:t>Equity</w:t>
            </w:r>
          </w:p>
        </w:tc>
        <w:tc>
          <w:tcPr>
            <w:tcW w:w="0" w:type="dxa"/>
            <w:vAlign w:val="bottom"/>
          </w:tcPr>
          <w:p>
            <w:pPr>
              <w:spacing w:after="0"/>
              <w:rPr>
                <w:sz w:val="1"/>
                <w:szCs w:val="1"/>
                <w:color w:val="auto"/>
              </w:rPr>
            </w:pPr>
          </w:p>
        </w:tc>
      </w:tr>
      <w:tr>
        <w:trPr>
          <w:trHeight w:val="194"/>
        </w:trPr>
        <w:tc>
          <w:tcPr>
            <w:tcW w:w="25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20,439,208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415,372</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126,834</w:t>
            </w:r>
          </w:p>
        </w:tc>
        <w:tc>
          <w:tcPr>
            <w:tcW w:w="14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(16,788)</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Impact of adoption of new</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accounting standard for leases</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20,439,208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415,372</w:t>
            </w:r>
          </w:p>
        </w:tc>
        <w:tc>
          <w:tcPr>
            <w:tcW w:w="2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(16,788)</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Restricted stock grants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employee share</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awards</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Exercise of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Warrants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444,391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Restricted stock vesting</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(38,448)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Director share awards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Forfeiture of employee share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awards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Acquisition of consolidated joint</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venture</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(2,114)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(2,114)</w:t>
            </w:r>
          </w:p>
        </w:tc>
        <w:tc>
          <w:tcPr>
            <w:tcW w:w="0" w:type="dxa"/>
            <w:vAlign w:val="bottom"/>
          </w:tcPr>
          <w:p>
            <w:pPr>
              <w:spacing w:after="0"/>
              <w:rPr>
                <w:sz w:val="1"/>
                <w:szCs w:val="1"/>
                <w:color w:val="auto"/>
              </w:rPr>
            </w:pPr>
          </w:p>
        </w:tc>
      </w:tr>
      <w:tr>
        <w:trPr>
          <w:trHeight w:val="240"/>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Dissolution of an entity</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(72,383)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(4,395)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(76,778)</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(4,317)</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(4,317)</w:t>
            </w:r>
          </w:p>
        </w:tc>
        <w:tc>
          <w:tcPr>
            <w:tcW w:w="0" w:type="dxa"/>
            <w:vAlign w:val="bottom"/>
          </w:tcPr>
          <w:p>
            <w:pPr>
              <w:spacing w:after="0"/>
              <w:rPr>
                <w:sz w:val="1"/>
                <w:szCs w:val="1"/>
                <w:color w:val="auto"/>
              </w:rPr>
            </w:pPr>
          </w:p>
        </w:tc>
      </w:tr>
      <w:tr>
        <w:trPr>
          <w:trHeight w:val="209"/>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21,826,214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427,823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64,929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22,895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494,147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21,765,331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424,549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25,643</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83,312</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(19,156)</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22,691</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employee share</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awards</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Exercise of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Restricted stock vesting</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(16,861)</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Dissolution of an entity</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(18,445)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(18,241)</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(1,949)</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(1,949)</w:t>
            </w:r>
          </w:p>
        </w:tc>
        <w:tc>
          <w:tcPr>
            <w:tcW w:w="0" w:type="dxa"/>
            <w:vAlign w:val="bottom"/>
          </w:tcPr>
          <w:p>
            <w:pPr>
              <w:spacing w:after="0"/>
              <w:rPr>
                <w:sz w:val="1"/>
                <w:szCs w:val="1"/>
                <w:color w:val="auto"/>
              </w:rPr>
            </w:pPr>
          </w:p>
        </w:tc>
      </w:tr>
      <w:tr>
        <w:trPr>
          <w:trHeight w:val="209"/>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21,826,214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427,823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2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64,929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22,895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494,147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6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Flows from Continuing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(44,135)</w:t>
            </w:r>
          </w:p>
        </w:tc>
        <w:tc>
          <w:tcPr>
            <w:tcW w:w="980" w:type="dxa"/>
            <w:vAlign w:val="bottom"/>
          </w:tcPr>
          <w:p>
            <w:pPr>
              <w:jc w:val="right"/>
              <w:ind w:right="85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(77,138)</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46,927</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financing costs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employee share awards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Restricted stock vesting</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(178)</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Director share awards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Debt discount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Bad debt recoveries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Loss from equipment sales, retirements or impairments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15,792</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from sale of Boston Putford Offshore Safety</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Derivative gains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(5,204)</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settlement payments on derivative transactions, net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(938)</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Currency losses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(9,840)</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Equity losses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(1,458)</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received from equity investees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(37,670)</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(2,198)</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(16,255)</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Borders>
              <w:top w:val="single" w:sz="8" w:color="CFF0FC"/>
            </w:tcBorders>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(21,050)</w:t>
            </w:r>
          </w:p>
        </w:tc>
        <w:tc>
          <w:tcPr>
            <w:tcW w:w="4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(818)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Flows from Continuing Investing Activities: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(24,940)</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(49,566)</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disposition of property and equipment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20,674</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Construction reserve funds utilized</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9,148</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Construction reserve funds transferred to short-term cash</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 of subsidiary from joint venture</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(8,445)</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Investments in and advances to 50% or less owned companies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(1,208)</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(11,355)</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Capital distributions from equity investees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Principal payments on notes due from equity investees</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4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(536)</w:t>
            </w:r>
          </w:p>
        </w:tc>
        <w:tc>
          <w:tcPr>
            <w:tcW w:w="42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(30,821)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Flows from Continuing Financing Activities: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Payments on long-term debt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(16,970)</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(20,075)</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 of subsidiary shares from noncontrolling interests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(3,392)</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Proceeds from exercise of stock options and Warrants</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(15,879)</w:t>
            </w:r>
          </w:p>
        </w:tc>
        <w:tc>
          <w:tcPr>
            <w:tcW w:w="42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(22,383)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(1,051)</w:t>
            </w:r>
          </w:p>
        </w:tc>
        <w:tc>
          <w:tcPr>
            <w:tcW w:w="4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Decrease in Cash, Restricted Cash and Cash Equivalents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(38,516)</w:t>
            </w: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(52,004)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Discontinued Operations: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Operating Activities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Investing Activities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Effects of Exchange Rate Changes on Cash, Restricted Cash and Cash Equivalents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rPr>
              <w:t>Net Decrease in Cash, Restricted Cash and Cash Equivalents on Discontinued Operations</w:t>
            </w:r>
          </w:p>
        </w:tc>
        <w:tc>
          <w:tcPr>
            <w:tcW w:w="10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Decrease in Cash, Restricted Cash and Cash Equivalents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(38,516)</w:t>
            </w: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(52,462)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Cash, Restricted Cash and Cash Equivalents, Beginning of Period</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87,047</w:t>
            </w:r>
          </w:p>
        </w:tc>
        <w:tc>
          <w:tcPr>
            <w:tcW w:w="4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96,852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Restricted Cash and Cash Equivalents, End of Period</w:t>
            </w:r>
          </w:p>
        </w:tc>
        <w:tc>
          <w:tcPr>
            <w:tcW w:w="1000" w:type="dxa"/>
            <w:vAlign w:val="bottom"/>
            <w:tcBorders>
              <w:bottom w:val="single" w:sz="8" w:color="auto"/>
            </w:tcBorders>
            <w:shd w:val="clear" w:color="auto" w:fill="CFF0FC"/>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48,531</w:t>
            </w:r>
          </w:p>
        </w:tc>
        <w:tc>
          <w:tcPr>
            <w:tcW w:w="42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85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44,390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Cash paid for interest, including capitalized interest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(16,080)</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(17,397)</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taxes refunded, net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Increase in property, plant and equipment related to an acquisition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142,282</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Decrease in joint venture investments related to an acquisition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22,222</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Increase in long-term debt related to an acquisition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75,569</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Increase in long-term debt related to asset purchases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21,252</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(Decrease) Increase in capital expenditures in accounts payable and accrued liabilities</w:t>
            </w:r>
          </w:p>
        </w:tc>
        <w:tc>
          <w:tcPr>
            <w:tcW w:w="100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(5,444)</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center"/>
        <w:spacing w:after="0" w:line="248" w:lineRule="auto"/>
        <w:rPr>
          <w:sz w:val="20"/>
          <w:szCs w:val="20"/>
          <w:color w:val="auto"/>
        </w:rPr>
      </w:pPr>
      <w:r>
        <w:rPr>
          <w:rFonts w:ascii="Times New Roman" w:cs="Times New Roman" w:eastAsia="Times New Roman" w:hAnsi="Times New Roman"/>
          <w:sz w:val="22"/>
          <w:szCs w:val="22"/>
          <w:b w:val="1"/>
          <w:bCs w:val="1"/>
          <w:color w:val="auto"/>
        </w:rPr>
        <w:t>SEACOR MARINE HOLDINGS INC. NOTES TO CONDENSED CONSOLIDATED FINANCIAL STATEMENTS (unaudited)</w:t>
      </w:r>
    </w:p>
    <w:p>
      <w:pPr>
        <w:spacing w:after="0" w:line="382"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BASIS OF PRESENTATION AND ACCOUNTING POLICIES</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5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Certain information and footnote disclosures normally included in financial statements prepared in accordance with generally accepted accounting principles in the United States have been condensed or omitted. These condensed consolidated financial statements should be read in conjunction with the Company’s financial statements and related notes thereto included in the Company’s Annual Report on Form 10-K for the year ended December 31, 2019 (the “2019 Annual Report”).</w:t>
      </w:r>
    </w:p>
    <w:p>
      <w:pPr>
        <w:spacing w:after="0" w:line="14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3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outbreak of the novel coronavirus (“COVID-19”) and related significant disruptions and volatility in the global economy and marketplace during the first three quarters of 2020 have caused decreases in commodity prices resulting from oversupply and demand weakness. There remains continuing uncertainty regarding the length and severity of the impact of COVID-19 on the energy industry and the outlook for the Company’s business. While the global marketplace has shown signs of stabilizing, recent rises in infection rates may lead to additional uncertainty and volatility. The decrease in oil and natural gas prices stemming from the effects COVID-19 has had on the global economy has led to a decrease in the demand for the Company’s products and services, and a prolonged period of severely depressed oil and natural gas prices compared to historic averages could have a material adverse effect on the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Recently Adopted Accounting Standards.</w:t>
      </w:r>
    </w:p>
    <w:p>
      <w:pPr>
        <w:spacing w:after="0" w:line="17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On June 30, 2016, the Financial Accounting Standards Board (“FASB”) issued Accounting Standards Update (“ASU”) No. 2016-13, Financial Instruments-Credit Losses (Topic 326). This ASU represents a significant change in the Accounting for Credit Losses model. This ASU introduced the Current Expected Credit Losses (“CECL”) model, which requires earlier recognition of credit losses and additional disclosures related to credit risk. The CECL model utilizes a lifetime expected credit loss measurement objective for the recognition of credit losses for loans and other receivables at the time the financial asset is originated or acquired. The expected credit losses are adjusted each period for changes in expected lifetime credit losses. The CECL model replaces the multiple existing impairment models in current U.S. generally accepted accounting principles (“GAAP”), which generally require that a loss be incurred before it is recognized. The standard applies to financial assets arising from revenue transactions such as contract assets and accounts receivables and was effective for fiscal years beginning after December 15, 2019. The adoption of the standard by the Company did not have a material impact on its consolidated financial position nor on its results of operations and cash flows.</w:t>
      </w:r>
    </w:p>
    <w:p>
      <w:pPr>
        <w:spacing w:after="0" w:line="14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On August 29, 2018, the FASB issued ASU No. 2018-15, which requires implementation costs incurred by customers in cloud computing arrangements to be deferred and recognized over the term of the arrangement, if those costs would be capitalized by the customers in a software licensing arrangement. The guidance was effective for fiscal years, and interim periods within those fiscal years, beginning after December 15, 2019, with early adoption permitted. The adoption of the standard by the Company did not have a material impact on its consolidated financial position nor on its results of operations and cash flows.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August 2018, the FASB issued ASU 2018-13, Fair Value Measurement (Topic 820). The ASU eliminates certain disclosures as to the amount of and reasons for transfers between Level 1 and Level 2 of the fair value hierarchy. The ASU also adds disclosure requirements for Level 3 measurements. This ASU was effective for fiscal years beginning after December 15, 2019, and interim periods within those fiscal years, with early adoption permitted for any eliminated or modified disclosures. The adoption of the standard by the Company did not have a material impact on the Company’s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Recently Issued Accounting Standards</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On December 18, 2019, the FASB issued ASU 2019-12, Income Taxes (Topic 740): Simplifying the Accounting for Income Taxes. The guidance is effective for fiscal years, and interim periods within those fiscal years, beginning after December 15, 2020. The Company does not expect that adoption of the standard will have a material impact on its consolidated financial position nor on its results of operations and cash flows.</w:t>
      </w:r>
    </w:p>
    <w:p>
      <w:pPr>
        <w:spacing w:after="0" w:line="14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On August 5, 2020, the FASB issued ASU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guidance is effective for fiscal years, and interim periods within those fiscal years, beginning after December 15, 2021. The Company has not yet determined the impact that the adoption of the standard will have on the Company’s consolidated financial position, results of operations and disclosures.</w:t>
      </w:r>
    </w:p>
    <w:p>
      <w:pPr>
        <w:spacing w:after="0" w:line="15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On March 12, 2020, the FASB issued ASU 2020-03, Reference Rate Reform (Topic 848): Facilitation of the Effects of Reference Rate Reform on Financial Reporting, the ASU provides temporary optional guidance to ease the potential burden in accounting for reference rate reform.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ASU is intended to help stakeholders during the global market-wide reference rate transition period. Therefore, it will be in effect for a limited time through December 31, 2022. As of September 30, 2020, the reference rates for the Company’s existing debt and interest rate swaps have not changed as a result of any such amendment. The Company will continue to monitor changes to reference rates in applicable agreements and adopt the standard as needed.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Critical Accounting Policies.</w:t>
      </w:r>
    </w:p>
    <w:p>
      <w:pPr>
        <w:spacing w:after="0" w:line="16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Basis of Consolidation. </w:t>
      </w:r>
      <w:r>
        <w:rPr>
          <w:rFonts w:ascii="Times New Roman" w:cs="Times New Roman" w:eastAsia="Times New Roman" w:hAnsi="Times New Roman"/>
          <w:sz w:val="22"/>
          <w:szCs w:val="22"/>
          <w:color w:val="auto"/>
        </w:rPr>
        <w:t>The consolidated financial statements include the accounts of SEACOR Marine and 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controlled subsidiaries. Control is generally deemed to exist if the Company has greater than 50% of the voting rights of a subsidiary. All significant intercompany accounts and transactions are eliminated in the combination and consolidation.</w:t>
      </w:r>
    </w:p>
    <w:p>
      <w:pPr>
        <w:spacing w:after="0" w:line="14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the acquisition of controlling interests by the Company, any previous noncontrolled equity investment in the subsidiary is measured at fair value and a gain or loss is recognized in net income (loss) based on such fair value.</w:t>
      </w:r>
    </w:p>
    <w:p>
      <w:pPr>
        <w:spacing w:after="0" w:line="13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21"/>
          <w:szCs w:val="21"/>
          <w:color w:val="auto"/>
        </w:rPr>
        <w:t>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net income (loss) as equity in earnings (losses) of 50% or less owned companies, net of tax.</w:t>
      </w:r>
    </w:p>
    <w:p>
      <w:pPr>
        <w:spacing w:after="0" w:line="13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employs the cost method of accounting for investments in 50% or less owned companies it does not control or exercise significant influence. These investments in private companies are carried at cost and are adjusted only for capital distributions and other-than-temporary declines in fair value.</w:t>
      </w:r>
    </w:p>
    <w:p>
      <w:pPr>
        <w:spacing w:after="0" w:line="13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Certain reclassifications were made to previously reported amounts in the consolidated financial statements and notes thereto to make them consistent with the current period presentation.</w:t>
      </w:r>
    </w:p>
    <w:p>
      <w:pPr>
        <w:spacing w:after="0" w:line="11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Use of Estimates. </w:t>
      </w:r>
      <w:r>
        <w:rPr>
          <w:rFonts w:ascii="Times New Roman" w:cs="Times New Roman" w:eastAsia="Times New Roman" w:hAnsi="Times New Roman"/>
          <w:sz w:val="22"/>
          <w:szCs w:val="22"/>
          <w:color w:val="auto"/>
        </w:rPr>
        <w:t>The preparation of financial statements in conformity with accounting principles generally accepted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4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Revenue Recognition</w:t>
      </w:r>
      <w:r>
        <w:rPr>
          <w:rFonts w:ascii="Times New Roman" w:cs="Times New Roman" w:eastAsia="Times New Roman" w:hAnsi="Times New Roman"/>
          <w:sz w:val="22"/>
          <w:szCs w:val="22"/>
          <w:color w:val="auto"/>
        </w:rPr>
        <w:t>. Revenue is recognized when (or as) the Company transfers promised goods or services to 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Costs to obtain or fulfill a contract are expensed as incurred.</w:t>
      </w:r>
    </w:p>
    <w:p>
      <w:pPr>
        <w:spacing w:after="0" w:line="13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w:t>
      </w:r>
    </w:p>
    <w:p>
      <w:pPr>
        <w:spacing w:after="0" w:line="13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5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1" w:name="page12"/>
    <w:bookmarkEnd w:id="11"/>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Revenue that does not meet these criteria is deferred until the criteria is met and such revenue is considered a contract liability and is recognized as such. Contract liabilities, which are included in other current liabilities in the accompanying consolidated balance sheets, for the nine months ended September 30, 2020 and September 30, 2019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r>
      <w:tr>
        <w:trPr>
          <w:trHeight w:val="213"/>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4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4,786</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Revenues deferred during the period</w:t>
            </w:r>
          </w:p>
        </w:tc>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120" w:type="dxa"/>
            <w:vAlign w:val="bottom"/>
          </w:tcPr>
          <w:p>
            <w:pPr>
              <w:spacing w:after="0"/>
              <w:rPr>
                <w:sz w:val="18"/>
                <w:szCs w:val="18"/>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Revenues recognized during the period</w:t>
            </w:r>
          </w:p>
        </w:tc>
        <w:tc>
          <w:tcPr>
            <w:tcW w:w="2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(2,805)</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(3,046)</w:t>
            </w:r>
          </w:p>
        </w:tc>
      </w:tr>
      <w:tr>
        <w:trPr>
          <w:trHeight w:val="207"/>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24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2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As of September 30, 2020, the Company had deferred revenues of $2.1 million primarily related to $1.2 million of prepaid vessel management fees, and $0.9 million related to the time charter of offshore support vessels to customers from which collections were not reasonably assured.</w:t>
      </w:r>
    </w:p>
    <w:p>
      <w:pPr>
        <w:spacing w:after="0" w:line="14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Cash and Cash Equivalents. </w:t>
      </w:r>
      <w:r>
        <w:rPr>
          <w:rFonts w:ascii="Times New Roman" w:cs="Times New Roman" w:eastAsia="Times New Roman" w:hAnsi="Times New Roman"/>
          <w:sz w:val="22"/>
          <w:szCs w:val="22"/>
          <w:color w:val="auto"/>
        </w:rPr>
        <w:t>The Company considers all highly liquid investments, with an original maturity of three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months or less, when purchased, to be cash equivalents. Cash from current construction reserve funds (“CRF”) is also classified as cash and cash equivalents. The balance in the current CRF at September 30, 2020 was $4.2 million.</w:t>
      </w:r>
    </w:p>
    <w:p>
      <w:pPr>
        <w:spacing w:after="0" w:line="12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Property and Equipment. </w:t>
      </w:r>
      <w:r>
        <w:rPr>
          <w:rFonts w:ascii="Times New Roman" w:cs="Times New Roman" w:eastAsia="Times New Roman" w:hAnsi="Times New Roman"/>
          <w:sz w:val="22"/>
          <w:szCs w:val="22"/>
          <w:color w:val="auto"/>
        </w:rPr>
        <w:t>Equipment, stated at cost, is depreciated using the straight-line method over the estimated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of September 30, 2020, the estimated useful life (in years) of each of the Company’s major categories of new equipment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Offshore Support Vessels:</w:t>
            </w:r>
          </w:p>
        </w:tc>
        <w:tc>
          <w:tcPr>
            <w:tcW w:w="356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Crew transfer vessels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offshore support vessels (excluding crew transfer)</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8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Certain interest costs incurred during the construction of equipment are capitalized as part of the assets’ carrying values and are amortized over such assets estimated useful lives. During the three and nine months ended September 30, 2020, capitalized interest totaled $0.3 million and $0.7 million, respectively.</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Impairment of Long-Lived Assets. </w:t>
      </w:r>
      <w:r>
        <w:rPr>
          <w:rFonts w:ascii="Times New Roman" w:cs="Times New Roman" w:eastAsia="Times New Roman" w:hAnsi="Times New Roman"/>
          <w:sz w:val="22"/>
          <w:szCs w:val="22"/>
          <w:color w:val="auto"/>
        </w:rPr>
        <w:t>The Company performs an impairment analysis of long-lived assets used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operations, 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Market conditions caused by COVID-19, including the decrease in oil and natural gas prices as well as the affect the pandemic has had on SEACOR Marine’s stock price, caused a triggering event to occur requiring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2" w:name="page13"/>
    <w:bookmarkEnd w:id="12"/>
    <w:p>
      <w:pPr>
        <w:jc w:val="both"/>
        <w:spacing w:after="0" w:line="234" w:lineRule="auto"/>
        <w:rPr>
          <w:sz w:val="20"/>
          <w:szCs w:val="20"/>
          <w:color w:val="auto"/>
        </w:rPr>
      </w:pPr>
      <w:r>
        <w:rPr>
          <w:rFonts w:ascii="Times New Roman" w:cs="Times New Roman" w:eastAsia="Times New Roman" w:hAnsi="Times New Roman"/>
          <w:sz w:val="22"/>
          <w:szCs w:val="22"/>
          <w:color w:val="auto"/>
        </w:rPr>
        <w:t>Company to test its assets for impairment. For the nine months ended September 30, 2020, the Company impaired the right-to-use assets on two of its leased liftboats. Based on the current market environment, it was determined that neither of these two vessels would return to active service during their remaining lease terms. Therefore, the Company recorded an impairment of $7.4 million in total for these two leased-in vessels. The Company also recorded a partial impairment on four liftboats for an aggregate of $3.9 million based on outside valuations of its remaining liftboat fleet. Estimated fair values for the Company’s owned vessels were established by independent appraisers based on researched market information, replacement cost information, and other data. If market conditions further decline from the depressed utilization and rates per day worked experienced over the last three years, fair values based on future appraisals could decline significantly. In addition, the Company further impaired one specialty vessel for $1.2 million due to a reduced sales price for the vessel. There were no other impairments of right-to-use assets or any other assets for the nine months ended September 30, 2020.</w:t>
      </w:r>
    </w:p>
    <w:p>
      <w:pPr>
        <w:spacing w:after="0" w:line="15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fast support vessels (“FSVs”)), vessels required for customers to meet regulatory mandates and operating under multiple year contracts and vessels that serve customers outside of the offshore oil and natural gas market (e.g., crew transfer vessels (“CTVs”)).</w:t>
      </w:r>
    </w:p>
    <w:p>
      <w:pPr>
        <w:spacing w:after="0" w:line="14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For vessel classes and individual vessels with indicators of impairment as of September 30, 2020, the Company has estimated that their future undiscounted cash flows exceed their current carrying values. The Company’s estimates of future undiscounted cash flows are highly subjective as utilization and rates per day worked are uncertain, especially in light of the affect COVID-19 has had on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12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Impairment of </w:t>
      </w:r>
      <w:r>
        <w:rPr>
          <w:rFonts w:ascii="Times New Roman" w:cs="Times New Roman" w:eastAsia="Times New Roman" w:hAnsi="Times New Roman"/>
          <w:sz w:val="22"/>
          <w:szCs w:val="22"/>
          <w:b w:val="1"/>
          <w:bCs w:val="1"/>
          <w:color w:val="auto"/>
        </w:rPr>
        <w:t>50%</w:t>
      </w:r>
      <w:r>
        <w:rPr>
          <w:rFonts w:ascii="Times New Roman" w:cs="Times New Roman" w:eastAsia="Times New Roman" w:hAnsi="Times New Roman"/>
          <w:sz w:val="22"/>
          <w:szCs w:val="22"/>
          <w:b w:val="1"/>
          <w:bCs w:val="1"/>
          <w:i w:val="1"/>
          <w:iCs w:val="1"/>
          <w:color w:val="auto"/>
        </w:rPr>
        <w:t xml:space="preserve"> or Less Owned Companies. </w:t>
      </w:r>
      <w:r>
        <w:rPr>
          <w:rFonts w:ascii="Times New Roman" w:cs="Times New Roman" w:eastAsia="Times New Roman" w:hAnsi="Times New Roman"/>
          <w:sz w:val="22"/>
          <w:szCs w:val="22"/>
          <w:color w:val="auto"/>
        </w:rPr>
        <w:t>Investments in 50% or less owned companies are reviewed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nine months ended September 30, 2020 and 2019, the Company did not recognize any impairment charges related to its 50% or less owned companies.</w:t>
      </w:r>
    </w:p>
    <w:p>
      <w:pPr>
        <w:spacing w:after="0" w:line="14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Income Taxes. </w:t>
      </w:r>
      <w:r>
        <w:rPr>
          <w:rFonts w:ascii="Times New Roman" w:cs="Times New Roman" w:eastAsia="Times New Roman" w:hAnsi="Times New Roman"/>
          <w:sz w:val="21"/>
          <w:szCs w:val="21"/>
          <w:color w:val="auto"/>
        </w:rPr>
        <w:t>During the nine months ended September 30, 2020, the Company’s effective income tax rate of 35.2%</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was primarily due to taxes on income attributable to noncontrolling interests, foreign sourced income not subject to U.S. income taxes, foreign taxes not creditable against U.S. income taxes, and an adjustment for the acquisition of the remaining minority membership interest in Falcon Global Holdings LLC (“Falcon Global Holdings”) (see “Note 10. Stockholder’s Equity”).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3" w:name="page14"/>
    <w:bookmarkEnd w:id="13"/>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Accumulated Other Comprehensive Income (Loss). </w:t>
      </w:r>
      <w:r>
        <w:rPr>
          <w:rFonts w:ascii="Times New Roman" w:cs="Times New Roman" w:eastAsia="Times New Roman" w:hAnsi="Times New Roman"/>
          <w:sz w:val="22"/>
          <w:szCs w:val="22"/>
          <w:color w:val="auto"/>
        </w:rPr>
        <w:t>The components of accumulated other comprehensive loss were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SEACOR Marine Holdings Inc.</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3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Losses on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(Losses) on</w:t>
            </w:r>
          </w:p>
        </w:tc>
        <w:tc>
          <w:tcPr>
            <w:tcW w:w="22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15"/>
        </w:trPr>
        <w:tc>
          <w:tcPr>
            <w:tcW w:w="36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Hedges, net</w:t>
            </w:r>
          </w:p>
        </w:tc>
        <w:tc>
          <w:tcPr>
            <w:tcW w:w="2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Hedges, net</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212"/>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2019</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89"/>
              </w:rPr>
              <w:t>(3,137)</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3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Pr>
          <w:p>
            <w:pPr>
              <w:spacing w:after="0"/>
              <w:rPr>
                <w:sz w:val="18"/>
                <w:szCs w:val="18"/>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(1,543)</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(1,928)</w:t>
            </w:r>
          </w:p>
        </w:tc>
      </w:tr>
      <w:tr>
        <w:trPr>
          <w:trHeight w:val="210"/>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September 30, 2020</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89"/>
              </w:rPr>
              <w:t>(4,680)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 xml:space="preserve">Loss Per Share. </w:t>
      </w:r>
      <w:r>
        <w:rPr>
          <w:rFonts w:ascii="Times New Roman" w:cs="Times New Roman" w:eastAsia="Times New Roman" w:hAnsi="Times New Roman"/>
          <w:sz w:val="22"/>
          <w:szCs w:val="22"/>
          <w:color w:val="auto"/>
        </w:rPr>
        <w:t>Basic loss per common share of the Company is computed based on the weighted average number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common shares and warrants to purchase common shares at an exercise price of $0.01 per share (“Warrants”) issued and outstanding during the relevant periods. The Warrants are included in the basic loss per common share because the shares issuable upon exercise of the Warrants are issuable for de minimis cash consideration and therefore not anti-dilutive. Diluted loss per common share of the Company is computed based on the weighted average number of common shares and Warrants issued and outstanding plus the effect of other potentially dilutive securities through the application of the treasury stock method and the if-converted method that assumes all common shares have been issued and outstanding during the relevant periods pursuant to the conversion of the Convertible Senior Notes unless anti-dilutive. For both the nine months ended September 30, 2020 and 2019, diluted earnings per common share of the Company excluded 2,183,708 common shares, respectively, issuable pursuant to the Company’s Convertible Senior Notes (see “Note 5. Long-Term Debt”) as the effect of their inclusion in the computation would be anti-dilutive. In addition, for the nine months ended September 30, 2020 and 2019, diluted loss per common share of the Company excluded 469,964 and 282,050 shares of restricted stock, respectively, and 1,120,541 and 397,119 shares of stock, respectively, issuable upon exercise of outstanding stock options as the effect of their inclusion in the computation would be anti-dilutive.</w:t>
      </w:r>
    </w:p>
    <w:p>
      <w:pPr>
        <w:spacing w:after="0" w:line="182" w:lineRule="exact"/>
        <w:rPr>
          <w:sz w:val="20"/>
          <w:szCs w:val="20"/>
          <w:color w:val="auto"/>
        </w:rPr>
      </w:pPr>
    </w:p>
    <w:p>
      <w:pPr>
        <w:ind w:left="820" w:hanging="812"/>
        <w:spacing w:after="0"/>
        <w:tabs>
          <w:tab w:leader="none" w:pos="82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TRANSFORMATION, FACILITY RESTRUCTURING AND SEVERANCE CHARGES</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Due to the highly competitive nature of the Company’s business and the continuing losses incurred over the last few years, the Company continues to reduce its overall cost structure and workforce to better align with current activity levels. The transformation plan, which began in the third quarter of 2019 and extended through the third quarter of 2020 (the “Transformation Plan”), included a workforce reduction, organization restructuring, facility consolidations and other cost reduction measures and efficiency initiatives across the Company’s geographic regions. The Transformation Plan was initiated due to activity levels of oil and gas exploration and production, and the Company continues to evaluate additional opportunities for further cost reductions to adapt to changing conditions caused by COVID-19.</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the Transformation Plan, the Company recognized restructuring and transformation charges of $1.2 million for the nine months ended September 30, 2020, which include severance charges of $1.1 million and other restructuring charges of $0.1 million. Other restructuring charges included contract termination costs, relocation costs and other associated costs. The restructuring and transformation charges are reflected in the Company’s general and administration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4" w:name="page15"/>
    <w:bookmarkEnd w:id="14"/>
    <w:p>
      <w:pPr>
        <w:jc w:val="both"/>
        <w:ind w:firstLine="749"/>
        <w:spacing w:after="0" w:line="259" w:lineRule="auto"/>
        <w:rPr>
          <w:sz w:val="20"/>
          <w:szCs w:val="20"/>
          <w:color w:val="auto"/>
        </w:rPr>
      </w:pPr>
      <w:r>
        <w:rPr>
          <w:rFonts w:ascii="Times New Roman" w:cs="Times New Roman" w:eastAsia="Times New Roman" w:hAnsi="Times New Roman"/>
          <w:sz w:val="22"/>
          <w:szCs w:val="22"/>
          <w:color w:val="auto"/>
        </w:rPr>
        <w:t>The components of restructuring charges by segment for the three and nine months ended September 30, 2020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United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East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Latin</w:t>
            </w: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North</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4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2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2020</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Transformation Plan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Severance Charges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Charges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Charges</w:t>
            </w: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4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United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States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Gulf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East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Latin</w:t>
            </w: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North</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4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2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2020</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Transformation Plan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Severance Charges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Other Charges</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Charges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severance and other restructuring charges gave rise to certain liabilities primarily related to liabilities accrued as part of the Transformation Plan. For the nine months ended September 30, 2020, all related liabilities associated with the Transformation Plan have been recognized.</w:t>
      </w:r>
    </w:p>
    <w:p>
      <w:pPr>
        <w:spacing w:after="0" w:line="14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Transformation Plan was completed during the third of quarter of 2020. No material future costs related to these efforts are expected, but to the extent the Company identifies additional opportunities for further costs reductions beyond the Transformation Plan, these opportunities may give rise to restructuring charges. On a cumulative basis, the Company recognized $4.9 million in restructuring charges.</w:t>
      </w:r>
    </w:p>
    <w:p>
      <w:pPr>
        <w:spacing w:after="0" w:line="149"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SEACOSCO ACQUISITION</w:t>
      </w:r>
    </w:p>
    <w:p>
      <w:pPr>
        <w:spacing w:after="0" w:line="17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 May 31, 2020, SEACOR Offshore Asia LLC (“SEACOR Offshore Asia”), an indirect wholly-owned subsidiary of SEACOR Marine, entered into a Sale and Purchase Agreement (“SEACOSCO SPA”) with China Shipping Fan Tai Limited, a company incorporated under the laws of the British Virgin Islands, and China Shipping Industry (Hong Kong) Co., Limited, a company incorporated under the laws of the Hong Kong Special Administrative Region (together, the “SEACOSCO Sellers”), pursuant to which SEACOR Offshore Asia agreed to acquire the 50% membership interest in SEACOSCO Offshore LLC (such remaining interest, the “SEACOSCO Interests”) held by the SEACOSCO Sellers that the Company did not already own.</w:t>
      </w:r>
    </w:p>
    <w:p>
      <w:pPr>
        <w:spacing w:after="0" w:line="154"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On June 30, 2020, SEACOR Offshore Asia completed the acquisition of the SEACOSCO Interests from the SEACOSCO Sellers (the “SEACOSCO Acquisition”). As a result of the completion of the acquisition, the Company owns 100% of the membership interests in SEACOSCO Offshore LLC. On July 14, 2020, the name of SEACOSCO Offshore LLC was changed to SEACOR Offshore Delta LLC (“SEACOR Offshore Delta”).</w:t>
      </w:r>
    </w:p>
    <w:p>
      <w:pPr>
        <w:spacing w:after="0" w:line="14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price payable by SEACOR Offshore Asia for the membership interests was $28.2 million (the “SEACOSCO Purchase Price”), $8.4 million of which was paid to the Sellers at the closing of the transaction, with annual installment payments of $1.0 million, $2.5 million and $2.5 million payable in the first, second and third year after the signing date (the “SEACOSCO SPA Signing Date”), respectively, and the remaining $13.7 million due four years after such signing date. The deferred portion of the SEACOSCO Purchase Price accrues interest at a fixed rate of 1.5%, 7.0%, 7.5% and 8.0% for the first through fourth years after the SEACOSCO SPA Signing Date,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SEACOR Offshore Delta is the owner of eight platform supply vessels (“PSVs”) built by COSCO Shipping Heavy Industry (Guangdong) Co., Ltd. (the “COSCO (Guangdong) Shipyard” and such PSVs, the “SEACOR Delta PSVs”). The SEACOSCO Sellers obtained a second lien mortgage on the SEACOR Delta PSVs to secure the payment of the deferred portion of the SEACOSCO Purchase Price, and SEACOR Marine provided a limited deficiency guarantee solely with respect to the short-fall in vessel collateral value, if any, in the event the SEACOSCO Sellers exercise their remedies under the mortgages.</w:t>
      </w:r>
    </w:p>
    <w:p>
      <w:pPr>
        <w:spacing w:after="0" w:line="14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SEACOR Delta PSVs were initially acquired by vessel owning subsidiaries (“SEACOR Delta SPVs”) of SEACOR Offshore Delta pursuant to existing deferred purchase agreements with the COSCO (Guangdong) Shipyard (“Guangdong DPAs”) under which an aggregate of approximately $100.8 million was outstanding as of June 30, 2020 (the “SEACOR Delta Shipyard Financing”). As of September 30, 2020, $97.2 million was outstanding. The Guangdong DPAs provide for amortization of the purchase price for each vessel over a period of 10 years from delivery bearing floating interest rate of three-month LIBOR plus 4.0%. SEACOR Offshore Delta has taken delivery of all eight SEACOR Delta PSVs, seven with a 2018 or 2019 year of build, and one with a 2020 year of build. The payment obligations of the SEACOR Delta SPVs under the Guangdong DPAs for each vessel is secured by a first lien mortgage on the vessel and a pledge of the SEACOR Delta SPV’s equity, and SEACOR Marine provided a limited deficiency guarantee solely with respect to the short-fall in vessel collateral value, if any, in the event the COSCO (Guangdong) Shipyard exercises its remedies under the mortgages.</w:t>
      </w:r>
    </w:p>
    <w:p>
      <w:pPr>
        <w:spacing w:after="0" w:line="13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Purchase Price Allocation. </w:t>
      </w:r>
      <w:r>
        <w:rPr>
          <w:rFonts w:ascii="Times New Roman" w:cs="Times New Roman" w:eastAsia="Times New Roman" w:hAnsi="Times New Roman"/>
          <w:sz w:val="22"/>
          <w:szCs w:val="22"/>
          <w:color w:val="auto"/>
        </w:rPr>
        <w:t>The eight SEACOR Delta PSVs are all based on plans from the same designer, have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similar age of construction (2018-2020) and were constructed at the same shipyard. Two of the vessels are high specification diesel/electric powered PSVs. The other six vessels are all “sister” vessels with identical specifications. These six vessels are high specification diesel/electric/hybrid powered vessels. In accordance with ASU No. 2017-01-Business Combinations (Topic 805): Clarifying the Definition of a Business, due to the fact that the assets acquired have substantially all of their fair value concentrated as a group of similar assets, this acquisition qualified as an asset purchase. The allocation of the purchase price for the Company’s acquired assets for the six months ended June 30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 Acquired (In Thousands):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June 30, 2020</w:t>
            </w:r>
          </w:p>
        </w:tc>
      </w:tr>
      <w:tr>
        <w:trPr>
          <w:trHeight w:val="212"/>
        </w:trPr>
        <w:tc>
          <w:tcPr>
            <w:tcW w:w="77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Assets</w:t>
            </w:r>
          </w:p>
        </w:tc>
        <w:tc>
          <w:tcPr>
            <w:tcW w:w="15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Fixed Assets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142,282</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Current Liabilities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(23,929)</w:t>
            </w:r>
          </w:p>
        </w:tc>
      </w:tr>
      <w:tr>
        <w:trPr>
          <w:trHeight w:val="213"/>
        </w:trPr>
        <w:tc>
          <w:tcPr>
            <w:tcW w:w="7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Book Value of Debt Acquired</w:t>
            </w: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(100,759)</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Discount on Debt Acquired</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25,190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6"/>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Debt Acquired</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(75,569)</w:t>
            </w:r>
          </w:p>
        </w:tc>
      </w:tr>
      <w:tr>
        <w:trPr>
          <w:trHeight w:val="213"/>
        </w:trPr>
        <w:tc>
          <w:tcPr>
            <w:tcW w:w="77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Cost Basis for Purchase</w:t>
            </w:r>
          </w:p>
        </w:tc>
        <w:tc>
          <w:tcPr>
            <w:tcW w:w="15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50,484</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Price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(28,150)</w:t>
            </w: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Acquisition costs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Investment In SEACOR Offshore Delta (f/k/a SEACOSCO)</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(22,222)</w:t>
            </w:r>
          </w:p>
        </w:tc>
      </w:tr>
      <w:tr>
        <w:trPr>
          <w:trHeight w:val="210"/>
        </w:trPr>
        <w:tc>
          <w:tcPr>
            <w:tcW w:w="772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(50,484)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8" w:lineRule="exact"/>
        <w:rPr>
          <w:sz w:val="20"/>
          <w:szCs w:val="20"/>
          <w:color w:val="auto"/>
        </w:rPr>
      </w:pPr>
    </w:p>
    <w:p>
      <w:pPr>
        <w:ind w:left="820" w:hanging="812"/>
        <w:spacing w:after="0"/>
        <w:tabs>
          <w:tab w:leader="none" w:pos="820" w:val="left"/>
        </w:tabs>
        <w:numPr>
          <w:ilvl w:val="0"/>
          <w:numId w:val="6"/>
        </w:numPr>
        <w:rPr>
          <w:rFonts w:ascii="Times New Roman" w:cs="Times New Roman" w:eastAsia="Times New Roman" w:hAnsi="Times New Roman"/>
          <w:sz w:val="22"/>
          <w:szCs w:val="22"/>
          <w:b w:val="1"/>
          <w:bCs w:val="1"/>
          <w:color w:val="222222"/>
        </w:rPr>
      </w:pPr>
      <w:r>
        <w:rPr>
          <w:rFonts w:ascii="Times New Roman" w:cs="Times New Roman" w:eastAsia="Times New Roman" w:hAnsi="Times New Roman"/>
          <w:sz w:val="22"/>
          <w:szCs w:val="22"/>
          <w:b w:val="1"/>
          <w:bCs w:val="1"/>
          <w:color w:val="222222"/>
        </w:rPr>
        <w:t>EQUIPMENT ACQUISITIONS AND DISPOSITIONS</w:t>
      </w:r>
    </w:p>
    <w:p>
      <w:pPr>
        <w:spacing w:after="0" w:line="17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222222"/>
        </w:rPr>
        <w:t>During the nine months ended September 30, 2020, capital acquisitions were $</w:t>
      </w:r>
      <w:r>
        <w:rPr>
          <w:rFonts w:ascii="Times New Roman" w:cs="Times New Roman" w:eastAsia="Times New Roman" w:hAnsi="Times New Roman"/>
          <w:sz w:val="22"/>
          <w:szCs w:val="22"/>
          <w:color w:val="000000"/>
        </w:rPr>
        <w:t>24.9</w:t>
      </w:r>
      <w:r>
        <w:rPr>
          <w:rFonts w:ascii="Times New Roman" w:cs="Times New Roman" w:eastAsia="Times New Roman" w:hAnsi="Times New Roman"/>
          <w:sz w:val="22"/>
          <w:szCs w:val="22"/>
          <w:color w:val="222222"/>
        </w:rPr>
        <w:t xml:space="preserve"> million. Equipment deliveries during the nine months ended September 30, 2020 include </w:t>
      </w:r>
      <w:r>
        <w:rPr>
          <w:rFonts w:ascii="Times New Roman" w:cs="Times New Roman" w:eastAsia="Times New Roman" w:hAnsi="Times New Roman"/>
          <w:sz w:val="22"/>
          <w:szCs w:val="22"/>
          <w:color w:val="000000"/>
        </w:rPr>
        <w:t>three</w:t>
      </w:r>
      <w:r>
        <w:rPr>
          <w:rFonts w:ascii="Times New Roman" w:cs="Times New Roman" w:eastAsia="Times New Roman" w:hAnsi="Times New Roman"/>
          <w:sz w:val="22"/>
          <w:szCs w:val="22"/>
          <w:color w:val="222222"/>
        </w:rPr>
        <w:t xml:space="preserve"> PSVs and two CTVs.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222222"/>
        </w:rPr>
        <w:t xml:space="preserve">During the nine months ended September 30, 2020, the Company sold </w:t>
      </w:r>
      <w:r>
        <w:rPr>
          <w:rFonts w:ascii="Times New Roman" w:cs="Times New Roman" w:eastAsia="Times New Roman" w:hAnsi="Times New Roman"/>
          <w:sz w:val="22"/>
          <w:szCs w:val="22"/>
          <w:color w:val="000000"/>
        </w:rPr>
        <w:t>two</w:t>
      </w:r>
      <w:r>
        <w:rPr>
          <w:rFonts w:ascii="Times New Roman" w:cs="Times New Roman" w:eastAsia="Times New Roman" w:hAnsi="Times New Roman"/>
          <w:sz w:val="22"/>
          <w:szCs w:val="22"/>
          <w:color w:val="222222"/>
        </w:rPr>
        <w:t xml:space="preserve"> anchor handling towing supply (“AHTS”) vessels and one specialty vessel previously removed from service, four FSVs, one specialty vessel, </w:t>
      </w:r>
      <w:r>
        <w:rPr>
          <w:rFonts w:ascii="Times New Roman" w:cs="Times New Roman" w:eastAsia="Times New Roman" w:hAnsi="Times New Roman"/>
          <w:sz w:val="22"/>
          <w:szCs w:val="22"/>
          <w:color w:val="000000"/>
        </w:rPr>
        <w:t>one</w:t>
      </w:r>
      <w:r>
        <w:rPr>
          <w:rFonts w:ascii="Times New Roman" w:cs="Times New Roman" w:eastAsia="Times New Roman" w:hAnsi="Times New Roman"/>
          <w:sz w:val="22"/>
          <w:szCs w:val="22"/>
          <w:color w:val="222222"/>
        </w:rPr>
        <w:t xml:space="preserve"> vessel under construction and other equipment for $21.6 million ($20.7 million cash and $0.9 million in previously received deposits) and gains of $1.2 million.</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222222"/>
        </w:rPr>
        <w:t>As part of the completion of the SEACOSCO Acquisition, seven SEACOR Delta PSVs, which were previously included in the Company’s joint ventured fleet, and one SEACOR Delta PSV under construction (which has subsequently been delivered), were acquired (See “Note 3. SEACOSCO Acquisition”).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6" w:name="page17"/>
    <w:bookmarkEnd w:id="16"/>
    <w:p>
      <w:pPr>
        <w:ind w:left="760" w:hanging="752"/>
        <w:spacing w:after="0"/>
        <w:tabs>
          <w:tab w:leader="none" w:pos="7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LONG-TERM DEBT</w:t>
      </w:r>
    </w:p>
    <w:p>
      <w:pPr>
        <w:spacing w:after="0" w:line="17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Company’s long-term debt obligations as of September 30, 2020 and December 31, 2019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3"/>
        </w:trPr>
        <w:tc>
          <w:tcPr>
            <w:tcW w:w="7720" w:type="dxa"/>
            <w:vAlign w:val="bottom"/>
            <w:tcBorders>
              <w:top w:val="single" w:sz="8" w:color="CFF0FC"/>
            </w:tcBorders>
            <w:shd w:val="clear" w:color="auto" w:fill="CFF0FC"/>
          </w:tcPr>
          <w:p>
            <w:pPr>
              <w:spacing w:after="0" w:line="212" w:lineRule="exact"/>
              <w:rPr>
                <w:sz w:val="20"/>
                <w:szCs w:val="20"/>
                <w:color w:val="auto"/>
              </w:rPr>
            </w:pPr>
            <w:r>
              <w:rPr>
                <w:rFonts w:ascii="Times New Roman" w:cs="Times New Roman" w:eastAsia="Times New Roman" w:hAnsi="Times New Roman"/>
                <w:sz w:val="15"/>
                <w:szCs w:val="15"/>
                <w:i w:val="1"/>
                <w:iCs w:val="1"/>
                <w:color w:val="auto"/>
              </w:rPr>
              <w:t>Recourse Long-term debt</w:t>
            </w: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5"/>
                <w:szCs w:val="15"/>
                <w:i w:val="1"/>
                <w:iCs w:val="1"/>
                <w:color w:val="auto"/>
              </w:rPr>
              <w:t>:</w:t>
            </w: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Convertible Senior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SEACOR Marine Foreign Holdings Credit Facility</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113,750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Sea-Cat Crewzer III Term Loan Facility</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24,128</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SEACOR Offshore Delta (f/k/a SEACOSCO) Acquisition Debt</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720" w:type="dxa"/>
            <w:vAlign w:val="bottom"/>
          </w:tcPr>
          <w:p>
            <w:pPr>
              <w:ind w:left="260"/>
              <w:spacing w:after="0" w:line="216" w:lineRule="exact"/>
              <w:rPr>
                <w:sz w:val="20"/>
                <w:szCs w:val="20"/>
                <w:color w:val="auto"/>
              </w:rPr>
            </w:pPr>
            <w:r>
              <w:rPr>
                <w:rFonts w:ascii="Times New Roman" w:cs="Times New Roman" w:eastAsia="Times New Roman" w:hAnsi="Times New Roman"/>
                <w:sz w:val="15"/>
                <w:szCs w:val="15"/>
                <w:color w:val="auto"/>
              </w:rPr>
              <w:t>SEACOR Delta (f/k/a SEACOSCO) Shipyard Financing</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720" w:type="dxa"/>
            <w:vAlign w:val="bottom"/>
            <w:shd w:val="clear" w:color="auto" w:fill="CFF0FC"/>
          </w:tcPr>
          <w:p>
            <w:pPr>
              <w:ind w:left="260"/>
              <w:spacing w:after="0" w:line="216" w:lineRule="exact"/>
              <w:rPr>
                <w:sz w:val="20"/>
                <w:szCs w:val="20"/>
                <w:color w:val="auto"/>
              </w:rPr>
            </w:pPr>
            <w:r>
              <w:rPr>
                <w:rFonts w:ascii="Times New Roman" w:cs="Times New Roman" w:eastAsia="Times New Roman" w:hAnsi="Times New Roman"/>
                <w:sz w:val="15"/>
                <w:szCs w:val="15"/>
                <w:color w:val="auto"/>
              </w:rPr>
              <w:t>SEACOR Alpine Shipyard Financing</w:t>
            </w:r>
            <w:r>
              <w:rPr>
                <w:rFonts w:ascii="Times New Roman" w:cs="Times New Roman" w:eastAsia="Times New Roman" w:hAnsi="Times New Roman"/>
                <w:sz w:val="25"/>
                <w:szCs w:val="25"/>
                <w:color w:val="auto"/>
                <w:vertAlign w:val="superscript"/>
              </w:rPr>
              <w:t>(3)</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31,410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SEACOR 88/888 Term Loan</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BNDES Equipment Construction Finance Notes</w:t>
            </w: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recourse Long-term debt</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282,244</w:t>
            </w: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5"/>
                <w:szCs w:val="15"/>
                <w:i w:val="1"/>
                <w:iCs w:val="1"/>
                <w:color w:val="auto"/>
              </w:rPr>
              <w:t>Non-recourse Long-term debt</w:t>
            </w:r>
            <w:r>
              <w:rPr>
                <w:rFonts w:ascii="Times New Roman" w:cs="Times New Roman" w:eastAsia="Times New Roman" w:hAnsi="Times New Roman"/>
                <w:sz w:val="25"/>
                <w:szCs w:val="25"/>
                <w:i w:val="1"/>
                <w:iCs w:val="1"/>
                <w:color w:val="auto"/>
                <w:vertAlign w:val="superscript"/>
              </w:rPr>
              <w:t>(4)</w:t>
            </w:r>
            <w:r>
              <w:rPr>
                <w:rFonts w:ascii="Times New Roman" w:cs="Times New Roman" w:eastAsia="Times New Roman" w:hAnsi="Times New Roman"/>
                <w:sz w:val="15"/>
                <w:szCs w:val="15"/>
                <w:i w:val="1"/>
                <w:iCs w:val="1"/>
                <w:color w:val="auto"/>
              </w:rPr>
              <w:t>:</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Falcon Global USA Term Loan Facility</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102,349</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Falcon Global USA Revolver</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Windcat Workboats Facilities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SEACOR 88/888 Term Loan</w:t>
            </w: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non-recourse Long-term debt</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149,328</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147,579</w:t>
            </w:r>
          </w:p>
        </w:tc>
        <w:tc>
          <w:tcPr>
            <w:tcW w:w="120" w:type="dxa"/>
            <w:vAlign w:val="bottom"/>
            <w:tcBorders>
              <w:bottom w:val="single" w:sz="8" w:color="CFF0FC"/>
            </w:tcBorders>
          </w:tcPr>
          <w:p>
            <w:pPr>
              <w:spacing w:after="0"/>
              <w:rPr>
                <w:sz w:val="17"/>
                <w:szCs w:val="17"/>
                <w:color w:val="auto"/>
              </w:rPr>
            </w:pPr>
          </w:p>
        </w:tc>
      </w:tr>
      <w:tr>
        <w:trPr>
          <w:trHeight w:val="21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principal due for long-term debt</w:t>
            </w: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556,467</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429,823</w:t>
            </w:r>
          </w:p>
        </w:tc>
        <w:tc>
          <w:tcPr>
            <w:tcW w:w="120" w:type="dxa"/>
            <w:vAlign w:val="bottom"/>
            <w:shd w:val="clear" w:color="auto" w:fill="CFF0FC"/>
          </w:tcPr>
          <w:p>
            <w:pPr>
              <w:spacing w:after="0"/>
              <w:rPr>
                <w:sz w:val="18"/>
                <w:szCs w:val="18"/>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due within one year</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(52,107)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(17,802)</w:t>
            </w: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Unamortized debt discount</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(46,778)</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(26,343)</w:t>
            </w: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(4,617)</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(5,427)</w:t>
            </w:r>
          </w:p>
        </w:tc>
      </w:tr>
      <w:tr>
        <w:trPr>
          <w:trHeight w:val="209"/>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452,965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380,251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Recourse debt represents debt issued by SEACOR Marine and/or its subsidiaries and guaranteed by SEACOR Marine as defined in the relevant debt agreements.</w:t>
      </w:r>
    </w:p>
    <w:p>
      <w:pPr>
        <w:spacing w:after="0" w:line="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SEACOR Delta Shipyard Financing includes vessel financing on the eight vessels acquired in the SEACOSCO Acquisition (see “Note 3. SEACOSCO Acquisition”).</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SEACOR Alpine Shipyard Financing includes vessel financing on the SEACOR Alps, the SEACOR Andes and the SEACOR Atlas vessels.</w:t>
      </w:r>
    </w:p>
    <w:p>
      <w:pPr>
        <w:spacing w:after="0" w:line="18" w:lineRule="exact"/>
        <w:rPr>
          <w:rFonts w:ascii="Times New Roman" w:cs="Times New Roman" w:eastAsia="Times New Roman" w:hAnsi="Times New Roman"/>
          <w:sz w:val="16"/>
          <w:szCs w:val="16"/>
          <w:color w:val="auto"/>
        </w:rPr>
      </w:pPr>
    </w:p>
    <w:p>
      <w:pPr>
        <w:jc w:val="both"/>
        <w:ind w:left="380" w:hanging="372"/>
        <w:spacing w:after="0" w:line="276"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Non-recourse debt represents debt issued by the Company’s Consolidated Subsidiaries with no recourse to SEACOR Marine or its other non-debtor subsidiaries, other than certain limited support obligations as defined in the respective debt agreements, which in aggregate are not considered to be material to the Company’s business and financial condition.</w:t>
      </w:r>
    </w:p>
    <w:p>
      <w:pPr>
        <w:spacing w:after="0" w:line="14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As of September 30, 2020, the Company was in compliance with all debt covenants except for a covenant included in the Sea-Cat Crewzer III Term Loan Facility, which is guaranteed by SEACOR Marine. Under the facility, SEACOR Marine is required to maintain a net financial debt to equity ratio of 70%. As of September 30, 2020, SEACOR Marine’s net financial debt to equity ratio was 101%. The Company and the lenders under this facility are in discussions to waive or otherwise modify the terms of this covenant. Sea-Cat Crewzer III LLC, an indirect wholly-owned subsidiary of SEACOR Marine and the borrower under the Sea-Cat Crewzer III Term Loan Facility, is otherwise in compliance with all financial covenants and payment obligations under this facility, as is SEACOR Marine. The aforementioned non-compliance does not cause any cross defaults under the Company’s other credit facilities or the immediate acceleration of the Sea-Cat Crewzer III Term Loan Facility. Until a waiver or modification of the terms of this guarantor covenant is received from the lenders under this facility, the Company has classified the balance of this debt as current.</w:t>
      </w:r>
    </w:p>
    <w:p>
      <w:pPr>
        <w:spacing w:after="0" w:line="133"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 xml:space="preserve">Falcon Global. </w:t>
      </w:r>
      <w:r>
        <w:rPr>
          <w:rFonts w:ascii="Times New Roman" w:cs="Times New Roman" w:eastAsia="Times New Roman" w:hAnsi="Times New Roman"/>
          <w:sz w:val="21"/>
          <w:szCs w:val="21"/>
          <w:color w:val="auto"/>
        </w:rPr>
        <w:t>On February 7, 2020, SEACOR Marine, Falcon Global USA LLC, an indirect wholly-owned subsidiary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SEACOR Marine (“FGUSA”), and certain subsidiaries of FGUSA, entered into a consent, agreement and an omnibus amendment (the “FGUSA Omnibus Amendment”) to that certain (i) $131.1 million term and revolving loan facility, dated as of February 8, 2018, with a syndicate of lenders administered by JP Morgan Chase Bank, N.A. (the “FGUSA Credit Facility”) and</w:t>
      </w:r>
    </w:p>
    <w:p>
      <w:pPr>
        <w:spacing w:after="0" w:line="4" w:lineRule="exact"/>
        <w:rPr>
          <w:sz w:val="20"/>
          <w:szCs w:val="20"/>
          <w:color w:val="auto"/>
        </w:rPr>
      </w:pPr>
    </w:p>
    <w:p>
      <w:pPr>
        <w:jc w:val="both"/>
        <w:ind w:firstLine="8"/>
        <w:spacing w:after="0" w:line="232" w:lineRule="auto"/>
        <w:tabs>
          <w:tab w:leader="none" w:pos="3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 guaranty issued by SEACOR Marine, dated February 8, 2018, pursuant to which SEACOR Marine guarantees certain limited obligations of FGUSA under the FGUSA Credit Facility (the “FGUSA Guaranty”). The FGUSA Omnibus Amendment provides for, among other things, (i) the extension from March 2020 to March 2021 of the commencement of monthly amortization of the term loan, with payments being the lesser of (a) $0.8 million per month and (b) the amount outstanding under the term loan and (ii) the extension of the term of the FGUSA Guaranty for an additional one year from February 8, 2020 to February 8,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On April 29, 2020, FGUSA and certain subsidiaries of FGUSA, entered into a sixth consent and agreement (the “FGUSA Sixth Consent and Agreement”) to the FGUSA Credit Facility, which provides that, among other things, (i) the deadline for delivery of the audited financial statements of FGUSA and its consolidated subsidiaries for the fiscal year ended December 31, 2019 (“FGUSA 2019 Audited Financial Statements”) was extended from April 29, 2020 to May 31, 2020, (ii) the FGUSA 2019 Audited Financial Statements are not required to be delivered without a “going concern” or like qualification, commentary or exception, and (iii) the deadline for delivery of certain physical vessel appraisals was extended to December 31, 2020.</w:t>
      </w:r>
    </w:p>
    <w:p>
      <w:pPr>
        <w:spacing w:after="0" w:line="13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SEACOR Alpine. </w:t>
      </w:r>
      <w:r>
        <w:rPr>
          <w:rFonts w:ascii="Times New Roman" w:cs="Times New Roman" w:eastAsia="Times New Roman" w:hAnsi="Times New Roman"/>
          <w:sz w:val="22"/>
          <w:szCs w:val="22"/>
          <w:color w:val="auto"/>
        </w:rPr>
        <w:t>In 2019, the Company committed to take possession of three Rolls Royce UT1771 CDL designed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diesel electric powered PSVs of 3,800 tons delivered deadweight capacity with dynamic position class 2 and firefighting class 1 notations. As part of this transaction, the shipbuilder, COSCO Shipping Heavy Industry (Zhoushan) Co. Ltd., agreed to finance 70% of the cost of each of these vessels pursuant to a deferred payment agreement. The deferred payment agreement calls for increasing quarterly payments of principal and interest payments that bear interest at an annual rate of 5% over a four-year term from delivery. The Company took delivery of the SEACOR Alps, the SEACOR Andes and the SEACOR Atlas on September 30, 2019, April 20, 2020 and August 10, 2020, respectively.</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Windcat Workboats. </w:t>
      </w:r>
      <w:r>
        <w:rPr>
          <w:rFonts w:ascii="Times New Roman" w:cs="Times New Roman" w:eastAsia="Times New Roman" w:hAnsi="Times New Roman"/>
          <w:sz w:val="22"/>
          <w:szCs w:val="22"/>
          <w:color w:val="auto"/>
        </w:rPr>
        <w:t>On March 3, 2020, Windcat Workboats Holdings Ltd, an indirect wholly-owned subsidiary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SEACOR Marine (“Windcat Workboats”), together with certain other obligors that are its subsidiaries entered into an agreement (the “RCF Amendment”) with Coöperatieve Rabobank U.A. to amend the €25 million revolving credit facility agreement, originally dated as of May 24, 2016, as amended and restated from time to time. Amended provisions included, among other things, the extension of the maturity date from December 31, 2021 to December 31, 2022. Applicable fees in the amount of €0.1 million were paid in conjunction with the RCF Amendment and will be amortized over the credit facility term. During the nine months ended September 30, 2020, the Company borrowed an additional €1.0 million under the Windcat Workboats credit facilities, resulting in a net increase in USD borrowings of $1.1 million. As of September 30, 2020, the Company has $1.5 million available under its Windcat Workboats credit facilities.</w:t>
      </w:r>
    </w:p>
    <w:p>
      <w:pPr>
        <w:spacing w:after="0" w:line="13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SEACOR Delta (f/k/a SEACOSCO). </w:t>
      </w:r>
      <w:r>
        <w:rPr>
          <w:rFonts w:ascii="Times New Roman" w:cs="Times New Roman" w:eastAsia="Times New Roman" w:hAnsi="Times New Roman"/>
          <w:sz w:val="22"/>
          <w:szCs w:val="22"/>
          <w:color w:val="auto"/>
        </w:rPr>
        <w:t>On June 30, 2020, the Company completed the acquisition of the SEACOSCO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Interests that it did not already own. The deferred portion of the SEACOSCO Purchase Price is payable in annual installment payments of $1.0 million, $2.5 million and $2.5 million in the first, second and third year after the SEACOSCO SPA Signing Date, respectively, with the remaining $13.7 million due four years after such date. The deferred portion of the SEACOSCO Purchase Price accrues interest at a fixed rate of 1.5%, 7.0%, 7.5% and 8.0% for the first through fourth years after the signing date, respectively. The Guangdong DPAs comprising the SEACOR Delta Shipyard Financing provide for amortization of the purchase price for each vessel over a period of 10 years from delivery with the unpaid amount bearing floating interest rate of three-month LIBOR plus 4.0% (see “Note 3. SEACOSCO Acquisition”).</w:t>
      </w:r>
    </w:p>
    <w:p>
      <w:pPr>
        <w:spacing w:after="0" w:line="13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SEACOR Marine Foreign Holdings. </w:t>
      </w:r>
      <w:r>
        <w:rPr>
          <w:rFonts w:ascii="Times New Roman" w:cs="Times New Roman" w:eastAsia="Times New Roman" w:hAnsi="Times New Roman"/>
          <w:sz w:val="22"/>
          <w:szCs w:val="22"/>
          <w:color w:val="auto"/>
        </w:rPr>
        <w:t>On June 29, 2020, SEACOR Marine, SEACOR Marine Foreign Holdings Inc.,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wholly owned subsidiary of SEACOR Marine (“SMFH”), and certain vessel-owning subsidiaries of SEACOR Marine, entered into Amendment No. 3 (the “SMFH Amendment”) to the $130 million loan facility with a syndicate of lenders administered by DNB Bank ASA, New York Branch, dated as of September 26, 2018 and as amended on August 6, 2019, November 26, 2019 and December 13, 2019 (the “SMFH Credit Facility”). The SMFH Amendment provides for, among other things, (i) the modification of certain financial maintenance and restrictive covenants contained in the Credit Facility or the guaranty provided by SEACOR Marine with respect thereto, including with respect to EBITDA coverage ratios, mandatory prepayment events, and the exclusion of certain indebtedness associated with the acquisition of the SEACOSCO Interests, and (ii) the placement of mortgages on two additional vessels owned by vessel-owning subsidiaries of SEACOR Marine as security for the indebtedness under the SMFH Credit Facility.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8" w:name="page19"/>
    <w:bookmarkEnd w:id="18"/>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BNDES. </w:t>
      </w:r>
      <w:r>
        <w:rPr>
          <w:rFonts w:ascii="Times New Roman" w:cs="Times New Roman" w:eastAsia="Times New Roman" w:hAnsi="Times New Roman"/>
          <w:sz w:val="22"/>
          <w:szCs w:val="22"/>
          <w:color w:val="auto"/>
        </w:rPr>
        <w:t>In October 2019, Oceanpact purchased from the Company the two vessels securing the BNDES Equipment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Construction Finance Notes, but the transfer of title of the vessels from the Company to Oceanpact was subject to the assignment of the BNDES Equipment Construction Finance Notes to Oceanpact. On June 9, 2020, Banco Nacional de Desenvolvimento Economico e Social (“BNDES”), a Brazilian government-owned entity, provided a suspension for a period of six months, from May 11, 2020 to October 10, 2020, on the payment of principal and compensatory interest under the BNDES Equipment Construction Finance Notes, without changing the final term of the debt amortization period nor the interest rate thereunder. Collection on the receivable balance from Oceanpact was also deferred. Oceanpact continued to work with BNDES to follow through with the assignment of the loan or accept another form of guarantee provided by Oceanpact in order to obtain a debt release from BNDES. On October15, 2020, the Company’s outstanding debt balance to BNDES was paid in full and the receivable from OceanPact was paid in full. In addition, on October 23, 2020, the Company received a notification that the guarantor letter of credit had been released. The Company has no further obligations under the BNDES Equipment Construction Finance Notes.</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Letters of Credit</w:t>
      </w:r>
      <w:r>
        <w:rPr>
          <w:rFonts w:ascii="Times New Roman" w:cs="Times New Roman" w:eastAsia="Times New Roman" w:hAnsi="Times New Roman"/>
          <w:sz w:val="22"/>
          <w:szCs w:val="22"/>
          <w:color w:val="auto"/>
        </w:rPr>
        <w:t>. As of September 30, 2020, the Company had outstanding letters of credit of $0.5 million securing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lease obligations, labor and performance guaranties.</w:t>
      </w:r>
    </w:p>
    <w:p>
      <w:pPr>
        <w:spacing w:after="0" w:line="147"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LEASES</w:t>
      </w:r>
    </w:p>
    <w:p>
      <w:pPr>
        <w:spacing w:after="0" w:line="17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of September 30, 2020, the Company leased in two AHTS vessels, two liftboats, one FSV and certain facilities and other equipment. The leases typically contain purchase and renewal options or rights of first refusal with respect to the sale or lease of the equipment. As of September 30, 2020, the remaining lease terms of the vessels have remaining durations ranging from two to 15 months. The lease terms of the other equipment range in duration from six to 315 months.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of September 30, 2020, future minimum payments for leases for the remainder of 2020 and the years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3"/>
        </w:trPr>
        <w:tc>
          <w:tcPr>
            <w:tcW w:w="7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Remainder of 2020</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Years subsequent to 2024</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Interest component</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(3,563)</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15,326</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Current portion of long-term lease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9,632</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FF0FC"/>
            </w:tcBorders>
          </w:tcPr>
          <w:p>
            <w:pPr>
              <w:spacing w:after="0"/>
              <w:rPr>
                <w:sz w:val="18"/>
                <w:szCs w:val="18"/>
                <w:color w:val="auto"/>
              </w:rPr>
            </w:pPr>
          </w:p>
        </w:tc>
      </w:tr>
      <w:tr>
        <w:trPr>
          <w:trHeight w:val="209"/>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For the three and nine months ended September 30, 2020 the components of lease expense were as follows (in thousands):</w:t>
      </w:r>
    </w:p>
    <w:p>
      <w:pPr>
        <w:sectPr>
          <w:pgSz w:w="11900" w:h="16838" w:orient="portrait"/>
          <w:cols w:equalWidth="0" w:num="1">
            <w:col w:w="11240"/>
          </w:cols>
          <w:pgMar w:left="320" w:top="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Operating lease cost </w:t>
      </w:r>
      <w:r>
        <w:rPr>
          <w:rFonts w:ascii="Times New Roman" w:cs="Times New Roman" w:eastAsia="Times New Roman" w:hAnsi="Times New Roman"/>
          <w:sz w:val="27"/>
          <w:szCs w:val="27"/>
          <w:color w:val="auto"/>
          <w:vertAlign w:val="superscript"/>
        </w:rPr>
        <w:t>(1)</w:t>
      </w:r>
    </w:p>
    <w:p>
      <w:pPr>
        <w:spacing w:after="0"/>
        <w:rPr>
          <w:sz w:val="20"/>
          <w:szCs w:val="20"/>
          <w:color w:val="auto"/>
        </w:rPr>
      </w:pPr>
      <w:r>
        <w:rPr>
          <w:rFonts w:ascii="Times New Roman" w:cs="Times New Roman" w:eastAsia="Times New Roman" w:hAnsi="Times New Roman"/>
          <w:sz w:val="16"/>
          <w:szCs w:val="16"/>
          <w:color w:val="auto"/>
        </w:rPr>
        <w:t>Finance lease cost: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 xml:space="preserve">Amortization of finance lease assets </w:t>
      </w:r>
      <w:r>
        <w:rPr>
          <w:rFonts w:ascii="Times New Roman" w:cs="Times New Roman" w:eastAsia="Times New Roman" w:hAnsi="Times New Roman"/>
          <w:sz w:val="25"/>
          <w:szCs w:val="25"/>
          <w:color w:val="auto"/>
          <w:vertAlign w:val="superscript"/>
        </w:rPr>
        <w:t>(1)</w:t>
      </w:r>
    </w:p>
    <w:p>
      <w:pPr>
        <w:spacing w:after="0"/>
        <w:rPr>
          <w:sz w:val="20"/>
          <w:szCs w:val="20"/>
          <w:color w:val="auto"/>
        </w:rPr>
      </w:pPr>
      <w:r>
        <w:rPr>
          <w:rFonts w:ascii="Times New Roman" w:cs="Times New Roman" w:eastAsia="Times New Roman" w:hAnsi="Times New Roman"/>
          <w:sz w:val="16"/>
          <w:szCs w:val="16"/>
          <w:color w:val="auto"/>
        </w:rPr>
        <w:t xml:space="preserve">Short-term lease costs </w:t>
      </w:r>
      <w:r>
        <w:rPr>
          <w:rFonts w:ascii="Times New Roman" w:cs="Times New Roman" w:eastAsia="Times New Roman" w:hAnsi="Times New Roman"/>
          <w:sz w:val="27"/>
          <w:szCs w:val="27"/>
          <w:color w:val="auto"/>
          <w:vertAlign w:val="superscript"/>
        </w:rPr>
        <w:t>(1)</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0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5"/>
        </w:trPr>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33"/>
        </w:trPr>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1,083</w:t>
            </w:r>
          </w:p>
        </w:tc>
        <w:tc>
          <w:tcPr>
            <w:tcW w:w="240" w:type="dxa"/>
            <w:vAlign w:val="bottom"/>
          </w:tcPr>
          <w:p>
            <w:pPr>
              <w:spacing w:after="0"/>
              <w:rPr>
                <w:sz w:val="20"/>
                <w:szCs w:val="20"/>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3,446</w:t>
            </w:r>
          </w:p>
        </w:tc>
        <w:tc>
          <w:tcPr>
            <w:tcW w:w="98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w:t>
            </w:r>
          </w:p>
        </w:tc>
        <w:tc>
          <w:tcPr>
            <w:tcW w:w="260" w:type="dxa"/>
            <w:vAlign w:val="bottom"/>
          </w:tcPr>
          <w:p>
            <w:pPr>
              <w:spacing w:after="0"/>
              <w:rPr>
                <w:sz w:val="20"/>
                <w:szCs w:val="20"/>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w:t>
            </w:r>
          </w:p>
        </w:tc>
      </w:tr>
      <w:tr>
        <w:trPr>
          <w:trHeight w:val="486"/>
        </w:trPr>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w:t>
            </w:r>
          </w:p>
        </w:tc>
      </w:tr>
      <w:tr>
        <w:trPr>
          <w:trHeight w:val="236"/>
        </w:trPr>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1,393</w:t>
            </w:r>
          </w:p>
        </w:tc>
        <w:tc>
          <w:tcPr>
            <w:tcW w:w="240" w:type="dxa"/>
            <w:vAlign w:val="bottom"/>
          </w:tcPr>
          <w:p>
            <w:pPr>
              <w:spacing w:after="0"/>
              <w:rPr>
                <w:sz w:val="20"/>
                <w:szCs w:val="20"/>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4,171</w:t>
            </w:r>
          </w:p>
        </w:tc>
        <w:tc>
          <w:tcPr>
            <w:tcW w:w="98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260" w:type="dxa"/>
            <w:vAlign w:val="bottom"/>
          </w:tcPr>
          <w:p>
            <w:pPr>
              <w:spacing w:after="0"/>
              <w:rPr>
                <w:sz w:val="20"/>
                <w:szCs w:val="20"/>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12,636</w:t>
            </w: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-814070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-496570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-187960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5120" w:space="720"/>
            <w:col w:w="5400"/>
          </w:cols>
          <w:pgMar w:left="320" w:top="282" w:right="339" w:bottom="1440" w:gutter="0" w:footer="0" w:header="0"/>
          <w:type w:val="continuous"/>
        </w:sectPr>
      </w:pPr>
    </w:p>
    <w:p>
      <w:pPr>
        <w:ind w:left="380" w:hanging="372"/>
        <w:spacing w:after="0"/>
        <w:tabs>
          <w:tab w:leader="none" w:pos="3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Included in selling, general and administrative expenses in the consolidated statements of income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type w:val="continuous"/>
        </w:sectPr>
      </w:pPr>
    </w:p>
    <w:bookmarkStart w:id="19" w:name="page20"/>
    <w:bookmarkEnd w:id="19"/>
    <w:p>
      <w:pPr>
        <w:ind w:firstLine="749"/>
        <w:spacing w:after="0" w:line="258" w:lineRule="auto"/>
        <w:rPr>
          <w:sz w:val="20"/>
          <w:szCs w:val="20"/>
          <w:color w:val="auto"/>
        </w:rPr>
      </w:pPr>
      <w:r>
        <w:rPr>
          <w:rFonts w:ascii="Times New Roman" w:cs="Times New Roman" w:eastAsia="Times New Roman" w:hAnsi="Times New Roman"/>
          <w:sz w:val="22"/>
          <w:szCs w:val="22"/>
          <w:color w:val="auto"/>
        </w:rPr>
        <w:t>For the nine months ended September 30, 2020, supplemental cash flow information related to leases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bottom w:val="single" w:sz="8" w:color="CFF0FC"/>
            </w:tcBorders>
          </w:tcPr>
          <w:p>
            <w:pPr>
              <w:spacing w:after="0"/>
              <w:rPr>
                <w:sz w:val="18"/>
                <w:szCs w:val="18"/>
                <w:color w:val="auto"/>
              </w:rPr>
            </w:pPr>
          </w:p>
        </w:tc>
        <w:tc>
          <w:tcPr>
            <w:tcW w:w="27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12"/>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7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11,252</w:t>
            </w:r>
          </w:p>
        </w:tc>
        <w:tc>
          <w:tcPr>
            <w:tcW w:w="100" w:type="dxa"/>
            <w:vAlign w:val="bottom"/>
            <w:shd w:val="clear" w:color="auto" w:fill="CFF0FC"/>
          </w:tcPr>
          <w:p>
            <w:pPr>
              <w:spacing w:after="0"/>
              <w:rPr>
                <w:sz w:val="18"/>
                <w:szCs w:val="18"/>
                <w:color w:val="auto"/>
              </w:rPr>
            </w:pPr>
          </w:p>
        </w:tc>
      </w:tr>
      <w:tr>
        <w:trPr>
          <w:trHeight w:val="21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obtained for operating lease liabilities</w:t>
            </w: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tcPr>
          <w:p>
            <w:pPr>
              <w:spacing w:after="0"/>
              <w:rPr>
                <w:sz w:val="18"/>
                <w:szCs w:val="18"/>
                <w:color w:val="auto"/>
              </w:rPr>
            </w:pPr>
          </w:p>
        </w:tc>
      </w:tr>
      <w:tr>
        <w:trPr>
          <w:trHeight w:val="21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 obtained for finance lease liabilities</w:t>
            </w:r>
          </w:p>
        </w:tc>
        <w:tc>
          <w:tcPr>
            <w:tcW w:w="320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19"/>
                <w:szCs w:val="19"/>
                <w:color w:val="auto"/>
              </w:rPr>
            </w:pPr>
          </w:p>
        </w:tc>
      </w:tr>
      <w:tr>
        <w:trPr>
          <w:trHeight w:val="471"/>
        </w:trPr>
        <w:tc>
          <w:tcPr>
            <w:tcW w:w="9700" w:type="dxa"/>
            <w:vAlign w:val="bottom"/>
            <w:gridSpan w:val="3"/>
          </w:tcPr>
          <w:p>
            <w:pPr>
              <w:ind w:left="760"/>
              <w:spacing w:after="0"/>
              <w:rPr>
                <w:sz w:val="20"/>
                <w:szCs w:val="20"/>
                <w:color w:val="auto"/>
              </w:rPr>
            </w:pPr>
            <w:r>
              <w:rPr>
                <w:rFonts w:ascii="Times New Roman" w:cs="Times New Roman" w:eastAsia="Times New Roman" w:hAnsi="Times New Roman"/>
                <w:sz w:val="22"/>
                <w:szCs w:val="22"/>
                <w:color w:val="auto"/>
              </w:rPr>
              <w:t>For the nine months ended September 30, 2020, other information related to leases were as follows: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tcBorders>
              <w:bottom w:val="single" w:sz="8" w:color="CFF0FC"/>
            </w:tcBorders>
          </w:tcPr>
          <w:p>
            <w:pPr>
              <w:spacing w:after="0"/>
              <w:rPr>
                <w:sz w:val="18"/>
                <w:szCs w:val="18"/>
                <w:color w:val="auto"/>
              </w:rPr>
            </w:pPr>
          </w:p>
        </w:tc>
        <w:tc>
          <w:tcPr>
            <w:tcW w:w="18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r>
      <w:tr>
        <w:trPr>
          <w:trHeight w:val="212"/>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 - operating leases</w:t>
            </w:r>
          </w:p>
        </w:tc>
        <w:tc>
          <w:tcPr>
            <w:tcW w:w="18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6"/>
                <w:szCs w:val="16"/>
                <w:color w:val="auto"/>
                <w:w w:val="99"/>
              </w:rPr>
              <w:t>6.1</w:t>
            </w:r>
          </w:p>
        </w:tc>
        <w:tc>
          <w:tcPr>
            <w:tcW w:w="140" w:type="dxa"/>
            <w:vAlign w:val="bottom"/>
            <w:shd w:val="clear" w:color="auto" w:fill="CFF0FC"/>
          </w:tcPr>
          <w:p>
            <w:pPr>
              <w:spacing w:after="0"/>
              <w:rPr>
                <w:sz w:val="18"/>
                <w:szCs w:val="18"/>
                <w:color w:val="auto"/>
              </w:rPr>
            </w:pPr>
          </w:p>
        </w:tc>
      </w:tr>
      <w:tr>
        <w:trPr>
          <w:trHeight w:val="213"/>
        </w:trPr>
        <w:tc>
          <w:tcPr>
            <w:tcW w:w="92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 - finance leases</w:t>
            </w:r>
          </w:p>
        </w:tc>
        <w:tc>
          <w:tcPr>
            <w:tcW w:w="188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9"/>
              </w:rPr>
              <w:t>4.2</w:t>
            </w:r>
          </w:p>
        </w:tc>
        <w:tc>
          <w:tcPr>
            <w:tcW w:w="140" w:type="dxa"/>
            <w:vAlign w:val="bottom"/>
          </w:tcPr>
          <w:p>
            <w:pPr>
              <w:spacing w:after="0"/>
              <w:rPr>
                <w:sz w:val="18"/>
                <w:szCs w:val="18"/>
                <w:color w:val="auto"/>
              </w:rPr>
            </w:pPr>
          </w:p>
        </w:tc>
      </w:tr>
      <w:tr>
        <w:trPr>
          <w:trHeight w:val="219"/>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2020" w:type="dxa"/>
            <w:vAlign w:val="bottom"/>
            <w:gridSpan w:val="2"/>
            <w:shd w:val="clear" w:color="auto" w:fill="CFF0FC"/>
          </w:tcPr>
          <w:p>
            <w:pPr>
              <w:ind w:left="1660"/>
              <w:spacing w:after="0"/>
              <w:rPr>
                <w:sz w:val="20"/>
                <w:szCs w:val="20"/>
                <w:color w:val="auto"/>
              </w:rPr>
            </w:pPr>
            <w:r>
              <w:rPr>
                <w:rFonts w:ascii="Times New Roman" w:cs="Times New Roman" w:eastAsia="Times New Roman" w:hAnsi="Times New Roman"/>
                <w:sz w:val="16"/>
                <w:szCs w:val="16"/>
                <w:color w:val="auto"/>
              </w:rPr>
              <w:t>4.4%</w:t>
            </w: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 - finance leases</w:t>
            </w: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6"/>
                <w:szCs w:val="16"/>
                <w:color w:val="auto"/>
              </w:rPr>
              <w:t>5.3%</w:t>
            </w:r>
          </w:p>
        </w:tc>
      </w:tr>
    </w:tbl>
    <w:p>
      <w:pPr>
        <w:spacing w:after="0" w:line="163"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7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reconciles the difference between the statutory federal income tax rate for the Company and the effective income tax rate on continuing operations for the nine months ended September 30,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Statutory rate</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180" w:type="dxa"/>
            <w:vAlign w:val="bottom"/>
          </w:tcPr>
          <w:p>
            <w:pPr>
              <w:spacing w:after="0"/>
              <w:rPr>
                <w:sz w:val="20"/>
                <w:szCs w:val="20"/>
                <w:color w:val="auto"/>
              </w:rPr>
            </w:pPr>
            <w:r>
              <w:rPr>
                <w:rFonts w:ascii="Times New Roman" w:cs="Times New Roman" w:eastAsia="Times New Roman" w:hAnsi="Times New Roman"/>
                <w:sz w:val="16"/>
                <w:szCs w:val="16"/>
                <w:color w:val="auto"/>
              </w:rPr>
              <w:t>Foreign taxes not creditable against U.S. income tax</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8"/>
                <w:szCs w:val="18"/>
                <w:color w:val="auto"/>
              </w:rPr>
            </w:pPr>
          </w:p>
        </w:tc>
      </w:tr>
      <w:tr>
        <w:trPr>
          <w:trHeight w:val="21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Falcon Global Acquisition</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3"/>
        </w:trPr>
        <w:tc>
          <w:tcPr>
            <w:tcW w:w="918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r>
      <w:tr>
        <w:trPr>
          <w:trHeight w:val="21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CARES Act NOL Carryback</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3"/>
        </w:trPr>
        <w:tc>
          <w:tcPr>
            <w:tcW w:w="91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8"/>
                <w:szCs w:val="18"/>
                <w:color w:val="auto"/>
              </w:rPr>
            </w:pPr>
          </w:p>
        </w:tc>
      </w:tr>
      <w:tr>
        <w:trPr>
          <w:trHeight w:val="210"/>
        </w:trPr>
        <w:tc>
          <w:tcPr>
            <w:tcW w:w="9180" w:type="dxa"/>
            <w:vAlign w:val="bottom"/>
            <w:tcBorders>
              <w:top w:val="single" w:sz="8" w:color="CFF0FC"/>
              <w:bottom w:val="single" w:sz="8" w:color="CFF0FC"/>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On June 26, 2020, the Company entered into a Tax Refund and Indemnification Agreement (the “Tax Refund Agreement”) with SEACOR Holdings Inc. (“SEACOR Holdings”), the Company’s former parent company. The Tax Refund Agreement will enable the Company to utilize net operating losses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Coronavirus Aid, Relief, and Economic Security Act (“CARES Act”) and for which SEACOR Holdings needs to claim the refund on behalf of the Company. As a result, the Company expects to receive cash tax refunds of approximately $31.2 million within the next 12 months, subject to the refund schedule of the Internal Revenue Service. The Internal Revenue Service has been recently experiencing delays in processing refund claims due in part to the COVID-19 pandemic.</w:t>
      </w:r>
    </w:p>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SEACOR Holdings will retain certain of the funds to facilitate tax savings realized by SEACOR Holdings of no less than 35% of the amount of its own 2019 NOLs. Additionally, a $3.0 million transaction fee was paid to SEACOR Holdings concurrently with the signing of the agreement as consideration for its cooperation in connection with the filing of the applicable tax refund returns. As of September 30, 2020, the Tax Refund Agreement does not restrict the use of approximately $19.7 million of the refund, with the remaining approximately $11.5 million required to be deposited into an account to be used solely to satisfy certain of the Company’s obligations that remain guaranteed by SEACOR Holdings. These obligations primarily relate to vessel operating leases of approximately $10.4 million as of September 30, 2020. Two of these vessel operating leases expire in the fourth quarter of 2020, with the remaining three vessel operating leases that SEACOR Holdings guarantees expiring in 2021.</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During the third quarter the Company received a $1.6 million tax refund that had been withheld by the State of Qatar from vessel revenues between 2010 and 2016. Of this amount, approximately $0.3 million will be claimed as foreign tax credits by SEACOR Holdings on its U.S. tax return prior to the spin-off of SEACOR Marine in 2017. Subject to final resolution of taxes with the State of Qatar, these amounts are expected to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jc w:val="both"/>
        <w:spacing w:after="0"/>
        <w:rPr>
          <w:sz w:val="20"/>
          <w:szCs w:val="20"/>
          <w:color w:val="auto"/>
        </w:rPr>
      </w:pPr>
      <w:r>
        <w:rPr>
          <w:rFonts w:ascii="Times New Roman" w:cs="Times New Roman" w:eastAsia="Times New Roman" w:hAnsi="Times New Roman"/>
          <w:sz w:val="22"/>
          <w:szCs w:val="22"/>
          <w:color w:val="auto"/>
        </w:rPr>
        <w:t>remitted to SEACOR Holdings Inc. The remaining amount relates to foreign taxes that were considered in computing earnings and profits and available foreign taxes of foreign subsidiaries of the Company and will require the Company to recompute its 2017 tax liability under IRC Section 965. The additional U.S. tax liability of the Company under Section 965 due to these refunds is expected to be approximately $0.4 million.</w:t>
      </w:r>
    </w:p>
    <w:p>
      <w:pPr>
        <w:spacing w:after="0" w:line="173" w:lineRule="exact"/>
        <w:rPr>
          <w:sz w:val="20"/>
          <w:szCs w:val="20"/>
          <w:color w:val="auto"/>
        </w:rPr>
      </w:pPr>
    </w:p>
    <w:p>
      <w:pPr>
        <w:ind w:left="760" w:hanging="752"/>
        <w:spacing w:after="0"/>
        <w:tabs>
          <w:tab w:leader="none" w:pos="76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DERIVATIVE INSTRUMENTS AND HEDGING STRATEGIES</w:t>
      </w:r>
    </w:p>
    <w:p>
      <w:pPr>
        <w:spacing w:after="0" w:line="17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Derivative instruments are classified as either assets or liabilities based on their individual fair values. The fair values of the Company’s derivative instruments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00" w:type="dxa"/>
            <w:vAlign w:val="bottom"/>
          </w:tcPr>
          <w:p>
            <w:pPr>
              <w:spacing w:after="0"/>
              <w:rPr>
                <w:sz w:val="18"/>
                <w:szCs w:val="18"/>
                <w:color w:val="auto"/>
              </w:rPr>
            </w:pPr>
          </w:p>
        </w:tc>
        <w:tc>
          <w:tcPr>
            <w:tcW w:w="22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197"/>
        </w:trPr>
        <w:tc>
          <w:tcPr>
            <w:tcW w:w="6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7"/>
                <w:szCs w:val="17"/>
                <w:color w:val="auto"/>
              </w:rPr>
            </w:pPr>
          </w:p>
        </w:tc>
      </w:tr>
      <w:tr>
        <w:trPr>
          <w:trHeight w:val="215"/>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Liability</w:t>
            </w:r>
          </w:p>
        </w:tc>
      </w:tr>
      <w:tr>
        <w:trPr>
          <w:trHeight w:val="213"/>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 agreements (cash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tcPr>
          <w:p>
            <w:pPr>
              <w:spacing w:after="0"/>
              <w:rPr>
                <w:sz w:val="18"/>
                <w:szCs w:val="18"/>
                <w:color w:val="auto"/>
              </w:rPr>
            </w:pPr>
          </w:p>
        </w:tc>
      </w:tr>
      <w:tr>
        <w:trPr>
          <w:trHeight w:val="212"/>
        </w:trPr>
        <w:tc>
          <w:tcPr>
            <w:tcW w:w="64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100" w:type="dxa"/>
            <w:vAlign w:val="bottom"/>
            <w:shd w:val="clear" w:color="auto" w:fill="CFF0FC"/>
          </w:tcPr>
          <w:p>
            <w:pPr>
              <w:spacing w:after="0"/>
              <w:rPr>
                <w:sz w:val="19"/>
                <w:szCs w:val="19"/>
                <w:color w:val="auto"/>
              </w:rPr>
            </w:pPr>
          </w:p>
        </w:tc>
      </w:tr>
      <w:tr>
        <w:trPr>
          <w:trHeight w:val="207"/>
        </w:trPr>
        <w:tc>
          <w:tcPr>
            <w:tcW w:w="64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8,214</w:t>
            </w:r>
          </w:p>
        </w:tc>
        <w:tc>
          <w:tcPr>
            <w:tcW w:w="10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Cash Flow Hedges. </w:t>
      </w:r>
      <w:r>
        <w:rPr>
          <w:rFonts w:ascii="Times New Roman" w:cs="Times New Roman" w:eastAsia="Times New Roman" w:hAnsi="Times New Roman"/>
          <w:sz w:val="22"/>
          <w:szCs w:val="22"/>
          <w:color w:val="auto"/>
        </w:rPr>
        <w:t>The Company and certain of its 50% or less owned companies have interest rate swap agreements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designated as cash flow hedges. By entering into these interest rate swap agreements, the Company and its 50% or less owned companies have converted the variable LIBOR or EURIBOR component of certain of their outstanding borrowings to a fixed interest rate. The Company recognized losses on derivative instruments designated as cash flow hedges of $1.1 million for the nine months ended September 30, 2020, and losses of $1.9 million for the nine months ended September 30, 2019 as a component of other comprehensive loss. As of September 30, 2020, the interest rate swaps held by the Company and certain of the Company’s 50% or less owned companies were as follows</w:t>
      </w:r>
      <w:r>
        <w:rPr>
          <w:rFonts w:ascii="Times New Roman" w:cs="Times New Roman" w:eastAsia="Times New Roman" w:hAnsi="Times New Roman"/>
          <w:sz w:val="22"/>
          <w:szCs w:val="22"/>
          <w:b w:val="1"/>
          <w:bCs w:val="1"/>
          <w:i w:val="1"/>
          <w:iCs w:val="1"/>
          <w:color w:val="auto"/>
        </w:rPr>
        <w:t>:</w:t>
      </w:r>
    </w:p>
    <w:p>
      <w:pPr>
        <w:spacing w:after="0" w:line="74" w:lineRule="exact"/>
        <w:rPr>
          <w:sz w:val="20"/>
          <w:szCs w:val="20"/>
          <w:color w:val="auto"/>
        </w:rPr>
      </w:pPr>
    </w:p>
    <w:p>
      <w:pPr>
        <w:jc w:val="both"/>
        <w:ind w:left="1260" w:hanging="510"/>
        <w:spacing w:after="0" w:line="244" w:lineRule="auto"/>
        <w:tabs>
          <w:tab w:leader="none" w:pos="1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Windcat Workboats had two interest rate swap agreements maturing in 2021 that call for the Company to pay a fixed rate of interest of (0.03%) plus a margin on the aggregate notional value of €15.0 million (approximately $17.6 million) and receive a variable interest rate based on EURIBOR on the aggregate notional value;</w:t>
      </w:r>
    </w:p>
    <w:p>
      <w:pPr>
        <w:spacing w:after="0" w:line="65" w:lineRule="exact"/>
        <w:rPr>
          <w:rFonts w:ascii="Times New Roman" w:cs="Times New Roman" w:eastAsia="Times New Roman" w:hAnsi="Times New Roman"/>
          <w:sz w:val="22"/>
          <w:szCs w:val="22"/>
          <w:color w:val="auto"/>
        </w:rPr>
      </w:pPr>
    </w:p>
    <w:p>
      <w:pPr>
        <w:jc w:val="both"/>
        <w:ind w:left="1260" w:hanging="510"/>
        <w:spacing w:after="0" w:line="244" w:lineRule="auto"/>
        <w:tabs>
          <w:tab w:leader="none" w:pos="1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SMFH had an interest rate swap agreement maturing in 2023 that calls for SMFH to pay a fixed rate of interest of 3.32% per annum on the amortized notional value of $8.0 million and receive a variable interest rate based on LIBOR on the amortized notional value;</w:t>
      </w:r>
    </w:p>
    <w:p>
      <w:pPr>
        <w:spacing w:after="0" w:line="65" w:lineRule="exact"/>
        <w:rPr>
          <w:rFonts w:ascii="Times New Roman" w:cs="Times New Roman" w:eastAsia="Times New Roman" w:hAnsi="Times New Roman"/>
          <w:sz w:val="22"/>
          <w:szCs w:val="22"/>
          <w:color w:val="auto"/>
        </w:rPr>
      </w:pPr>
    </w:p>
    <w:p>
      <w:pPr>
        <w:jc w:val="both"/>
        <w:ind w:left="1260" w:hanging="510"/>
        <w:spacing w:after="0" w:line="244" w:lineRule="auto"/>
        <w:tabs>
          <w:tab w:leader="none" w:pos="1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SMFH had an interest rate swap agreement maturing in 2023 that calls for SMFH to pay a fixed rate of interest of 3.195% per annum on the amortized notional value of $44.4 million and receive a variable interest rate based on LIBOR on the amortized notional value;</w:t>
      </w:r>
    </w:p>
    <w:p>
      <w:pPr>
        <w:spacing w:after="0" w:line="65" w:lineRule="exact"/>
        <w:rPr>
          <w:rFonts w:ascii="Times New Roman" w:cs="Times New Roman" w:eastAsia="Times New Roman" w:hAnsi="Times New Roman"/>
          <w:sz w:val="22"/>
          <w:szCs w:val="22"/>
          <w:color w:val="auto"/>
        </w:rPr>
      </w:pPr>
    </w:p>
    <w:p>
      <w:pPr>
        <w:jc w:val="both"/>
        <w:ind w:left="1260" w:hanging="510"/>
        <w:spacing w:after="0" w:line="239" w:lineRule="auto"/>
        <w:tabs>
          <w:tab w:leader="none" w:pos="1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SEACOR 88 LLC and SEACOR 888 LLC, both indirect wholly-owned subsidiaries of SEACOR Marine (collectively, “SEACOR 88/888”), have an interest rate swap agreement maturing in 2023 that calls for SEACOR 88/888 to pay a fixed rate of interest of 3.175% per annum on the amortized notional value of $5.5 million and receive a variable interest rate based on LIBOR on the amortized notional value; and</w:t>
      </w:r>
    </w:p>
    <w:p>
      <w:pPr>
        <w:spacing w:after="0" w:line="72" w:lineRule="exact"/>
        <w:rPr>
          <w:rFonts w:ascii="Times New Roman" w:cs="Times New Roman" w:eastAsia="Times New Roman" w:hAnsi="Times New Roman"/>
          <w:sz w:val="22"/>
          <w:szCs w:val="22"/>
          <w:color w:val="auto"/>
        </w:rPr>
      </w:pPr>
    </w:p>
    <w:p>
      <w:pPr>
        <w:jc w:val="both"/>
        <w:ind w:left="1260" w:hanging="510"/>
        <w:spacing w:after="0" w:line="239" w:lineRule="auto"/>
        <w:tabs>
          <w:tab w:leader="none" w:pos="1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Mantenimiento Express Maritimo, S.A.P.I. de C.V. (“MexMar”), in which the Company has a 49% noncontrolling interest, has five interest rate swap agreements with maturities in 2023 that call for MexMar to pay fixed rates of interest ranging from 1.71% to 2.10% per annum on the aggregate amortized notional value of $72.8 million and receive a variable interest rate based on LIBOR on the aggregate amortized notional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Derivative Instruments. </w:t>
      </w:r>
      <w:r>
        <w:rPr>
          <w:rFonts w:ascii="Times New Roman" w:cs="Times New Roman" w:eastAsia="Times New Roman" w:hAnsi="Times New Roman"/>
          <w:sz w:val="22"/>
          <w:szCs w:val="22"/>
          <w:color w:val="auto"/>
        </w:rPr>
        <w:t>The Company recognized gains (losses) on derivative instruments not designated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hedging instruments for the three and nine months ended September 30,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1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5840" w:type="dxa"/>
            <w:vAlign w:val="bottom"/>
            <w:tcBorders>
              <w:bottom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1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74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3,057</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FF0FC"/>
          </w:tcPr>
          <w:p>
            <w:pPr>
              <w:spacing w:after="0"/>
              <w:rPr>
                <w:sz w:val="18"/>
                <w:szCs w:val="18"/>
                <w:color w:val="auto"/>
              </w:rPr>
            </w:pPr>
          </w:p>
        </w:tc>
      </w:tr>
      <w:tr>
        <w:trPr>
          <w:trHeight w:val="207"/>
        </w:trPr>
        <w:tc>
          <w:tcPr>
            <w:tcW w:w="5840" w:type="dxa"/>
            <w:vAlign w:val="bottom"/>
          </w:tcPr>
          <w:p>
            <w:pPr>
              <w:spacing w:after="0"/>
              <w:rPr>
                <w:sz w:val="17"/>
                <w:szCs w:val="17"/>
                <w:color w:val="auto"/>
              </w:rPr>
            </w:pPr>
          </w:p>
        </w:tc>
        <w:tc>
          <w:tcPr>
            <w:tcW w:w="7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17"/>
                <w:szCs w:val="17"/>
                <w:color w:val="auto"/>
              </w:rPr>
            </w:pPr>
          </w:p>
        </w:tc>
        <w:tc>
          <w:tcPr>
            <w:tcW w:w="7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3,057</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conversion option liability relates to the bifurcated embedded conversion option in the Convertible Senior Notes issued to investment funds managed and controlled by The Carlyle Group (see “Note 9. Fair Value Measurements”).</w:t>
      </w:r>
    </w:p>
    <w:p>
      <w:pPr>
        <w:spacing w:after="0" w:line="154" w:lineRule="exact"/>
        <w:rPr>
          <w:sz w:val="20"/>
          <w:szCs w:val="20"/>
          <w:color w:val="auto"/>
        </w:rPr>
      </w:pPr>
    </w:p>
    <w:p>
      <w:pPr>
        <w:ind w:left="760" w:hanging="752"/>
        <w:spacing w:after="0"/>
        <w:tabs>
          <w:tab w:leader="none" w:pos="7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FAIR VALUE MEASUREMENTS</w:t>
      </w:r>
    </w:p>
    <w:p>
      <w:pPr>
        <w:spacing w:after="0" w:line="18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1 inputs are quoted prices in active markets for identical assets or liabilities.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2 inputs are observable inputs other than quoted prices included in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3 inputs are unobservable inputs that are supported by little or no market activity and are significant to the fair value of the assets or liabilities.</w:t>
      </w:r>
    </w:p>
    <w:p>
      <w:pPr>
        <w:spacing w:after="0" w:line="1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Company’s financial assets and liabilities as of September 30, 2020 and December 31, 2019 that are measured at fair value on a recurring basis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r>
      <w:tr>
        <w:trPr>
          <w:trHeight w:val="21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1"/>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reserve funds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100" w:type="dxa"/>
            <w:vAlign w:val="bottom"/>
            <w:shd w:val="clear" w:color="auto" w:fill="CFF0FC"/>
          </w:tcPr>
          <w:p>
            <w:pPr>
              <w:spacing w:after="0"/>
              <w:rPr>
                <w:sz w:val="19"/>
                <w:szCs w:val="19"/>
                <w:color w:val="auto"/>
              </w:rPr>
            </w:pPr>
          </w:p>
        </w:tc>
      </w:tr>
    </w:tbl>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Level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b w:val="1"/>
          <w:bCs w:val="1"/>
          <w:i w:val="1"/>
          <w:iCs w:val="1"/>
          <w:color w:val="auto"/>
        </w:rPr>
        <w:t xml:space="preserve"> Measurement</w:t>
      </w:r>
      <w:r>
        <w:rPr>
          <w:rFonts w:ascii="Times New Roman" w:cs="Times New Roman" w:eastAsia="Times New Roman" w:hAnsi="Times New Roman"/>
          <w:sz w:val="22"/>
          <w:szCs w:val="22"/>
          <w:color w:val="auto"/>
        </w:rPr>
        <w:t>. The fair value of the conversion option liability embedded in the Convertible Senior Notes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estimated with significant inputs that are both observable and unobservable in the market and therefore is considered a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2" w:name="page23"/>
    <w:bookmarkEnd w:id="22"/>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estimated fair values of the Company’s other financial assets and liabilities as of September 30, 2020 and December 31, 2019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5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48,531</w:t>
            </w:r>
          </w:p>
        </w:tc>
        <w:tc>
          <w:tcPr>
            <w:tcW w:w="24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 at cost, in 50% or less owned companies (included in other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505,072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477,430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1"/>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87,047</w:t>
            </w:r>
          </w:p>
        </w:tc>
        <w:tc>
          <w:tcPr>
            <w:tcW w:w="24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87,047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 at cost, in 50% or less owned companies (included in other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398,053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380,815</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w:t>
            </w:r>
          </w:p>
        </w:tc>
      </w:tr>
    </w:tbl>
    <w:p>
      <w:pPr>
        <w:spacing w:after="0" w:line="18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It was not practicable to estimate the fair value of certain of the Company’s investments, at cost, in 50% or less owned companies because of the lack of quoted market prices and the inability to estimate fair value without incurring excessive costs. Considerable judgment was required in developing certain of the estimates of fair value including the consideration of the recent COVID-19 pandemic that has caused significant volatility in U.S. and international markets, and, accordingly, the estimates presented herein are not necessarily indicative of the amounts that the Company could realize in a current market exchange.</w:t>
      </w:r>
    </w:p>
    <w:p>
      <w:pPr>
        <w:spacing w:after="0" w:line="15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Company’s other assets and liabilities that were measured at fair value during the nine months ended September 30, 2020 and the year ended December 31, 2019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Liftboats</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1"/>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AHTS</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FSVs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r>
    </w:tbl>
    <w:p>
      <w:pPr>
        <w:spacing w:after="0" w:line="18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Property and equipment</w:t>
      </w:r>
      <w:r>
        <w:rPr>
          <w:rFonts w:ascii="Times New Roman" w:cs="Times New Roman" w:eastAsia="Times New Roman" w:hAnsi="Times New Roman"/>
          <w:sz w:val="22"/>
          <w:szCs w:val="22"/>
          <w:color w:val="auto"/>
        </w:rPr>
        <w:t>. During the three months ended September 30, 2020, the Company recognized no impairment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charges and during the nine months ended September 30, 2020 the Company recognized impairment charges of $12.5 million, associated with liftboat and specialty vessel impairments. During the three months ended September 30, 2020 the Company sold its only remaining specialty vessel. The </w:t>
      </w:r>
      <w:r>
        <w:rPr>
          <w:rFonts w:ascii="Times New Roman" w:cs="Times New Roman" w:eastAsia="Times New Roman" w:hAnsi="Times New Roman"/>
          <w:sz w:val="22"/>
          <w:szCs w:val="22"/>
          <w:i w:val="1"/>
          <w:iCs w:val="1"/>
          <w:color w:val="auto"/>
        </w:rPr>
        <w:t>Level 2</w:t>
      </w:r>
      <w:r>
        <w:rPr>
          <w:rFonts w:ascii="Times New Roman" w:cs="Times New Roman" w:eastAsia="Times New Roman" w:hAnsi="Times New Roman"/>
          <w:sz w:val="22"/>
          <w:szCs w:val="22"/>
          <w:color w:val="auto"/>
        </w:rPr>
        <w:t xml:space="preserve"> fair values were determined based on ordinary liquidation value and indicative sales price.</w:t>
      </w:r>
    </w:p>
    <w:p>
      <w:pPr>
        <w:spacing w:after="0" w:line="133"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STOCKHOLDERS’ EQUITY</w:t>
      </w:r>
    </w:p>
    <w:p>
      <w:pPr>
        <w:spacing w:after="0" w:line="17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 March 20, 2020, SEACOR LB Holdings LLC, an indirect wholly-owned subsidiary of SEACOR Marine (“SEACOR LB Holdings”), entered into a membership interest purchase agreement with SEACOR Marine, Montco Offshore, LLC (“Montco”) and Lee Orgeron, the principal of Montco, pursuant to which SEACOR LB Holdings purchased the 28% minority equity interest in Falcon Global Holdings held by Montco in exchange for 900,000 shares of SEACOR Marine Common Stock issued to Montco as consideration in a private placement. The purchase resulted in the Company owning 100% of Falcon Global Holdings.</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 has previously registered 2,174,000 shares of Common Stock (“Common Shares”) for issuance under the SEACOR Marine Holdings Inc. 2017 Equity Incentive Plan (the “2017 Equity Incentive</w:t>
      </w:r>
    </w:p>
    <w:p>
      <w:pPr>
        <w:sectPr>
          <w:pgSz w:w="11900" w:h="16838" w:orient="portrait"/>
          <w:cols w:equalWidth="0" w:num="1">
            <w:col w:w="11240"/>
          </w:cols>
          <w:pgMar w:left="320" w:top="288"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23" w:name="page24"/>
    <w:bookmarkEnd w:id="23"/>
    <w:p>
      <w:pPr>
        <w:jc w:val="both"/>
        <w:spacing w:after="0" w:line="234" w:lineRule="auto"/>
        <w:rPr>
          <w:sz w:val="20"/>
          <w:szCs w:val="20"/>
          <w:color w:val="auto"/>
        </w:rPr>
      </w:pPr>
      <w:r>
        <w:rPr>
          <w:rFonts w:ascii="Times New Roman" w:cs="Times New Roman" w:eastAsia="Times New Roman" w:hAnsi="Times New Roman"/>
          <w:sz w:val="22"/>
          <w:szCs w:val="22"/>
          <w:color w:val="auto"/>
        </w:rPr>
        <w:t>Plan”). The Company’s shareholders approved the SEACOR Marine Holdings Inc. 2020 Equity Incentive Plan (the “2020 Equity Incentive Plan”) at the annual meeting of shareholders held on June 9, 2020 (the “Approval Date”), which authorized the issuance of 2,080,000 Common Shares under the 2020 Equity Incentive Plan. On June 9, 2020 the Company filed a registration statement on Form S-8 with the Securities and Exchange Commission (“SEC”) with respect to the registration of 2,114,821 Common Shares, representing the 2,080,000 Common Shares approved by the Company’s shareholders for issuance under the 2020 Equity Incentive Plan, plus 24,821 Common Shares remaining available for issuance under the 2017 Equity Incentive Plan as of the Approval Date that will be available for issuance under the 2020 Equity Incentive Plan, plus Common Shares subject to awards outstanding under the 2017 Equity Incentive Plan, that pursuant to the terms of the 2017 Equity Incentive Plan and the 2020 Equity Incentive Plan, may be available for future issuance under the 2020 Equity Incentive Plan.</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On September 1, 2020 and September 18, 2020, 255,307 and 83,367 Warrants were exercised, respectfully, for a penny per share resulting in 1,488,292 Warrants outstanding at September 30, 2020. In connection with the exercise of Warrants on September 18, 2020, 354 Common Shares were withheld as payment for the exercise price of the exercised Warrants.</w:t>
      </w:r>
    </w:p>
    <w:p>
      <w:pPr>
        <w:spacing w:after="0" w:line="126"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NONCONTROLLING INTERESTS IN SUBSIDIARIES</w:t>
      </w:r>
    </w:p>
    <w:p>
      <w:pPr>
        <w:spacing w:after="0" w:line="183"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Noncontrolling interests in the Company’s consolidated subsidiaries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30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2"/>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Falcon Global Holdings</w:t>
            </w:r>
          </w:p>
        </w:tc>
        <w:tc>
          <w:tcPr>
            <w:tcW w:w="2220" w:type="dxa"/>
            <w:vAlign w:val="bottom"/>
            <w:tcBorders>
              <w:top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21,119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3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220" w:type="dxa"/>
            <w:vAlign w:val="bottom"/>
            <w:tcBorders>
              <w:bottom w:val="single" w:sz="8" w:color="CFF0FC"/>
            </w:tcBorders>
          </w:tcPr>
          <w:p>
            <w:pPr>
              <w:jc w:val="right"/>
              <w:ind w:right="739"/>
              <w:spacing w:after="0"/>
              <w:rPr>
                <w:sz w:val="20"/>
                <w:szCs w:val="20"/>
                <w:color w:val="auto"/>
              </w:rPr>
            </w:pPr>
            <w:r>
              <w:rPr>
                <w:rFonts w:ascii="Times New Roman" w:cs="Times New Roman" w:eastAsia="Times New Roman" w:hAnsi="Times New Roman"/>
                <w:sz w:val="16"/>
                <w:szCs w:val="16"/>
                <w:color w:val="auto"/>
              </w:rPr>
              <w:t>1.8-3.0%</w:t>
            </w:r>
          </w:p>
        </w:tc>
        <w:tc>
          <w:tcPr>
            <w:tcW w:w="300" w:type="dxa"/>
            <w:vAlign w:val="bottom"/>
            <w:tcBorders>
              <w:bottom w:val="single" w:sz="8" w:color="CFF0FC"/>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FF0FC"/>
            </w:tcBorders>
          </w:tcPr>
          <w:p>
            <w:pPr>
              <w:spacing w:after="0"/>
              <w:rPr>
                <w:sz w:val="18"/>
                <w:szCs w:val="18"/>
                <w:color w:val="auto"/>
              </w:rPr>
            </w:pPr>
          </w:p>
        </w:tc>
      </w:tr>
      <w:tr>
        <w:trPr>
          <w:trHeight w:val="209"/>
        </w:trPr>
        <w:tc>
          <w:tcPr>
            <w:tcW w:w="3880" w:type="dxa"/>
            <w:vAlign w:val="bottom"/>
            <w:tcBorders>
              <w:bottom w:val="single" w:sz="8" w:color="CFF0FC"/>
            </w:tcBorders>
            <w:shd w:val="clear" w:color="auto" w:fill="CFF0FC"/>
          </w:tcPr>
          <w:p>
            <w:pPr>
              <w:spacing w:after="0"/>
              <w:rPr>
                <w:sz w:val="18"/>
                <w:szCs w:val="18"/>
                <w:color w:val="auto"/>
              </w:rPr>
            </w:pPr>
          </w:p>
        </w:tc>
        <w:tc>
          <w:tcPr>
            <w:tcW w:w="2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171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Before March 20, 2020, noncontrolling interest was 28%.</w:t>
      </w:r>
    </w:p>
    <w:p>
      <w:pPr>
        <w:spacing w:after="0" w:line="16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Falcon Global Holdings. </w:t>
      </w:r>
      <w:r>
        <w:rPr>
          <w:rFonts w:ascii="Times New Roman" w:cs="Times New Roman" w:eastAsia="Times New Roman" w:hAnsi="Times New Roman"/>
          <w:sz w:val="22"/>
          <w:szCs w:val="22"/>
          <w:color w:val="auto"/>
        </w:rPr>
        <w:t>Prior to March 20, 2020, the Company held 72% of the equity interest in Falcon Global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Holdings. On March 20, 2020, the Company completed the acquisition of the remaining 28% minority interest in Falcon Global Holdings, resulting in the Company’s 100% ownership of Falcon Global Holdings. Consideration paid by the Company was 900,000 shares of Common Stock issued in a private placement to the seller of the minority interest, Montco.</w:t>
      </w:r>
    </w:p>
    <w:p>
      <w:pPr>
        <w:spacing w:after="0" w:line="13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Prior to the acquisition of the remaining noncontrolling interest in Falcon Global Holdings the net loss attributable to Falcon Global was $16.6 million, of which $4.6 million was attributable to noncontrolling interest.</w:t>
      </w:r>
    </w:p>
    <w:p>
      <w:pPr>
        <w:spacing w:after="0" w:line="154" w:lineRule="exact"/>
        <w:rPr>
          <w:sz w:val="20"/>
          <w:szCs w:val="20"/>
          <w:color w:val="auto"/>
        </w:rPr>
      </w:pPr>
    </w:p>
    <w:p>
      <w:pPr>
        <w:ind w:left="760" w:hanging="752"/>
        <w:spacing w:after="0"/>
        <w:tabs>
          <w:tab w:leader="none" w:pos="7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COMMITMENTS AND CONTINGENCIES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of September 30, 2020, the Company’s unfunded capital commitments were $13.1 million for two PSVs, one CTV and miscellaneous vessel equipment. Of the amount of unfunded capital commitments, $1.5 million is payable during the remainder of 2020 and $11.6 million is payable during 2021. The Company has indefinitely deferred an additional $9.6 million of orders with respect to one FSV that the Company had previously reported unfunded capital commitments.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4" w:name="page25"/>
    <w:bookmarkEnd w:id="24"/>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Recently, a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R$18.05 million based on a historical potential levy of R$12.87 million (USD $3.2 million and USD $2.3 million, respectively, based on the exchange rate as of September 30, 2020).</w:t>
      </w:r>
    </w:p>
    <w:p>
      <w:pPr>
        <w:spacing w:after="0" w:line="15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of September 30, 2020, SEACOR Holdings has guaranteed $10.4 million on behalf of the Company for performance obligations under sale-leaseback arrangements. Pursuant to a Distribution Agreement with SEACOR Holdings, SEACOR Holdings charges the Company a fee of 0.5% per annum on outstanding guaranteed amounts which declines as the obligations are settled by the Company.</w:t>
      </w:r>
    </w:p>
    <w:p>
      <w:pPr>
        <w:spacing w:after="0" w:line="14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37" w:lineRule="exact"/>
        <w:rPr>
          <w:sz w:val="20"/>
          <w:szCs w:val="20"/>
          <w:color w:val="auto"/>
        </w:rPr>
      </w:pPr>
    </w:p>
    <w:p>
      <w:pPr>
        <w:ind w:left="760" w:hanging="752"/>
        <w:spacing w:after="0"/>
        <w:tabs>
          <w:tab w:leader="none" w:pos="7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BASED COMPENSATION</w:t>
      </w:r>
    </w:p>
    <w:p>
      <w:pPr>
        <w:spacing w:after="0" w:line="17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Transactions in connection with the Company’s Equity Incentive Plans during the nine months ended September 30, 2020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Restricted Stock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December 31, 2019</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303,609</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Granted</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289,452</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(115,185)</w:t>
            </w:r>
          </w:p>
        </w:tc>
      </w:tr>
      <w:tr>
        <w:trPr>
          <w:trHeight w:val="21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1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(8,182)</w:t>
            </w:r>
          </w:p>
        </w:tc>
      </w:tr>
      <w:tr>
        <w:trPr>
          <w:trHeight w:val="247"/>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as of September 30, 2020</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469,694</w:t>
            </w:r>
          </w:p>
        </w:tc>
        <w:tc>
          <w:tcPr>
            <w:tcW w:w="100" w:type="dxa"/>
            <w:vAlign w:val="bottom"/>
            <w:tcBorders>
              <w:bottom w:val="single" w:sz="8" w:color="CFF0FC"/>
            </w:tcBorders>
          </w:tcPr>
          <w:p>
            <w:pPr>
              <w:spacing w:after="0"/>
              <w:rPr>
                <w:sz w:val="21"/>
                <w:szCs w:val="21"/>
                <w:color w:val="auto"/>
              </w:rPr>
            </w:pPr>
          </w:p>
        </w:tc>
      </w:tr>
      <w:tr>
        <w:trPr>
          <w:trHeight w:val="199"/>
        </w:trPr>
        <w:tc>
          <w:tcPr>
            <w:tcW w:w="92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4"/>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 Option Activity: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December 31, 2019</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913,569</w:t>
            </w: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261,972</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(20,000)</w:t>
            </w:r>
          </w:p>
        </w:tc>
      </w:tr>
      <w:tr>
        <w:trPr>
          <w:trHeight w:val="213"/>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(35,000)</w:t>
            </w:r>
          </w:p>
        </w:tc>
      </w:tr>
      <w:tr>
        <w:trPr>
          <w:trHeight w:val="210"/>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September 30, 2020</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1,120,541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the nine months ended September 30, 2020, the Company acquired for treasury 26,097 shares of Common Stock for an aggregate purchase price of 0.2 million from its employees to cover their tax withholding obligations upon the lapsing of restrictions on share awards. These shares were purchased in accordance with the terms of the Company’s 2017 Equity Incentive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5" w:name="page26"/>
    <w:bookmarkEnd w:id="25"/>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On June 9, 2020, the Company filed a registration statement on Form S-8 with the SEC pursuant to which it registered 2,114,821 Common Shares in connection with the approval by the shareholders of the Company of the 2020 Equity Incentive Plan. Refer to “Note 10. Stockholders’ Equity” for discussion of the Common Share registration under both the 2017 Equity Incentive Plan and the 2020 Equity Incentive Plan.</w:t>
      </w:r>
    </w:p>
    <w:p>
      <w:pPr>
        <w:spacing w:after="0" w:line="176" w:lineRule="exact"/>
        <w:rPr>
          <w:sz w:val="20"/>
          <w:szCs w:val="20"/>
          <w:color w:val="auto"/>
        </w:rPr>
      </w:pPr>
    </w:p>
    <w:p>
      <w:pPr>
        <w:ind w:left="920" w:hanging="912"/>
        <w:spacing w:after="0"/>
        <w:tabs>
          <w:tab w:leader="none" w:pos="92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SEGMENT INFORMATION</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Company’s segment presentation and basis of measurement of segment profit or loss are as previously described in the 2019 Annual Report. Certain reclassifications of prior period information have been made to conform the current period’s reportable segment presentation as a result of the Company’s presentation of Discontinued Operations (see “Note 15. Discontinued Operations”). The following tables summarize the operating results, capital expenditures and assets of the Company’s reportable segments for the periods indicated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12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Latin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North</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12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Sea)</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2020</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43,586</w:t>
            </w:r>
          </w:p>
        </w:tc>
        <w:tc>
          <w:tcPr>
            <w:tcW w:w="100" w:type="dxa"/>
            <w:vAlign w:val="bottom"/>
            <w:shd w:val="clear" w:color="auto" w:fill="CFF0FC"/>
          </w:tcPr>
          <w:p>
            <w:pPr>
              <w:spacing w:after="0"/>
              <w:rPr>
                <w:sz w:val="19"/>
                <w:szCs w:val="19"/>
                <w:color w:val="auto"/>
              </w:rPr>
            </w:pPr>
          </w:p>
        </w:tc>
      </w:tr>
      <w:tr>
        <w:trPr>
          <w:trHeight w:val="213"/>
        </w:trPr>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FF0FC"/>
          </w:tcPr>
          <w:p>
            <w:pPr>
              <w:spacing w:after="0"/>
              <w:rPr>
                <w:sz w:val="18"/>
                <w:szCs w:val="18"/>
                <w:color w:val="auto"/>
              </w:rPr>
            </w:pPr>
          </w:p>
        </w:tc>
      </w:tr>
      <w:tr>
        <w:trPr>
          <w:trHeight w:val="209"/>
        </w:trPr>
        <w:tc>
          <w:tcPr>
            <w:tcW w:w="43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13,968</w:t>
            </w:r>
          </w:p>
        </w:tc>
        <w:tc>
          <w:tcPr>
            <w:tcW w:w="2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12,768</w:t>
            </w:r>
          </w:p>
        </w:tc>
        <w:tc>
          <w:tcPr>
            <w:tcW w:w="2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45,697</w:t>
            </w:r>
          </w:p>
        </w:tc>
        <w:tc>
          <w:tcPr>
            <w:tcW w:w="100" w:type="dxa"/>
            <w:vAlign w:val="bottom"/>
            <w:tcBorders>
              <w:bottom w:val="single" w:sz="8" w:color="CFF0FC"/>
            </w:tcBorders>
          </w:tcPr>
          <w:p>
            <w:pPr>
              <w:spacing w:after="0"/>
              <w:rPr>
                <w:sz w:val="18"/>
                <w:szCs w:val="18"/>
                <w:color w:val="auto"/>
              </w:rPr>
            </w:pPr>
          </w:p>
        </w:tc>
      </w:tr>
      <w:tr>
        <w:trPr>
          <w:trHeight w:val="212"/>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16,513</w:t>
            </w:r>
          </w:p>
        </w:tc>
        <w:tc>
          <w:tcPr>
            <w:tcW w:w="100" w:type="dxa"/>
            <w:vAlign w:val="bottom"/>
            <w:shd w:val="clear" w:color="auto" w:fill="CFF0FC"/>
          </w:tcPr>
          <w:p>
            <w:pPr>
              <w:spacing w:after="0"/>
              <w:rPr>
                <w:sz w:val="19"/>
                <w:szCs w:val="19"/>
                <w:color w:val="auto"/>
              </w:rPr>
            </w:pPr>
          </w:p>
        </w:tc>
      </w:tr>
      <w:tr>
        <w:trPr>
          <w:trHeight w:val="213"/>
        </w:trPr>
        <w:tc>
          <w:tcPr>
            <w:tcW w:w="43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100" w:type="dxa"/>
            <w:vAlign w:val="bottom"/>
          </w:tcPr>
          <w:p>
            <w:pPr>
              <w:spacing w:after="0"/>
              <w:rPr>
                <w:sz w:val="18"/>
                <w:szCs w:val="18"/>
                <w:color w:val="auto"/>
              </w:rPr>
            </w:pPr>
          </w:p>
        </w:tc>
      </w:tr>
      <w:tr>
        <w:trPr>
          <w:trHeight w:val="21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FF0FC"/>
          </w:tcPr>
          <w:p>
            <w:pPr>
              <w:spacing w:after="0"/>
              <w:rPr>
                <w:sz w:val="19"/>
                <w:szCs w:val="19"/>
                <w:color w:val="auto"/>
              </w:rPr>
            </w:pPr>
          </w:p>
        </w:tc>
      </w:tr>
      <w:tr>
        <w:trPr>
          <w:trHeight w:val="213"/>
        </w:trPr>
        <w:tc>
          <w:tcPr>
            <w:tcW w:w="43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00" w:type="dxa"/>
            <w:vAlign w:val="bottom"/>
          </w:tcPr>
          <w:p>
            <w:pPr>
              <w:spacing w:after="0"/>
              <w:rPr>
                <w:sz w:val="18"/>
                <w:szCs w:val="18"/>
                <w:color w:val="auto"/>
              </w:rPr>
            </w:pPr>
          </w:p>
        </w:tc>
      </w:tr>
      <w:tr>
        <w:trPr>
          <w:trHeight w:val="219"/>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shd w:val="clear" w:color="auto" w:fill="CFF0FC"/>
          </w:tcPr>
          <w:p>
            <w:pPr>
              <w:spacing w:after="0"/>
              <w:rPr>
                <w:sz w:val="19"/>
                <w:szCs w:val="19"/>
                <w:color w:val="auto"/>
              </w:rPr>
            </w:pPr>
          </w:p>
        </w:tc>
      </w:tr>
      <w:tr>
        <w:trPr>
          <w:trHeight w:val="213"/>
        </w:trPr>
        <w:tc>
          <w:tcPr>
            <w:tcW w:w="4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Borders>
              <w:bottom w:val="single" w:sz="8" w:color="CFF0FC"/>
            </w:tcBorders>
          </w:tcPr>
          <w:p>
            <w:pPr>
              <w:spacing w:after="0"/>
              <w:rPr>
                <w:sz w:val="18"/>
                <w:szCs w:val="18"/>
                <w:color w:val="auto"/>
              </w:rPr>
            </w:pPr>
          </w:p>
        </w:tc>
      </w:tr>
      <w:tr>
        <w:trPr>
          <w:trHeight w:val="212"/>
        </w:trPr>
        <w:tc>
          <w:tcPr>
            <w:tcW w:w="4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9,543</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29,128</w:t>
            </w:r>
          </w:p>
        </w:tc>
        <w:tc>
          <w:tcPr>
            <w:tcW w:w="100" w:type="dxa"/>
            <w:vAlign w:val="bottom"/>
            <w:shd w:val="clear" w:color="auto" w:fill="CFF0FC"/>
          </w:tcPr>
          <w:p>
            <w:pPr>
              <w:spacing w:after="0"/>
              <w:rPr>
                <w:sz w:val="18"/>
                <w:szCs w:val="18"/>
                <w:color w:val="auto"/>
              </w:rPr>
            </w:pPr>
          </w:p>
        </w:tc>
      </w:tr>
      <w:tr>
        <w:trPr>
          <w:trHeight w:val="250"/>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4,898</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7,142</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16,569</w:t>
            </w:r>
          </w:p>
        </w:tc>
        <w:tc>
          <w:tcPr>
            <w:tcW w:w="100" w:type="dxa"/>
            <w:vAlign w:val="bottom"/>
            <w:tcBorders>
              <w:bottom w:val="single" w:sz="8" w:color="CFF0FC"/>
            </w:tcBorders>
          </w:tcPr>
          <w:p>
            <w:pPr>
              <w:spacing w:after="0"/>
              <w:rPr>
                <w:sz w:val="21"/>
                <w:szCs w:val="21"/>
                <w:color w:val="auto"/>
              </w:rPr>
            </w:pPr>
          </w:p>
        </w:tc>
      </w:tr>
      <w:tr>
        <w:trPr>
          <w:trHeight w:val="19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tcPr>
          <w:p>
            <w:pPr>
              <w:spacing w:after="0"/>
              <w:rPr>
                <w:sz w:val="18"/>
                <w:szCs w:val="18"/>
                <w:color w:val="auto"/>
              </w:rPr>
            </w:pPr>
          </w:p>
        </w:tc>
      </w:tr>
      <w:tr>
        <w:trPr>
          <w:trHeight w:val="219"/>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100" w:type="dxa"/>
            <w:vAlign w:val="bottom"/>
            <w:shd w:val="clear" w:color="auto" w:fill="CFF0FC"/>
          </w:tcPr>
          <w:p>
            <w:pPr>
              <w:spacing w:after="0"/>
              <w:rPr>
                <w:sz w:val="19"/>
                <w:szCs w:val="19"/>
                <w:color w:val="auto"/>
              </w:rPr>
            </w:pPr>
          </w:p>
        </w:tc>
      </w:tr>
      <w:tr>
        <w:trPr>
          <w:trHeight w:val="213"/>
        </w:trPr>
        <w:tc>
          <w:tcPr>
            <w:tcW w:w="4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16,613</w:t>
            </w:r>
          </w:p>
        </w:tc>
        <w:tc>
          <w:tcPr>
            <w:tcW w:w="100" w:type="dxa"/>
            <w:vAlign w:val="bottom"/>
            <w:tcBorders>
              <w:bottom w:val="single" w:sz="8" w:color="CFF0FC"/>
            </w:tcBorders>
          </w:tcPr>
          <w:p>
            <w:pPr>
              <w:spacing w:after="0"/>
              <w:rPr>
                <w:sz w:val="18"/>
                <w:szCs w:val="18"/>
                <w:color w:val="auto"/>
              </w:rPr>
            </w:pPr>
          </w:p>
        </w:tc>
      </w:tr>
      <w:tr>
        <w:trPr>
          <w:trHeight w:val="212"/>
        </w:trPr>
        <w:tc>
          <w:tcPr>
            <w:tcW w:w="4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28,158</w:t>
            </w:r>
          </w:p>
        </w:tc>
        <w:tc>
          <w:tcPr>
            <w:tcW w:w="100" w:type="dxa"/>
            <w:vAlign w:val="bottom"/>
            <w:shd w:val="clear" w:color="auto" w:fill="CFF0FC"/>
          </w:tcPr>
          <w:p>
            <w:pPr>
              <w:spacing w:after="0"/>
              <w:rPr>
                <w:sz w:val="18"/>
                <w:szCs w:val="18"/>
                <w:color w:val="auto"/>
              </w:rPr>
            </w:pPr>
          </w:p>
        </w:tc>
      </w:tr>
      <w:tr>
        <w:trPr>
          <w:trHeight w:val="207"/>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Net</w:t>
            </w: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FF0FC"/>
            </w:tcBorders>
          </w:tcPr>
          <w:p>
            <w:pPr>
              <w:spacing w:after="0"/>
              <w:rPr>
                <w:sz w:val="17"/>
                <w:szCs w:val="17"/>
                <w:color w:val="auto"/>
              </w:rPr>
            </w:pPr>
          </w:p>
        </w:tc>
      </w:tr>
      <w:tr>
        <w:trPr>
          <w:trHeight w:val="210"/>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Continuing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Africa)</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2020</w:t>
            </w:r>
          </w:p>
        </w:tc>
        <w:tc>
          <w:tcPr>
            <w:tcW w:w="4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7,521</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39,044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31,170</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CFF0FC"/>
            </w:tcBorders>
          </w:tcPr>
          <w:p>
            <w:pPr>
              <w:spacing w:after="0"/>
              <w:rPr>
                <w:sz w:val="18"/>
                <w:szCs w:val="18"/>
                <w:color w:val="auto"/>
              </w:rPr>
            </w:pPr>
          </w:p>
        </w:tc>
        <w:tc>
          <w:tcPr>
            <w:tcW w:w="4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27,982</w:t>
            </w:r>
          </w:p>
        </w:tc>
        <w:tc>
          <w:tcPr>
            <w:tcW w:w="2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16,797</w:t>
            </w:r>
          </w:p>
        </w:tc>
        <w:tc>
          <w:tcPr>
            <w:tcW w:w="22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17,126</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w:t>
            </w:r>
          </w:p>
        </w:tc>
        <w:tc>
          <w:tcPr>
            <w:tcW w:w="4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51,657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15,573</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12,090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Gain on Asset Dispositions and Impairments</w:t>
            </w:r>
          </w:p>
        </w:tc>
        <w:tc>
          <w:tcPr>
            <w:tcW w:w="4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4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(52,694)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(128,390)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(57,861)</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(75,013)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(11,545)</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(61,578)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(334,387)</w:t>
            </w:r>
          </w:p>
        </w:tc>
        <w:tc>
          <w:tcPr>
            <w:tcW w:w="0" w:type="dxa"/>
            <w:vAlign w:val="bottom"/>
          </w:tcPr>
          <w:p>
            <w:pPr>
              <w:spacing w:after="0"/>
              <w:rPr>
                <w:sz w:val="1"/>
                <w:szCs w:val="1"/>
                <w:color w:val="auto"/>
              </w:rPr>
            </w:pPr>
          </w:p>
        </w:tc>
      </w:tr>
      <w:tr>
        <w:trPr>
          <w:trHeight w:val="247"/>
        </w:trPr>
        <w:tc>
          <w:tcPr>
            <w:tcW w:w="382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130,320</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146,029</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290,036</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98,257</w:t>
            </w:r>
          </w:p>
        </w:tc>
        <w:tc>
          <w:tcPr>
            <w:tcW w:w="22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79,140</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743,782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820" w:type="dxa"/>
            <w:vAlign w:val="bottom"/>
            <w:shd w:val="clear" w:color="auto" w:fill="CFF0FC"/>
          </w:tcPr>
          <w:p>
            <w:pPr>
              <w:spacing w:after="0" w:line="226"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6"/>
                <w:szCs w:val="26"/>
                <w:color w:val="auto"/>
                <w:vertAlign w:val="superscript"/>
              </w:rPr>
              <w:t>(1)</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172,218</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156,551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312,622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175,164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121,428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Total assets by region does not include corporate assets of $119,192 as of September 30, 2020</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2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East</w:t>
            </w:r>
          </w:p>
        </w:tc>
        <w:tc>
          <w:tcPr>
            <w:tcW w:w="12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North</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Sea)</w:t>
            </w:r>
          </w:p>
        </w:tc>
        <w:tc>
          <w:tcPr>
            <w:tcW w:w="18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2019</w:t>
            </w: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49,747</w:t>
            </w:r>
          </w:p>
        </w:tc>
        <w:tc>
          <w:tcPr>
            <w:tcW w:w="120" w:type="dxa"/>
            <w:vAlign w:val="bottom"/>
            <w:shd w:val="clear" w:color="auto" w:fill="CFF0FC"/>
          </w:tcPr>
          <w:p>
            <w:pPr>
              <w:spacing w:after="0"/>
              <w:rPr>
                <w:sz w:val="19"/>
                <w:szCs w:val="19"/>
                <w:color w:val="auto"/>
              </w:rPr>
            </w:pPr>
          </w:p>
        </w:tc>
      </w:tr>
      <w:tr>
        <w:trPr>
          <w:trHeight w:val="213"/>
        </w:trPr>
        <w:tc>
          <w:tcPr>
            <w:tcW w:w="4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20" w:type="dxa"/>
            <w:vAlign w:val="bottom"/>
            <w:shd w:val="clear" w:color="auto" w:fill="CFF0FC"/>
          </w:tcPr>
          <w:p>
            <w:pPr>
              <w:spacing w:after="0"/>
              <w:rPr>
                <w:sz w:val="18"/>
                <w:szCs w:val="18"/>
                <w:color w:val="auto"/>
              </w:rPr>
            </w:pPr>
          </w:p>
        </w:tc>
      </w:tr>
      <w:tr>
        <w:trPr>
          <w:trHeight w:val="210"/>
        </w:trPr>
        <w:tc>
          <w:tcPr>
            <w:tcW w:w="4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12,349</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54,700</w:t>
            </w:r>
          </w:p>
        </w:tc>
        <w:tc>
          <w:tcPr>
            <w:tcW w:w="120" w:type="dxa"/>
            <w:vAlign w:val="bottom"/>
            <w:tcBorders>
              <w:bottom w:val="single" w:sz="8" w:color="CFF0FC"/>
            </w:tcBorders>
          </w:tcPr>
          <w:p>
            <w:pPr>
              <w:spacing w:after="0"/>
              <w:rPr>
                <w:sz w:val="18"/>
                <w:szCs w:val="18"/>
                <w:color w:val="auto"/>
              </w:rPr>
            </w:pPr>
          </w:p>
        </w:tc>
      </w:tr>
      <w:tr>
        <w:trPr>
          <w:trHeight w:val="212"/>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120" w:type="dxa"/>
            <w:vAlign w:val="bottom"/>
            <w:shd w:val="clear" w:color="auto" w:fill="CFF0FC"/>
          </w:tcPr>
          <w:p>
            <w:pPr>
              <w:spacing w:after="0"/>
              <w:rPr>
                <w:sz w:val="19"/>
                <w:szCs w:val="19"/>
                <w:color w:val="auto"/>
              </w:rPr>
            </w:pPr>
          </w:p>
        </w:tc>
      </w:tr>
      <w:tr>
        <w:trPr>
          <w:trHeight w:val="213"/>
        </w:trPr>
        <w:tc>
          <w:tcPr>
            <w:tcW w:w="4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120" w:type="dxa"/>
            <w:vAlign w:val="bottom"/>
          </w:tcPr>
          <w:p>
            <w:pPr>
              <w:spacing w:after="0"/>
              <w:rPr>
                <w:sz w:val="18"/>
                <w:szCs w:val="18"/>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shd w:val="clear" w:color="auto" w:fill="CFF0FC"/>
          </w:tcPr>
          <w:p>
            <w:pPr>
              <w:spacing w:after="0"/>
              <w:rPr>
                <w:sz w:val="19"/>
                <w:szCs w:val="19"/>
                <w:color w:val="auto"/>
              </w:rPr>
            </w:pPr>
          </w:p>
        </w:tc>
      </w:tr>
      <w:tr>
        <w:trPr>
          <w:trHeight w:val="213"/>
        </w:trPr>
        <w:tc>
          <w:tcPr>
            <w:tcW w:w="4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20" w:type="dxa"/>
            <w:vAlign w:val="bottom"/>
          </w:tcPr>
          <w:p>
            <w:pPr>
              <w:spacing w:after="0"/>
              <w:rPr>
                <w:sz w:val="18"/>
                <w:szCs w:val="18"/>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20" w:type="dxa"/>
            <w:vAlign w:val="bottom"/>
            <w:shd w:val="clear" w:color="auto" w:fill="CFF0FC"/>
          </w:tcPr>
          <w:p>
            <w:pPr>
              <w:spacing w:after="0"/>
              <w:rPr>
                <w:sz w:val="19"/>
                <w:szCs w:val="19"/>
                <w:color w:val="auto"/>
              </w:rPr>
            </w:pPr>
          </w:p>
        </w:tc>
      </w:tr>
      <w:tr>
        <w:trPr>
          <w:trHeight w:val="213"/>
        </w:trPr>
        <w:tc>
          <w:tcPr>
            <w:tcW w:w="4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tcPr>
          <w:p>
            <w:pPr>
              <w:spacing w:after="0"/>
              <w:rPr>
                <w:sz w:val="18"/>
                <w:szCs w:val="18"/>
                <w:color w:val="auto"/>
              </w:rPr>
            </w:pPr>
          </w:p>
        </w:tc>
      </w:tr>
      <w:tr>
        <w:trPr>
          <w:trHeight w:val="212"/>
        </w:trPr>
        <w:tc>
          <w:tcPr>
            <w:tcW w:w="4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27,211</w:t>
            </w:r>
          </w:p>
        </w:tc>
        <w:tc>
          <w:tcPr>
            <w:tcW w:w="120" w:type="dxa"/>
            <w:vAlign w:val="bottom"/>
            <w:tcBorders>
              <w:top w:val="single" w:sz="8" w:color="CFF0FC"/>
            </w:tcBorders>
            <w:shd w:val="clear" w:color="auto" w:fill="CFF0FC"/>
          </w:tcPr>
          <w:p>
            <w:pPr>
              <w:spacing w:after="0"/>
              <w:rPr>
                <w:sz w:val="18"/>
                <w:szCs w:val="18"/>
                <w:color w:val="auto"/>
              </w:rPr>
            </w:pPr>
          </w:p>
        </w:tc>
      </w:tr>
      <w:tr>
        <w:trPr>
          <w:trHeight w:val="249"/>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8,181</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27,489</w:t>
            </w:r>
          </w:p>
        </w:tc>
        <w:tc>
          <w:tcPr>
            <w:tcW w:w="120" w:type="dxa"/>
            <w:vAlign w:val="bottom"/>
            <w:tcBorders>
              <w:bottom w:val="single" w:sz="8" w:color="CFF0FC"/>
            </w:tcBorders>
          </w:tcPr>
          <w:p>
            <w:pPr>
              <w:spacing w:after="0"/>
              <w:rPr>
                <w:sz w:val="21"/>
                <w:szCs w:val="21"/>
                <w:color w:val="auto"/>
              </w:rPr>
            </w:pPr>
          </w:p>
        </w:tc>
      </w:tr>
      <w:tr>
        <w:trPr>
          <w:trHeight w:val="197"/>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4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120" w:type="dxa"/>
            <w:vAlign w:val="bottom"/>
          </w:tcPr>
          <w:p>
            <w:pPr>
              <w:spacing w:after="0"/>
              <w:rPr>
                <w:sz w:val="18"/>
                <w:szCs w:val="18"/>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11,462</w:t>
            </w:r>
          </w:p>
        </w:tc>
        <w:tc>
          <w:tcPr>
            <w:tcW w:w="120" w:type="dxa"/>
            <w:vAlign w:val="bottom"/>
            <w:shd w:val="clear" w:color="auto" w:fill="CFF0FC"/>
          </w:tcPr>
          <w:p>
            <w:pPr>
              <w:spacing w:after="0"/>
              <w:rPr>
                <w:sz w:val="19"/>
                <w:szCs w:val="19"/>
                <w:color w:val="auto"/>
              </w:rPr>
            </w:pPr>
          </w:p>
        </w:tc>
      </w:tr>
      <w:tr>
        <w:trPr>
          <w:trHeight w:val="213"/>
        </w:trPr>
        <w:tc>
          <w:tcPr>
            <w:tcW w:w="42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120" w:type="dxa"/>
            <w:vAlign w:val="bottom"/>
            <w:tcBorders>
              <w:bottom w:val="single" w:sz="8" w:color="CFF0FC"/>
            </w:tcBorders>
          </w:tcPr>
          <w:p>
            <w:pPr>
              <w:spacing w:after="0"/>
              <w:rPr>
                <w:sz w:val="18"/>
                <w:szCs w:val="18"/>
                <w:color w:val="auto"/>
              </w:rPr>
            </w:pPr>
          </w:p>
        </w:tc>
      </w:tr>
      <w:tr>
        <w:trPr>
          <w:trHeight w:val="212"/>
        </w:trPr>
        <w:tc>
          <w:tcPr>
            <w:tcW w:w="4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31,706</w:t>
            </w:r>
          </w:p>
        </w:tc>
        <w:tc>
          <w:tcPr>
            <w:tcW w:w="120" w:type="dxa"/>
            <w:vAlign w:val="bottom"/>
            <w:shd w:val="clear" w:color="auto" w:fill="CFF0FC"/>
          </w:tcPr>
          <w:p>
            <w:pPr>
              <w:spacing w:after="0"/>
              <w:rPr>
                <w:sz w:val="18"/>
                <w:szCs w:val="18"/>
                <w:color w:val="auto"/>
              </w:rPr>
            </w:pPr>
          </w:p>
        </w:tc>
      </w:tr>
      <w:tr>
        <w:trPr>
          <w:trHeight w:val="207"/>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Net</w:t>
            </w:r>
          </w:p>
        </w:tc>
        <w:tc>
          <w:tcPr>
            <w:tcW w:w="14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FF0FC"/>
            </w:tcBorders>
          </w:tcPr>
          <w:p>
            <w:pPr>
              <w:spacing w:after="0"/>
              <w:rPr>
                <w:sz w:val="17"/>
                <w:szCs w:val="17"/>
                <w:color w:val="auto"/>
              </w:rPr>
            </w:pPr>
          </w:p>
        </w:tc>
      </w:tr>
      <w:tr>
        <w:trPr>
          <w:trHeight w:val="20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2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East</w:t>
            </w:r>
          </w:p>
        </w:tc>
        <w:tc>
          <w:tcPr>
            <w:tcW w:w="12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Continuing</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w:t>
            </w: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31,547</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41,463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13,515</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28,621</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21,013</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24,868</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15,346</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54,675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16,473</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6,726</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14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(161,315)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(64,748)</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(74,225)</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(50,928)</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(49,412)</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(400,628)</w:t>
            </w:r>
          </w:p>
        </w:tc>
        <w:tc>
          <w:tcPr>
            <w:tcW w:w="0" w:type="dxa"/>
            <w:vAlign w:val="bottom"/>
          </w:tcPr>
          <w:p>
            <w:pPr>
              <w:spacing w:after="0"/>
              <w:rPr>
                <w:sz w:val="1"/>
                <w:szCs w:val="1"/>
                <w:color w:val="auto"/>
              </w:rPr>
            </w:pPr>
          </w:p>
        </w:tc>
      </w:tr>
      <w:tr>
        <w:trPr>
          <w:trHeight w:val="247"/>
        </w:trPr>
        <w:tc>
          <w:tcPr>
            <w:tcW w:w="4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168,598</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156,332</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223,510</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57,296</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64,010</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669,746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00" w:type="dxa"/>
            <w:vAlign w:val="bottom"/>
            <w:tcBorders>
              <w:bottom w:val="single" w:sz="8" w:color="CFF0FC"/>
            </w:tcBorders>
            <w:shd w:val="clear" w:color="auto" w:fill="CFF0FC"/>
          </w:tcPr>
          <w:p>
            <w:pPr>
              <w:spacing w:after="0" w:line="199"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251,547</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167,714</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257,294</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125,138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92,861</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894,554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Total assets by region does not include corporate assets of $145,952 as of September 30, 2019.</w:t>
      </w:r>
    </w:p>
    <w:p>
      <w:pPr>
        <w:spacing w:after="0" w:line="19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Company’s investments in 50% or less owned companies, which are accounted for under the equity method, also contribute to its consolidated results of operations. As of September 30, 2020, and 2019, the Company’s investments, at equity and advances to 50% or less owned companies in its other 50% or less owned companies were $88.9 million and $118.2 million, respectively. Equity in gains (losses) earnings of 50% or less owned companies for the nine months ended September 30, 2020 and 2019 were $1.5 million and ($11.9) million, respectively.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29" w:name="page30"/>
    <w:bookmarkEnd w:id="29"/>
    <w:p>
      <w:pPr>
        <w:ind w:left="920" w:hanging="912"/>
        <w:spacing w:after="0"/>
        <w:tabs>
          <w:tab w:leader="none" w:pos="92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DISCONTINUED OPERATIONS</w:t>
      </w:r>
    </w:p>
    <w:p>
      <w:pPr>
        <w:spacing w:after="0" w:line="21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On December 2, 2019, the Company completed the sale of its North Sea standby safety business, which was previously classified as assets held for sale. Following the completion of the sale, the Company has no continuing involvement in this business, which is considered a strategic shift in the Company’s operations. Summarized selected operating result of the Company’s assets, previously classified as held for sale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6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64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3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CFF0FC"/>
            </w:tcBorders>
          </w:tcPr>
          <w:p>
            <w:pPr>
              <w:spacing w:after="0"/>
              <w:rPr>
                <w:sz w:val="18"/>
                <w:szCs w:val="18"/>
                <w:color w:val="auto"/>
              </w:rPr>
            </w:pPr>
          </w:p>
        </w:tc>
      </w:tr>
      <w:tr>
        <w:trPr>
          <w:trHeight w:val="211"/>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Boston Putford Offshore Safety Ltd</w:t>
            </w: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34,034</w:t>
            </w:r>
          </w:p>
        </w:tc>
        <w:tc>
          <w:tcPr>
            <w:tcW w:w="100" w:type="dxa"/>
            <w:vAlign w:val="bottom"/>
            <w:shd w:val="clear" w:color="auto" w:fill="CFF0FC"/>
          </w:tcPr>
          <w:p>
            <w:pPr>
              <w:spacing w:after="0"/>
              <w:rPr>
                <w:sz w:val="19"/>
                <w:szCs w:val="19"/>
                <w:color w:val="auto"/>
              </w:rPr>
            </w:pPr>
          </w:p>
        </w:tc>
      </w:tr>
      <w:tr>
        <w:trPr>
          <w:trHeight w:val="213"/>
        </w:trPr>
        <w:tc>
          <w:tcPr>
            <w:tcW w:w="6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revenue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r>
      <w:tr>
        <w:trPr>
          <w:trHeight w:val="212"/>
        </w:trPr>
        <w:tc>
          <w:tcPr>
            <w:tcW w:w="64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11,212</w:t>
            </w: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34,084</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8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9,847</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27,113</w:t>
            </w:r>
          </w:p>
        </w:tc>
        <w:tc>
          <w:tcPr>
            <w:tcW w:w="100" w:type="dxa"/>
            <w:vAlign w:val="bottom"/>
            <w:shd w:val="clear" w:color="auto" w:fill="CFF0FC"/>
          </w:tcPr>
          <w:p>
            <w:pPr>
              <w:spacing w:after="0"/>
              <w:rPr>
                <w:sz w:val="19"/>
                <w:szCs w:val="19"/>
                <w:color w:val="auto"/>
              </w:rPr>
            </w:pPr>
          </w:p>
        </w:tc>
      </w:tr>
      <w:tr>
        <w:trPr>
          <w:trHeight w:val="207"/>
        </w:trPr>
        <w:tc>
          <w:tcPr>
            <w:tcW w:w="6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 Vessel Profit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6,971</w:t>
            </w:r>
          </w:p>
        </w:tc>
        <w:tc>
          <w:tcPr>
            <w:tcW w:w="100" w:type="dxa"/>
            <w:vAlign w:val="bottom"/>
          </w:tcPr>
          <w:p>
            <w:pPr>
              <w:spacing w:after="0"/>
              <w:rPr>
                <w:sz w:val="17"/>
                <w:szCs w:val="17"/>
                <w:color w:val="auto"/>
              </w:rPr>
            </w:pPr>
          </w:p>
        </w:tc>
      </w:tr>
      <w:tr>
        <w:trPr>
          <w:trHeight w:val="219"/>
        </w:trPr>
        <w:tc>
          <w:tcPr>
            <w:tcW w:w="6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tcPr>
          <w:p>
            <w:pPr>
              <w:spacing w:after="0"/>
              <w:rPr>
                <w:sz w:val="18"/>
                <w:szCs w:val="18"/>
                <w:color w:val="auto"/>
              </w:rPr>
            </w:pPr>
          </w:p>
        </w:tc>
      </w:tr>
      <w:tr>
        <w:trPr>
          <w:trHeight w:val="21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Expense</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9"/>
                <w:szCs w:val="19"/>
                <w:color w:val="auto"/>
              </w:rPr>
            </w:pPr>
          </w:p>
        </w:tc>
      </w:tr>
      <w:tr>
        <w:trPr>
          <w:trHeight w:val="213"/>
        </w:trPr>
        <w:tc>
          <w:tcPr>
            <w:tcW w:w="6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8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Borders>
              <w:bottom w:val="single" w:sz="8" w:color="CFF0FC"/>
            </w:tcBorders>
          </w:tcPr>
          <w:p>
            <w:pPr>
              <w:spacing w:after="0"/>
              <w:rPr>
                <w:sz w:val="18"/>
                <w:szCs w:val="18"/>
                <w:color w:val="auto"/>
              </w:rPr>
            </w:pPr>
          </w:p>
        </w:tc>
      </w:tr>
      <w:tr>
        <w:trPr>
          <w:trHeight w:val="212"/>
        </w:trPr>
        <w:tc>
          <w:tcPr>
            <w:tcW w:w="6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6,610</w:t>
            </w:r>
          </w:p>
        </w:tc>
        <w:tc>
          <w:tcPr>
            <w:tcW w:w="100" w:type="dxa"/>
            <w:vAlign w:val="bottom"/>
            <w:shd w:val="clear" w:color="auto" w:fill="CFF0FC"/>
          </w:tcPr>
          <w:p>
            <w:pPr>
              <w:spacing w:after="0"/>
              <w:rPr>
                <w:sz w:val="18"/>
                <w:szCs w:val="18"/>
                <w:color w:val="auto"/>
              </w:rPr>
            </w:pPr>
          </w:p>
        </w:tc>
      </w:tr>
      <w:tr>
        <w:trPr>
          <w:trHeight w:val="213"/>
        </w:trPr>
        <w:tc>
          <w:tcPr>
            <w:tcW w:w="6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 Net</w:t>
            </w:r>
          </w:p>
        </w:tc>
        <w:tc>
          <w:tcPr>
            <w:tcW w:w="8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FF0FC"/>
            </w:tcBorders>
          </w:tcPr>
          <w:p>
            <w:pPr>
              <w:spacing w:after="0"/>
              <w:rPr>
                <w:sz w:val="18"/>
                <w:szCs w:val="18"/>
                <w:color w:val="auto"/>
              </w:rPr>
            </w:pPr>
          </w:p>
        </w:tc>
      </w:tr>
      <w:tr>
        <w:trPr>
          <w:trHeight w:val="212"/>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3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FF0FC"/>
          </w:tcPr>
          <w:p>
            <w:pPr>
              <w:spacing w:after="0"/>
              <w:rPr>
                <w:sz w:val="18"/>
                <w:szCs w:val="18"/>
                <w:color w:val="auto"/>
              </w:rPr>
            </w:pPr>
          </w:p>
        </w:tc>
      </w:tr>
      <w:tr>
        <w:trPr>
          <w:trHeight w:val="207"/>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9"/>
                <w:szCs w:val="19"/>
                <w:color w:val="auto"/>
              </w:rPr>
            </w:pPr>
          </w:p>
        </w:tc>
      </w:tr>
      <w:tr>
        <w:trPr>
          <w:trHeight w:val="213"/>
        </w:trPr>
        <w:tc>
          <w:tcPr>
            <w:tcW w:w="6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(184)</w:t>
            </w:r>
          </w:p>
        </w:tc>
      </w:tr>
      <w:tr>
        <w:trPr>
          <w:trHeight w:val="219"/>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r>
      <w:tr>
        <w:trPr>
          <w:trHeight w:val="207"/>
        </w:trPr>
        <w:tc>
          <w:tcPr>
            <w:tcW w:w="644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FF0FC"/>
            </w:tcBorders>
          </w:tcPr>
          <w:p>
            <w:pPr>
              <w:spacing w:after="0"/>
              <w:rPr>
                <w:sz w:val="17"/>
                <w:szCs w:val="17"/>
                <w:color w:val="auto"/>
              </w:rPr>
            </w:pPr>
          </w:p>
        </w:tc>
      </w:tr>
      <w:tr>
        <w:trPr>
          <w:trHeight w:val="212"/>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Before Equity Earnings of 50% or Less Owned Companies, Net of Tax</w:t>
            </w: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FF0FC"/>
          </w:tcPr>
          <w:p>
            <w:pPr>
              <w:spacing w:after="0"/>
              <w:rPr>
                <w:sz w:val="18"/>
                <w:szCs w:val="18"/>
                <w:color w:val="auto"/>
              </w:rPr>
            </w:pPr>
          </w:p>
        </w:tc>
      </w:tr>
      <w:tr>
        <w:trPr>
          <w:trHeight w:val="21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r>
      <w:tr>
        <w:trPr>
          <w:trHeight w:val="212"/>
        </w:trPr>
        <w:tc>
          <w:tcPr>
            <w:tcW w:w="6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Before Equity Earnings of 50% or Less Owned Companies</w:t>
            </w:r>
          </w:p>
        </w:tc>
        <w:tc>
          <w:tcPr>
            <w:tcW w:w="8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Loss on the Sale of Boston Putford Offshore Safety Ltd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w:t>
            </w:r>
          </w:p>
        </w:tc>
        <w:tc>
          <w:tcPr>
            <w:tcW w:w="100" w:type="dxa"/>
            <w:vAlign w:val="bottom"/>
          </w:tcPr>
          <w:p>
            <w:pPr>
              <w:spacing w:after="0"/>
              <w:rPr>
                <w:sz w:val="17"/>
                <w:szCs w:val="17"/>
                <w:color w:val="auto"/>
              </w:rPr>
            </w:pPr>
          </w:p>
        </w:tc>
      </w:tr>
      <w:tr>
        <w:trPr>
          <w:trHeight w:val="21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of 50% or Less Owned Companies, Net of Tax</w:t>
            </w:r>
          </w:p>
        </w:tc>
        <w:tc>
          <w:tcPr>
            <w:tcW w:w="8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FF0FC"/>
          </w:tcPr>
          <w:p>
            <w:pPr>
              <w:spacing w:after="0"/>
              <w:rPr>
                <w:sz w:val="19"/>
                <w:szCs w:val="19"/>
                <w:color w:val="auto"/>
              </w:rPr>
            </w:pPr>
          </w:p>
        </w:tc>
      </w:tr>
      <w:tr>
        <w:trPr>
          <w:trHeight w:val="207"/>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from Discontinued Operations</w:t>
            </w:r>
          </w:p>
        </w:tc>
        <w:tc>
          <w:tcPr>
            <w:tcW w:w="8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(7,899)</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(6,724)</w:t>
            </w:r>
          </w:p>
        </w:tc>
        <w:tc>
          <w:tcPr>
            <w:tcW w:w="100" w:type="dxa"/>
            <w:vAlign w:val="bottom"/>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jc w:val="both"/>
        <w:ind w:left="800" w:hanging="795"/>
        <w:spacing w:after="0" w:line="262" w:lineRule="auto"/>
        <w:rPr>
          <w:sz w:val="20"/>
          <w:szCs w:val="20"/>
          <w:color w:val="auto"/>
        </w:rPr>
      </w:pPr>
      <w:r>
        <w:rPr>
          <w:rFonts w:ascii="Times New Roman" w:cs="Times New Roman" w:eastAsia="Times New Roman" w:hAnsi="Times New Roman"/>
          <w:sz w:val="22"/>
          <w:szCs w:val="22"/>
          <w:b w:val="1"/>
          <w:bCs w:val="1"/>
          <w:color w:val="auto"/>
        </w:rPr>
        <w:t>ITEM 2.MANAGEMENT’S DISCUSSION AND ANALYSIS OF FINANCIAL CONDITION AND RESULTS OF OPERATIONS</w:t>
      </w:r>
    </w:p>
    <w:p>
      <w:pPr>
        <w:spacing w:after="0" w:line="1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2019 Annual Report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7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The following analysis of the Company’s financial condition and results of operations should be read in conjunction with the unaudited consolidated financial statements and notes thereto included in this Quarterly Report on Form 10-Q, as well as Management’s Discussion and Analysis of Financial Condition and Results of Operations contained in the 2019 Annual Report.</w:t>
      </w:r>
    </w:p>
    <w:p>
      <w:pPr>
        <w:spacing w:after="0" w:line="11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 provides global marine and support transportation services to offshore oil, natural gas exploration and windfarm development and production facilities worldwide. As of September 30, 2020, the Company and its joint ventures operated a diverse fleet of 147 support and specialty vessels, of which 105 were owned or leased-in, 39 were joint ventured and three were managed on behalf of unaffiliated third 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5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The Company’s fleet features offshore support and specialty vessels that deliver cargo and personnel to offshore installations; handle anchors and mooring equipment required to tether rigs to the seabed; tow rigs and assist in placing them on location and moving them between regions; provide construction, well workover and decommissioning support; carry and launch equipment used underwater in drilling and well installation, maintenance and repair; and provide windfarm installation, maintenance and repair support. Additionally, the Company’s vessels provide accommodations for technicians and specialists, safety support and emergency response services. The Company’s fleet also features CTVs used primarily in windfarm operations.</w:t>
      </w:r>
    </w:p>
    <w:p>
      <w:pPr>
        <w:spacing w:after="0" w:line="13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operates its fleet in five principal geographic regions: the U.S., primarily in the Gulf of Mexico; Africa, primarily in West Africa; the Middle East and Asia; Latin America, primarily in Mexico, Brazil and Guyana; and Europe, primarily in the North Sea. The Company’s vessels are highly mobile and regularly and routinely move between countries within a geographic region. In addition, the Company’s vessels are redeployed among the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Certain macro drivers somewhat independent of oil and natural gas prices also have the ability to continue to support the Company’s business, including: (i) underspending by oil and gas producers during the current industry downturn leading to pent up demand for maintenance and growth capital expenditures; and (ii) improved extraction technologies. While alternative forms of energy may gain a foothold in the long term, for the foreseeable future, the Company believes demand for gasoline and oil will be sustained, as well as demand for electricity from natural gas.</w:t>
      </w:r>
    </w:p>
    <w:p>
      <w:pPr>
        <w:spacing w:after="0" w:line="1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Low oil prices and the subsequent decline in offshore exploration have forced many operators in the industry to restructure or liquidate assets. The Company continues to closely monitor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4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September 30, 2020, 20 of the Company’s 105 owned and leased-in, in-service vessels were cold-stacked worldwide, and an additional two owned vessels and one leased-in vessel were retired and removed from service.</w:t>
      </w:r>
    </w:p>
    <w:p>
      <w:pPr>
        <w:spacing w:after="0" w:line="14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Company’s business is, to a large extent, tied to the level of offshore exploration, development and production activity by oil and gas companies around the world. In the recent months, oil prices have experienced record declines in response to a significant amount of anticipated oversupply in oil and natural gas caused by (i) the COVID-19 pandemic that began in late 2019 and has led to a substantial decrease in global economic activity and (ii) supply decisions principally by Russia and Saudi Arabia resulting in failure to agree on terms to maintain production limits and the ensuing influx of additional oil to an already oversupplied market. These recent declines in oil and natural gas prices come on top of prices that have, for the last few years, been below historic averages. On January 2, 2020, West Texas Intermediate (“WTI”) crude oil prices closed at a price of $61.18 per barrel. On April 20, 2020, the New York Mercantile Exchange (“NYMEX”) WTI oil futures price for May 2020 went “negative” to -$37.63 per barrel. While OPEC+ members have implemented production cuts, the cuts have failed to return oil and natural gas prices to levels seen prior to the COVID-19 pandemic. On September 30, 2020, the last trading date of the third quarter of 2020, WTI crude oil prices closed at a price of $40.22 per barrel, still below historic averages. To the extent that the outbreak of COVID-19 continues to negatively impact demand, the Company expects there to be excess supply of oil and natural gas for the foreseeable future. This excess supply could, in turn, result in transportation and storage capacity constraints in the United States, or even the elimination of available storage.</w:t>
      </w:r>
    </w:p>
    <w:p>
      <w:pPr>
        <w:spacing w:after="0" w:line="15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decrease in oil and natural gas prices has led to a decrease in demand for the Company’s products and services as oil and gas companies delay or otherwise reduce activity levels of offshore oil and gas projects, and to the extent that oil and gas companies decide to abandon or further delay these projects due to the lower demand for oil and natural gas and resulting lower prices, it could have a material adverse effect on the Company’s business and financial condition.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2" w:name="page33"/>
    <w:bookmarkEnd w:id="32"/>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There are a number of steps the Company has and can take to mitigate any adverse effects to its business stemming from the COVID-19 pandemic and the resulting depressed oil and natural gas price environment, including sales of assets, workforce reductions and other cost reduction measures. In addition, as a result of the changes in the current U.S. tax law included in the CARES Act, the Company expects to receive cash tax refunds of approximately $31.2 million within the next 12 months, subject to the refund schedule of the Internal Revenue Service. These tax refunds are subject to the terms of a Tax Refund Agreement with SEACOR Holdings. As of September 30, 2020, the Tax Refund Agreement does not restrict the use of approximately $19.7 million of the refund, with the remaining approximately $11.5 million required to be deposited into an account to be used solely to satisfy certain of the Company’s obligations that remain guaranteed by SEACOR Holdings. (see “Recent Developments - Tax Refund Agreement” below).</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6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SEACOSCO Acquisition.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On June 30, 2020, the Company completed the acquisition of the SEACOSCO Interests. As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result of the completion of the acquisition, the Company owns 100% of the membership interests in SEACOR Offshore Delta LLC, formerly known as SEACOSCO Offshore LLC (“SEACOR Offshore Delta”). The price paid by SEACOR Offshore Asia, a wholly-owned subsidiary of SEACOR Marine, for the membership interests was $28.2 million (the “SEACOSCO Purchase Price”), $8.4 million of which was paid to the Sellers at the closing of the transaction, with annual installment payments of $1.0 million, $2.5 million and $2.5 million payable in the first, second and third year after the signing date (the “SEACOSCO SPA Signing Date”), respectively, and the remaining $13.7 million, due four years after such signing date. The deferred portion of the SEACOSCO Purchase Price accrues interest at a fixed rate of 1.5%, 7.0%, 7.5% and 8.0% for the first through fourth years after the SEACOSCO SPA Signing Date, respectively. The SEACOSCO Sellers obtained a second lien mortgage on the SEACOR Delta PSVs to secure the payment of the deferred portion of the SEACOSCO Purchase Price, and SEACOR Marine provided a limited deficiency guarantee solely with respect to the short-fall in vessel collateral value, if any, in the event the SEACOSCO Sellers exercise their remedies under the mortgages. The SEACOR Delta PSVs were initially acquired by the SEACOR Delta SPVs pursuant to the Guangdong DPAs under which an aggregate of approximately $97.2 million was outstanding as of September 30, 2020. The Guangdong DPAs provide for amortization of the purchase price for each vessel over a period of 10 years from delivery at a floating interest rate of three-month LIBOR plus 4.0%. SEACOR Offshore Delta has taken delivery of seven of the eight SEACOR Delta PSVs, each with a 2018 or 2019 year of build, and expects to take delivery of the final SEACOR Delta PSV in 2020. The payment obligations of the SEACOR Delta SPVs under the Guangdong DPAs for each vessel is secured by a first lien mortgage on the applicable vessel and a pledge of the SEACOR Delta SPV’s equity, and SEACOR Marine provided a limited deficiency guarantee solely with respect to the short-fall in vessel collateral value, if any, in the event the COSCO (Guangdong) Shipyard exercises its remedies under the mortgages.</w:t>
      </w:r>
    </w:p>
    <w:p>
      <w:pPr>
        <w:spacing w:after="0" w:line="14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Tax Refund Agreement</w:t>
      </w:r>
      <w:r>
        <w:rPr>
          <w:rFonts w:ascii="Times New Roman" w:cs="Times New Roman" w:eastAsia="Times New Roman" w:hAnsi="Times New Roman"/>
          <w:sz w:val="22"/>
          <w:szCs w:val="22"/>
          <w:color w:val="auto"/>
        </w:rPr>
        <w:t>. On June 26, 2020, the Company entered into the Tax Refund Agreement with SEACOR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Holdings. The Tax Refund Agreement will enable the Company to utilize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CARES Act and for which SEACOR Holdings needs to claim the refund on behalf of the Company. As a result, the Company expects to receive cash tax refunds of approximately $31.2 million within the next 12 months, subject to the refund schedule of the Internal Revenue Service. The Internal Revenue Service has been recently experiencing delays in processing refund claims due in part to the COVID-19 pandemic.</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3" w:name="page34"/>
    <w:bookmarkEnd w:id="33"/>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SEACOR Holdings will retain certain of the funds to facilitate tax savings realized by SEACOR Holdings of no less than 35% of the amount of its own 2019 NOLs. The $31.2 million of refunds the Company expects to receive is net of these holdbacks. Additionally, a $3.0 million transaction fee was paid to SEACOR Holdings concurrently with the signing of the agreement as consideration for its cooperation in connection with the filing of the applicable tax refund returns. As of September 30, 2020, the Tax Refund Agreement does not restrict the use of approximately $19.7 million of the refund, with the remaining approximately $11.5 million required to be deposited into an account to be used solely to satisfy certain of the Company’s obligations that remain guaranteed by SEACOR Holdings. These obligations primarily relate to vessel operating leases of approximately $10.4 million as of September 30, 2020. Two of these vessel operating leases expire in the fourth quarter of 2020, with the remaining three vessel operating leases that SEACOR Holdings guarantees expiring in 2021.</w:t>
      </w:r>
    </w:p>
    <w:p>
      <w:pPr>
        <w:spacing w:after="0" w:line="13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Amendment to SEACOR Marine Foreign Holdings Credit Facility.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On June 29, 2020, SEACOR Marine, SMFH,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certain vessel-owning subsidiaries of SEACOR Marine, entered into the SMFH Credit Facility Amendment to that certain SMFH Credit Facility. The SMFH Credit Facility Amendment provides for, among other things, (i) the modification of certain financial maintenance and restrictive covenants contained in the SMFH Credit Facility or the guaranty provided by SEACOR Marine with respect thereto, including with respect to EBITDA coverage ratios, mandatory prepayment events, and the exclusion of certain indebtedness associated with the acquisition by SEACOR Marine, through an indirect wholly-owned subsidiary, of the SEACOSCO Interests, and (ii) the placement of mortgages on two additional vessels owned by vessel-owning subsidiaries of SEACOR Marine as security for the indebtedness under the SMFH Credit Facility.</w:t>
      </w:r>
    </w:p>
    <w:p>
      <w:pPr>
        <w:spacing w:after="0" w:line="15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Amendment of FGUSA Credit Facility</w:t>
      </w:r>
      <w:r>
        <w:rPr>
          <w:rFonts w:ascii="Times New Roman" w:cs="Times New Roman" w:eastAsia="Times New Roman" w:hAnsi="Times New Roman"/>
          <w:sz w:val="22"/>
          <w:szCs w:val="22"/>
          <w:color w:val="auto"/>
        </w:rPr>
        <w:t>. On February 7, 2020, SEACOR Marine, FGUSA, and certain subsidiaries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FGUSA, entered into an FGUSA Omnibus Amendment to that certain (i) FGUSA Credit Facility and (ii) FGUSA Guaranty. The FGUSA Omnibus Amendment provides for, among other things (i) the extension from March 2020 to March 2021 of the commencement of monthly repayment of the term loan, with payments being the lesser of (a) $0.8 million per month and (b) the amount outstanding under the term loan and (ii) the extension of the term of the FGUSA Guaranty for an additional one year from February 8, 2020 to February 8, 2021.</w:t>
      </w:r>
    </w:p>
    <w:p>
      <w:pPr>
        <w:spacing w:after="0" w:line="14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On April 29, 2020, FGUSA and certain subsidiaries of FGUSA, entered into the FGUSA Sixth Consent and Agreement, which provides that, among other things, (i) the deadline for delivery of the FGUSA 2019 Audited Financial Statements is extended from April 29, 2020 to May 31, 2020, (ii) the FGUSA 2019 Audited Financial Statements are not required to be without a “going concern” or like qualification, commentary or exception, and (iii) the deadline for delivery of certain physical vessel appraisals is extended to December 31, 2020.</w:t>
      </w:r>
    </w:p>
    <w:p>
      <w:pPr>
        <w:spacing w:after="0" w:line="13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Costs and Restructuring Initiatives</w:t>
      </w:r>
      <w:r>
        <w:rPr>
          <w:rFonts w:ascii="Times New Roman" w:cs="Times New Roman" w:eastAsia="Times New Roman" w:hAnsi="Times New Roman"/>
          <w:sz w:val="22"/>
          <w:szCs w:val="22"/>
          <w:color w:val="auto"/>
        </w:rPr>
        <w:t>. In the third quarter of 2020, the Company completed certain cost reduction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initiatives to better align the Company’s operating expenses with the current state of its business as well as the offshore marine industry which it began in the third quarter of 2019, including a reduction of workforce, reorganization of the Company’s management structure, closure and/or consolidation of certain facilities and streamlining of operations. These initiatives impacted all of the Company’s reportable segments in the third quarter of 2020 and are expected to result in annualized recurring savings of at least $8.0 million once completed. For the nine months ended September 30, 2020, the Company incurred one-time restructuring charges totaling $1.2 million related to these restructuring activities. Management continues to focus on optimizing the cost structure and regional footprint of the business to help maintain the Company’s competitiveness in the industry, improve its operating leverage and position itself to take advantage of market opportunities.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Consolidated Results of Operations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sections below provide an analysis of the Company’s results of operations for the nine months (“Current Year Quarter”) ended September 30, 2020 compared with the nine months (“Prior Year Quarter”) ended September 30, 2019. For the periods indicated, the Company’s consolidated results of operations were as follows (in thousands, except statistics):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8"/>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Average Rates Per Day Worked (excluding crew transfer)</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Utilization (excluding crew transfer)</w:t>
            </w:r>
          </w:p>
        </w:tc>
        <w:tc>
          <w:tcPr>
            <w:tcW w:w="22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Available Days (excluding crew transfer)</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29,484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43,586</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49,747</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91%</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122,683</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137,836</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line="20" w:lineRule="exact"/>
              <w:rPr>
                <w:sz w:val="1"/>
                <w:szCs w:val="1"/>
                <w:color w:val="auto"/>
              </w:rPr>
            </w:pPr>
          </w:p>
        </w:tc>
      </w:tr>
      <w:tr>
        <w:trPr>
          <w:trHeight w:val="207"/>
        </w:trPr>
        <w:tc>
          <w:tcPr>
            <w:tcW w:w="4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45,697</w:t>
            </w:r>
          </w:p>
        </w:tc>
        <w:tc>
          <w:tcPr>
            <w:tcW w:w="26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gridSpan w:val="2"/>
            <w:vMerge w:val="continue"/>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54,700</w:t>
            </w:r>
          </w:p>
        </w:tc>
        <w:tc>
          <w:tcPr>
            <w:tcW w:w="24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129,318</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2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16,513</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43,597</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50,416</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42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2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26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2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6,643</w:t>
            </w:r>
          </w:p>
        </w:tc>
        <w:tc>
          <w:tcPr>
            <w:tcW w:w="26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2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4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29,128</w:t>
            </w:r>
          </w:p>
        </w:tc>
        <w:tc>
          <w:tcPr>
            <w:tcW w:w="2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27,211</w:t>
            </w: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77,661</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97,747</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11,462</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35,480</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32,798</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16,613</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46,927</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Lease expense - operating</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26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2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26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2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57,286</w:t>
            </w:r>
          </w:p>
        </w:tc>
        <w:tc>
          <w:tcPr>
            <w:tcW w:w="2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58,917</w:t>
            </w: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166,220</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129%</w:t>
            </w: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191,734</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7"/>
        </w:trPr>
        <w:tc>
          <w:tcPr>
            <w:tcW w:w="4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 Net</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6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4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(15,792)</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2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(11,356)</w:t>
            </w:r>
          </w:p>
        </w:tc>
        <w:tc>
          <w:tcPr>
            <w:tcW w:w="2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(52,694)</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(42,031)</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22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(9,407)</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(4,384)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8"/>
                <w:szCs w:val="18"/>
                <w:color w:val="auto"/>
              </w:rPr>
            </w:pPr>
          </w:p>
        </w:tc>
        <w:tc>
          <w:tcPr>
            <w:tcW w:w="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(17,767)</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8"/>
                <w:szCs w:val="18"/>
                <w:color w:val="auto"/>
              </w:rPr>
            </w:pP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(21,750)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8"/>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from Continuing Operations Before Income Tax</w:t>
            </w:r>
          </w:p>
        </w:tc>
        <w:tc>
          <w:tcPr>
            <w:tcW w:w="2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Benefit and Equity in Earnings of 50% or Less Owned</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Companies</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(20,763)</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(7,740)</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(70,461)</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(63,781)</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22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(3,119)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(24,868)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8"/>
                <w:szCs w:val="18"/>
                <w:color w:val="auto"/>
              </w:rPr>
            </w:pP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(5,606)</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8"/>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 Before Equity in Earnings</w:t>
            </w:r>
          </w:p>
        </w:tc>
        <w:tc>
          <w:tcPr>
            <w:tcW w:w="2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 50% or Less Owned Companies</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(17,644)</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(9,017)</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(45,593)</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(58,175)</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Equity in Gains (Losses) of 50% or Less Owned Companies</w:t>
            </w:r>
          </w:p>
        </w:tc>
        <w:tc>
          <w:tcPr>
            <w:tcW w:w="22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(433)</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(1,325)</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(11,879)</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2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2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2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(44,135)</w:t>
            </w:r>
          </w:p>
        </w:tc>
        <w:tc>
          <w:tcPr>
            <w:tcW w:w="26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(70,054)</w:t>
            </w:r>
          </w:p>
        </w:tc>
        <w:tc>
          <w:tcPr>
            <w:tcW w:w="24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20" w:type="dxa"/>
            <w:vAlign w:val="bottom"/>
          </w:tcPr>
          <w:p>
            <w:pPr>
              <w:spacing w:after="0"/>
              <w:rPr>
                <w:sz w:val="18"/>
                <w:szCs w:val="18"/>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(7,899)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8"/>
                <w:szCs w:val="18"/>
                <w:color w:val="auto"/>
              </w:rPr>
            </w:pP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(6,724)</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4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2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(18,241)</w:t>
            </w:r>
          </w:p>
        </w:tc>
        <w:tc>
          <w:tcPr>
            <w:tcW w:w="2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(44,135)</w:t>
            </w:r>
          </w:p>
        </w:tc>
        <w:tc>
          <w:tcPr>
            <w:tcW w:w="26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(76,778)</w:t>
            </w:r>
          </w:p>
        </w:tc>
        <w:tc>
          <w:tcPr>
            <w:tcW w:w="24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Net Gain (Loss) attributable to Noncontrolling Interests in</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Subsidiaries</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18"/>
                <w:szCs w:val="18"/>
                <w:color w:val="auto"/>
              </w:rPr>
            </w:pPr>
          </w:p>
        </w:tc>
        <w:tc>
          <w:tcPr>
            <w:tcW w:w="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(4,036)</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c>
          <w:tcPr>
            <w:tcW w:w="9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(4,395)</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SEACOR Marine Holdings Inc.</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(18,081</w:t>
            </w:r>
          </w:p>
        </w:tc>
        <w:tc>
          <w:tcPr>
            <w:tcW w:w="26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(18,445</w:t>
            </w:r>
          </w:p>
        </w:tc>
        <w:tc>
          <w:tcPr>
            <w:tcW w:w="24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(40,099</w:t>
            </w:r>
          </w:p>
        </w:tc>
        <w:tc>
          <w:tcPr>
            <w:tcW w:w="26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(72,383</w:t>
            </w:r>
          </w:p>
        </w:tc>
        <w:tc>
          <w:tcPr>
            <w:tcW w:w="24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Direct Vessel Profit. </w:t>
      </w:r>
      <w:r>
        <w:rPr>
          <w:rFonts w:ascii="Times New Roman" w:cs="Times New Roman" w:eastAsia="Times New Roman" w:hAnsi="Times New Roman"/>
          <w:sz w:val="22"/>
          <w:szCs w:val="22"/>
          <w:color w:val="auto"/>
        </w:rPr>
        <w:t>Direct vessel profit (defined as operating revenues less operating expenses excluding leased-in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and interest expense for owned vessel vs. lease expense for leased-in vessels). DVP is also useful when comparing the Company’s fleet’s performance against those of its competitors who may have differing fleet financing structures.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pacing w:after="0" w:line="15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tables summarize the operating results and property and equipment for the Company’s reportable segments for the periods indicated (in thousands, except statistics):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Continuing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5"/>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2020</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19,397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9,670</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6,656</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43,586</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40" w:type="dxa"/>
            <w:vAlign w:val="bottom"/>
          </w:tcPr>
          <w:p>
            <w:pPr>
              <w:spacing w:after="0"/>
              <w:rPr>
                <w:sz w:val="18"/>
                <w:szCs w:val="18"/>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40" w:type="dxa"/>
            <w:vAlign w:val="bottom"/>
            <w:shd w:val="clear" w:color="auto" w:fill="CFF0FC"/>
          </w:tcPr>
          <w:p>
            <w:pPr>
              <w:spacing w:after="0"/>
              <w:rPr>
                <w:sz w:val="18"/>
                <w:szCs w:val="18"/>
                <w:color w:val="auto"/>
              </w:rPr>
            </w:pPr>
          </w:p>
        </w:tc>
      </w:tr>
      <w:tr>
        <w:trPr>
          <w:trHeight w:val="209"/>
        </w:trPr>
        <w:tc>
          <w:tcPr>
            <w:tcW w:w="41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45,697</w:t>
            </w:r>
          </w:p>
        </w:tc>
        <w:tc>
          <w:tcPr>
            <w:tcW w:w="140" w:type="dxa"/>
            <w:vAlign w:val="bottom"/>
            <w:tcBorders>
              <w:bottom w:val="single" w:sz="8" w:color="CFF0FC"/>
            </w:tcBorders>
          </w:tcPr>
          <w:p>
            <w:pPr>
              <w:spacing w:after="0"/>
              <w:rPr>
                <w:sz w:val="18"/>
                <w:szCs w:val="18"/>
                <w:color w:val="auto"/>
              </w:rPr>
            </w:pPr>
          </w:p>
        </w:tc>
      </w:tr>
      <w:tr>
        <w:trPr>
          <w:trHeight w:val="212"/>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16,513</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40" w:type="dxa"/>
            <w:vAlign w:val="bottom"/>
            <w:tcBorders>
              <w:bottom w:val="single" w:sz="8" w:color="CFF0FC"/>
            </w:tcBorders>
          </w:tcPr>
          <w:p>
            <w:pPr>
              <w:spacing w:after="0"/>
              <w:rPr>
                <w:sz w:val="18"/>
                <w:szCs w:val="18"/>
                <w:color w:val="auto"/>
              </w:rPr>
            </w:pPr>
          </w:p>
        </w:tc>
      </w:tr>
      <w:tr>
        <w:trPr>
          <w:trHeight w:val="212"/>
        </w:trPr>
        <w:tc>
          <w:tcPr>
            <w:tcW w:w="4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29,128</w:t>
            </w:r>
          </w:p>
        </w:tc>
        <w:tc>
          <w:tcPr>
            <w:tcW w:w="140" w:type="dxa"/>
            <w:vAlign w:val="bottom"/>
            <w:shd w:val="clear" w:color="auto" w:fill="CFF0FC"/>
          </w:tcPr>
          <w:p>
            <w:pPr>
              <w:spacing w:after="0"/>
              <w:rPr>
                <w:sz w:val="18"/>
                <w:szCs w:val="18"/>
                <w:color w:val="auto"/>
              </w:rPr>
            </w:pPr>
          </w:p>
        </w:tc>
      </w:tr>
      <w:tr>
        <w:trPr>
          <w:trHeight w:val="250"/>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4,898</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7,142</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16,569</w:t>
            </w:r>
          </w:p>
        </w:tc>
        <w:tc>
          <w:tcPr>
            <w:tcW w:w="140" w:type="dxa"/>
            <w:vAlign w:val="bottom"/>
            <w:tcBorders>
              <w:bottom w:val="single" w:sz="8" w:color="CFF0FC"/>
            </w:tcBorders>
          </w:tcPr>
          <w:p>
            <w:pPr>
              <w:spacing w:after="0"/>
              <w:rPr>
                <w:sz w:val="21"/>
                <w:szCs w:val="21"/>
                <w:color w:val="auto"/>
              </w:rPr>
            </w:pPr>
          </w:p>
        </w:tc>
      </w:tr>
      <w:tr>
        <w:trPr>
          <w:trHeight w:val="19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40" w:type="dxa"/>
            <w:vAlign w:val="bottom"/>
          </w:tcPr>
          <w:p>
            <w:pPr>
              <w:spacing w:after="0"/>
              <w:rPr>
                <w:sz w:val="18"/>
                <w:szCs w:val="18"/>
                <w:color w:val="auto"/>
              </w:rPr>
            </w:pPr>
          </w:p>
        </w:tc>
      </w:tr>
      <w:tr>
        <w:trPr>
          <w:trHeight w:val="246"/>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10,155</w:t>
            </w:r>
          </w:p>
        </w:tc>
        <w:tc>
          <w:tcPr>
            <w:tcW w:w="140" w:type="dxa"/>
            <w:vAlign w:val="bottom"/>
            <w:shd w:val="clear" w:color="auto" w:fill="CFF0FC"/>
          </w:tcPr>
          <w:p>
            <w:pPr>
              <w:spacing w:after="0"/>
              <w:rPr>
                <w:sz w:val="21"/>
                <w:szCs w:val="2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16,613</w:t>
            </w:r>
          </w:p>
        </w:tc>
        <w:tc>
          <w:tcPr>
            <w:tcW w:w="140" w:type="dxa"/>
            <w:vAlign w:val="bottom"/>
            <w:tcBorders>
              <w:bottom w:val="single" w:sz="8" w:color="CFF0FC"/>
            </w:tcBorders>
          </w:tcPr>
          <w:p>
            <w:pPr>
              <w:spacing w:after="0"/>
              <w:rPr>
                <w:sz w:val="18"/>
                <w:szCs w:val="18"/>
                <w:color w:val="auto"/>
              </w:rPr>
            </w:pPr>
          </w:p>
        </w:tc>
      </w:tr>
      <w:tr>
        <w:trPr>
          <w:trHeight w:val="212"/>
        </w:trPr>
        <w:tc>
          <w:tcPr>
            <w:tcW w:w="4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28,158</w:t>
            </w:r>
          </w:p>
        </w:tc>
        <w:tc>
          <w:tcPr>
            <w:tcW w:w="140" w:type="dxa"/>
            <w:vAlign w:val="bottom"/>
            <w:shd w:val="clear" w:color="auto" w:fill="CFF0FC"/>
          </w:tcPr>
          <w:p>
            <w:pPr>
              <w:spacing w:after="0"/>
              <w:rPr>
                <w:sz w:val="18"/>
                <w:szCs w:val="18"/>
                <w:color w:val="auto"/>
              </w:rPr>
            </w:pPr>
          </w:p>
        </w:tc>
      </w:tr>
      <w:tr>
        <w:trPr>
          <w:trHeight w:val="207"/>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tcBorders>
              <w:bottom w:val="single" w:sz="8" w:color="CFF0FC"/>
            </w:tcBorders>
          </w:tcPr>
          <w:p>
            <w:pPr>
              <w:spacing w:after="0"/>
              <w:rPr>
                <w:sz w:val="17"/>
                <w:szCs w:val="17"/>
                <w:color w:val="auto"/>
              </w:rPr>
            </w:pPr>
          </w:p>
        </w:tc>
      </w:tr>
      <w:tr>
        <w:trPr>
          <w:trHeight w:val="210"/>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(11,356)</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Continuing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2020</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19,317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10,675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7,521</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28,680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39,044</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31,170</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122,683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27,982</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16,797</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129,318</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43,597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6,643</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17,126</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77,661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15,794</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51,657</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35,480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15,573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12,090</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46,927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88,559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(15,792)</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(52,694)</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258,710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203,890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365,049</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140,718</w:t>
            </w:r>
          </w:p>
        </w:tc>
        <w:tc>
          <w:tcPr>
            <w:tcW w:w="20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1,078,169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(128,390)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(57,861)</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(75,013)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(11,545)</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(61,578)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(334,387)</w:t>
            </w:r>
          </w:p>
        </w:tc>
        <w:tc>
          <w:tcPr>
            <w:tcW w:w="0" w:type="dxa"/>
            <w:vAlign w:val="bottom"/>
          </w:tcPr>
          <w:p>
            <w:pPr>
              <w:spacing w:after="0"/>
              <w:rPr>
                <w:sz w:val="1"/>
                <w:szCs w:val="1"/>
                <w:color w:val="auto"/>
              </w:rPr>
            </w:pPr>
          </w:p>
        </w:tc>
      </w:tr>
      <w:tr>
        <w:trPr>
          <w:trHeight w:val="247"/>
        </w:trPr>
        <w:tc>
          <w:tcPr>
            <w:tcW w:w="4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130,320</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146,029</w:t>
            </w:r>
          </w:p>
        </w:tc>
        <w:tc>
          <w:tcPr>
            <w:tcW w:w="2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290,036</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98,257</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79,140</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743,782</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140" w:type="dxa"/>
            <w:vAlign w:val="bottom"/>
            <w:tcBorders>
              <w:bottom w:val="single" w:sz="8" w:color="CFF0FC"/>
            </w:tcBorders>
            <w:shd w:val="clear" w:color="auto" w:fill="CFF0FC"/>
          </w:tcPr>
          <w:p>
            <w:pPr>
              <w:spacing w:after="0" w:line="199"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172,218</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156,551</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312,622</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175,164</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121,428</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937,983</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Total assets by region does not include corporate assets of $119,192 as of September 30, 2020</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Continuing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5"/>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2019</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17,851</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8,795</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49,747</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40" w:type="dxa"/>
            <w:vAlign w:val="bottom"/>
          </w:tcPr>
          <w:p>
            <w:pPr>
              <w:spacing w:after="0"/>
              <w:rPr>
                <w:sz w:val="18"/>
                <w:szCs w:val="18"/>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40" w:type="dxa"/>
            <w:vAlign w:val="bottom"/>
            <w:shd w:val="clear" w:color="auto" w:fill="CFF0FC"/>
          </w:tcPr>
          <w:p>
            <w:pPr>
              <w:spacing w:after="0"/>
              <w:rPr>
                <w:sz w:val="18"/>
                <w:szCs w:val="18"/>
                <w:color w:val="auto"/>
              </w:rPr>
            </w:pPr>
          </w:p>
        </w:tc>
      </w:tr>
      <w:tr>
        <w:trPr>
          <w:trHeight w:val="209"/>
        </w:trPr>
        <w:tc>
          <w:tcPr>
            <w:tcW w:w="4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54,700</w:t>
            </w:r>
          </w:p>
        </w:tc>
        <w:tc>
          <w:tcPr>
            <w:tcW w:w="140" w:type="dxa"/>
            <w:vAlign w:val="bottom"/>
            <w:tcBorders>
              <w:bottom w:val="single" w:sz="8" w:color="CFF0FC"/>
            </w:tcBorders>
          </w:tcPr>
          <w:p>
            <w:pPr>
              <w:spacing w:after="0"/>
              <w:rPr>
                <w:sz w:val="18"/>
                <w:szCs w:val="18"/>
                <w:color w:val="auto"/>
              </w:rPr>
            </w:pPr>
          </w:p>
        </w:tc>
      </w:tr>
      <w:tr>
        <w:trPr>
          <w:trHeight w:val="212"/>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40" w:type="dxa"/>
            <w:vAlign w:val="bottom"/>
          </w:tcPr>
          <w:p>
            <w:pPr>
              <w:spacing w:after="0"/>
              <w:rPr>
                <w:sz w:val="18"/>
                <w:szCs w:val="18"/>
                <w:color w:val="auto"/>
              </w:rPr>
            </w:pPr>
          </w:p>
        </w:tc>
      </w:tr>
      <w:tr>
        <w:trPr>
          <w:trHeight w:val="212"/>
        </w:trPr>
        <w:tc>
          <w:tcPr>
            <w:tcW w:w="4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27,211</w:t>
            </w:r>
          </w:p>
        </w:tc>
        <w:tc>
          <w:tcPr>
            <w:tcW w:w="140" w:type="dxa"/>
            <w:vAlign w:val="bottom"/>
            <w:tcBorders>
              <w:top w:val="single" w:sz="8" w:color="CFF0FC"/>
            </w:tcBorders>
            <w:shd w:val="clear" w:color="auto" w:fill="CFF0FC"/>
          </w:tcPr>
          <w:p>
            <w:pPr>
              <w:spacing w:after="0"/>
              <w:rPr>
                <w:sz w:val="18"/>
                <w:szCs w:val="18"/>
                <w:color w:val="auto"/>
              </w:rPr>
            </w:pPr>
          </w:p>
        </w:tc>
      </w:tr>
      <w:tr>
        <w:trPr>
          <w:trHeight w:val="250"/>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27,489</w:t>
            </w:r>
          </w:p>
        </w:tc>
        <w:tc>
          <w:tcPr>
            <w:tcW w:w="140" w:type="dxa"/>
            <w:vAlign w:val="bottom"/>
            <w:tcBorders>
              <w:bottom w:val="single" w:sz="8" w:color="CFF0FC"/>
            </w:tcBorders>
          </w:tcPr>
          <w:p>
            <w:pPr>
              <w:spacing w:after="0"/>
              <w:rPr>
                <w:sz w:val="21"/>
                <w:szCs w:val="21"/>
                <w:color w:val="auto"/>
              </w:rPr>
            </w:pPr>
          </w:p>
        </w:tc>
      </w:tr>
      <w:tr>
        <w:trPr>
          <w:trHeight w:val="19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140" w:type="dxa"/>
            <w:vAlign w:val="bottom"/>
          </w:tcPr>
          <w:p>
            <w:pPr>
              <w:spacing w:after="0"/>
              <w:rPr>
                <w:sz w:val="18"/>
                <w:szCs w:val="18"/>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11,462</w:t>
            </w:r>
          </w:p>
        </w:tc>
        <w:tc>
          <w:tcPr>
            <w:tcW w:w="140" w:type="dxa"/>
            <w:vAlign w:val="bottom"/>
            <w:shd w:val="clear" w:color="auto" w:fill="CFF0FC"/>
          </w:tcPr>
          <w:p>
            <w:pPr>
              <w:spacing w:after="0"/>
              <w:rPr>
                <w:sz w:val="19"/>
                <w:szCs w:val="19"/>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16,091</w:t>
            </w:r>
          </w:p>
        </w:tc>
        <w:tc>
          <w:tcPr>
            <w:tcW w:w="140" w:type="dxa"/>
            <w:vAlign w:val="bottom"/>
            <w:tcBorders>
              <w:bottom w:val="single" w:sz="8" w:color="CFF0FC"/>
            </w:tcBorders>
          </w:tcPr>
          <w:p>
            <w:pPr>
              <w:spacing w:after="0"/>
              <w:rPr>
                <w:sz w:val="18"/>
                <w:szCs w:val="18"/>
                <w:color w:val="auto"/>
              </w:rPr>
            </w:pPr>
          </w:p>
        </w:tc>
      </w:tr>
      <w:tr>
        <w:trPr>
          <w:trHeight w:val="212"/>
        </w:trPr>
        <w:tc>
          <w:tcPr>
            <w:tcW w:w="4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31,706</w:t>
            </w:r>
          </w:p>
        </w:tc>
        <w:tc>
          <w:tcPr>
            <w:tcW w:w="140" w:type="dxa"/>
            <w:vAlign w:val="bottom"/>
            <w:shd w:val="clear" w:color="auto" w:fill="CFF0FC"/>
          </w:tcPr>
          <w:p>
            <w:pPr>
              <w:spacing w:after="0"/>
              <w:rPr>
                <w:sz w:val="18"/>
                <w:szCs w:val="18"/>
                <w:color w:val="auto"/>
              </w:rPr>
            </w:pPr>
          </w:p>
        </w:tc>
      </w:tr>
      <w:tr>
        <w:trPr>
          <w:trHeight w:val="207"/>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40" w:type="dxa"/>
            <w:vAlign w:val="bottom"/>
            <w:tcBorders>
              <w:bottom w:val="single" w:sz="8" w:color="CFF0FC"/>
            </w:tcBorders>
          </w:tcPr>
          <w:p>
            <w:pPr>
              <w:spacing w:after="0"/>
              <w:rPr>
                <w:sz w:val="17"/>
                <w:szCs w:val="17"/>
                <w:color w:val="auto"/>
              </w:rPr>
            </w:pPr>
          </w:p>
        </w:tc>
      </w:tr>
      <w:tr>
        <w:trPr>
          <w:trHeight w:val="210"/>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United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(primarily</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Gulf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Latin</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Continuing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Fleet Available Days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29,484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31,547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23,987</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33,156</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41,463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13,515</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152,422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12,569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21,013</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15,346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97,747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Direct Vessel Profit, from Continuing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54,675</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32,798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16,473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6,726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48,600</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93,987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on Asset Dispositions and Impairments</w:t>
            </w: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for Continuing Operations</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(42,031)</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329,913</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221,080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297,735</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108,224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113,422</w:t>
            </w:r>
          </w:p>
        </w:tc>
        <w:tc>
          <w:tcPr>
            <w:tcW w:w="20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1,070,374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(161,315)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(64,748)</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(74,225)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(50,928)</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(49,412)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(400,628)</w:t>
            </w:r>
          </w:p>
        </w:tc>
        <w:tc>
          <w:tcPr>
            <w:tcW w:w="0" w:type="dxa"/>
            <w:vAlign w:val="bottom"/>
          </w:tcPr>
          <w:p>
            <w:pPr>
              <w:spacing w:after="0"/>
              <w:rPr>
                <w:sz w:val="1"/>
                <w:szCs w:val="1"/>
                <w:color w:val="auto"/>
              </w:rPr>
            </w:pPr>
          </w:p>
        </w:tc>
      </w:tr>
      <w:tr>
        <w:trPr>
          <w:trHeight w:val="247"/>
        </w:trPr>
        <w:tc>
          <w:tcPr>
            <w:tcW w:w="4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168,598</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156,332</w:t>
            </w:r>
          </w:p>
        </w:tc>
        <w:tc>
          <w:tcPr>
            <w:tcW w:w="2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223,510</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57,296</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64,010</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669,746</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r>
              <w:rPr>
                <w:rFonts w:ascii="Times New Roman" w:cs="Times New Roman" w:eastAsia="Times New Roman" w:hAnsi="Times New Roman"/>
                <w:sz w:val="10"/>
                <w:szCs w:val="10"/>
                <w:color w:val="auto"/>
              </w:rPr>
              <w:t>(1)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251,547</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167,714</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257,294</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125,138</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92,861</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894,554</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Total assets by region does not include corporate assets of $145,952 as of September 30, 2019</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9" w:name="page40"/>
    <w:bookmarkEnd w:id="39"/>
    <w:p>
      <w:pPr>
        <w:ind w:firstLine="749"/>
        <w:spacing w:after="0" w:line="258" w:lineRule="auto"/>
        <w:rPr>
          <w:sz w:val="20"/>
          <w:szCs w:val="20"/>
          <w:color w:val="auto"/>
        </w:rPr>
      </w:pPr>
      <w:r>
        <w:rPr>
          <w:rFonts w:ascii="Times New Roman" w:cs="Times New Roman" w:eastAsia="Times New Roman" w:hAnsi="Times New Roman"/>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Anchor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w w:val="98"/>
              </w:rPr>
              <w:t>handling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towing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500"/>
              <w:spacing w:after="0" w:line="162" w:lineRule="exact"/>
              <w:rPr>
                <w:sz w:val="20"/>
                <w:szCs w:val="20"/>
                <w:color w:val="auto"/>
              </w:rPr>
            </w:pPr>
            <w:r>
              <w:rPr>
                <w:rFonts w:ascii="Times New Roman" w:cs="Times New Roman" w:eastAsia="Times New Roman" w:hAnsi="Times New Roman"/>
                <w:sz w:val="15"/>
                <w:szCs w:val="15"/>
                <w:b w:val="1"/>
                <w:bCs w:val="1"/>
                <w:color w:val="auto"/>
              </w:rPr>
              <w:t>Fast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b w:val="1"/>
                <w:bCs w:val="1"/>
                <w:color w:val="auto"/>
              </w:rPr>
              <w:t>Crew</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3"/>
        </w:trPr>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w w:val="99"/>
              </w:rPr>
              <w:t>support</w:t>
            </w:r>
          </w:p>
        </w:tc>
        <w:tc>
          <w:tcPr>
            <w:tcW w:w="1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6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Specialty</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w w:val="95"/>
              </w:rPr>
              <w:t>Transfer</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48"/>
        </w:trPr>
        <w:tc>
          <w:tcPr>
            <w:tcW w:w="3240" w:type="dxa"/>
            <w:vAlign w:val="bottom"/>
            <w:tcBorders>
              <w:top w:val="single" w:sz="8" w:color="CFF0FC"/>
            </w:tcBorders>
            <w:shd w:val="clear" w:color="auto" w:fill="CFF0FC"/>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For the Three Months Ended September 30,</w:t>
            </w: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r>
      <w:tr>
        <w:trPr>
          <w:trHeight w:val="18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2020</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Time Charter Statistics: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Average Rates Per Day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7,388</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8,421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11,355</w:t>
            </w:r>
          </w:p>
        </w:tc>
        <w:tc>
          <w:tcPr>
            <w:tcW w:w="2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27,947</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2,565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6,656</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Fleet Utilization</w:t>
            </w:r>
          </w:p>
        </w:tc>
        <w:tc>
          <w:tcPr>
            <w:tcW w:w="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74%</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75"/>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Fleet Available Days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3,664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9,379</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Time charter</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2,564</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12,212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10,541</w:t>
            </w:r>
          </w:p>
        </w:tc>
        <w:tc>
          <w:tcPr>
            <w:tcW w:w="2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9,319</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8,950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43,586</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Bareboat charter</w:t>
            </w: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(55)</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676</w:t>
            </w: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marine services</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(147)</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(256)</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140" w:type="dxa"/>
            <w:vAlign w:val="bottom"/>
            <w:shd w:val="clear" w:color="auto" w:fill="CFF0FC"/>
          </w:tcPr>
          <w:p>
            <w:pPr>
              <w:spacing w:after="0"/>
              <w:rPr>
                <w:sz w:val="15"/>
                <w:szCs w:val="15"/>
                <w:color w:val="auto"/>
              </w:rPr>
            </w:pPr>
          </w:p>
        </w:tc>
      </w:tr>
      <w:tr>
        <w:trPr>
          <w:trHeight w:val="169"/>
        </w:trPr>
        <w:tc>
          <w:tcPr>
            <w:tcW w:w="32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2,417</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12,687</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10,578</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9,635</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9,660</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720</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45,697</w:t>
            </w:r>
          </w:p>
        </w:tc>
        <w:tc>
          <w:tcPr>
            <w:tcW w:w="140" w:type="dxa"/>
            <w:vAlign w:val="bottom"/>
            <w:tcBorders>
              <w:bottom w:val="single" w:sz="8" w:color="CFF0FC"/>
            </w:tcBorders>
          </w:tcPr>
          <w:p>
            <w:pPr>
              <w:spacing w:after="0"/>
              <w:rPr>
                <w:sz w:val="14"/>
                <w:szCs w:val="14"/>
                <w:color w:val="auto"/>
              </w:rPr>
            </w:pPr>
          </w:p>
        </w:tc>
      </w:tr>
      <w:tr>
        <w:trPr>
          <w:trHeight w:val="169"/>
        </w:trPr>
        <w:tc>
          <w:tcPr>
            <w:tcW w:w="32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Direct Costs and Expenses:</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Personnel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950</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4,180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3,821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3,963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3,184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16,513</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Repairs and maintenance</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4,639</w:t>
            </w: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Drydocking</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1,873</w:t>
            </w: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Fuel, lubes and supplies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(8)</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2,388</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(401)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3,130</w:t>
            </w:r>
          </w:p>
        </w:tc>
        <w:tc>
          <w:tcPr>
            <w:tcW w:w="140" w:type="dxa"/>
            <w:vAlign w:val="bottom"/>
          </w:tcPr>
          <w:p>
            <w:pPr>
              <w:spacing w:after="0"/>
              <w:rPr>
                <w:sz w:val="15"/>
                <w:szCs w:val="15"/>
                <w:color w:val="auto"/>
              </w:rPr>
            </w:pPr>
          </w:p>
        </w:tc>
      </w:tr>
      <w:tr>
        <w:trPr>
          <w:trHeight w:val="169"/>
        </w:trPr>
        <w:tc>
          <w:tcPr>
            <w:tcW w:w="3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2,037</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9,227</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6,642</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72</w:t>
            </w: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6,550</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4,527</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73</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29,128</w:t>
            </w:r>
          </w:p>
        </w:tc>
        <w:tc>
          <w:tcPr>
            <w:tcW w:w="140" w:type="dxa"/>
            <w:vAlign w:val="bottom"/>
            <w:tcBorders>
              <w:top w:val="single" w:sz="8" w:color="CFF0FC"/>
            </w:tcBorders>
            <w:shd w:val="clear" w:color="auto" w:fill="CFF0FC"/>
          </w:tcPr>
          <w:p>
            <w:pPr>
              <w:spacing w:after="0"/>
              <w:rPr>
                <w:sz w:val="14"/>
                <w:szCs w:val="14"/>
                <w:color w:val="auto"/>
              </w:rPr>
            </w:pPr>
          </w:p>
        </w:tc>
      </w:tr>
      <w:tr>
        <w:trPr>
          <w:trHeight w:val="209"/>
        </w:trPr>
        <w:tc>
          <w:tcPr>
            <w:tcW w:w="324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Direct Vessel Profit (Loss)</w:t>
            </w:r>
          </w:p>
        </w:tc>
        <w:tc>
          <w:tcPr>
            <w:tcW w:w="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3,460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3,936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(72)</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5,133</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647</w:t>
            </w:r>
          </w:p>
        </w:tc>
        <w:tc>
          <w:tcPr>
            <w:tcW w:w="200" w:type="dxa"/>
            <w:vAlign w:val="bottom"/>
          </w:tcPr>
          <w:p>
            <w:pPr>
              <w:spacing w:after="0"/>
              <w:rPr>
                <w:sz w:val="18"/>
                <w:szCs w:val="18"/>
                <w:color w:val="auto"/>
              </w:rPr>
            </w:pPr>
          </w:p>
        </w:tc>
        <w:tc>
          <w:tcPr>
            <w:tcW w:w="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16,569</w:t>
            </w:r>
          </w:p>
        </w:tc>
        <w:tc>
          <w:tcPr>
            <w:tcW w:w="140" w:type="dxa"/>
            <w:vAlign w:val="bottom"/>
          </w:tcPr>
          <w:p>
            <w:pPr>
              <w:spacing w:after="0"/>
              <w:rPr>
                <w:sz w:val="18"/>
                <w:szCs w:val="18"/>
                <w:color w:val="auto"/>
              </w:rPr>
            </w:pPr>
          </w:p>
        </w:tc>
      </w:tr>
      <w:tr>
        <w:trPr>
          <w:trHeight w:val="156"/>
        </w:trPr>
        <w:tc>
          <w:tcPr>
            <w:tcW w:w="3240" w:type="dxa"/>
            <w:vAlign w:val="bottom"/>
            <w:tcBorders>
              <w:top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Other Costs and Expenses:</w:t>
            </w: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75"/>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Lease expense</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20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w:t>
            </w:r>
          </w:p>
        </w:tc>
        <w:tc>
          <w:tcPr>
            <w:tcW w:w="20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1,390</w:t>
            </w:r>
          </w:p>
        </w:tc>
        <w:tc>
          <w:tcPr>
            <w:tcW w:w="140" w:type="dxa"/>
            <w:vAlign w:val="bottom"/>
          </w:tcPr>
          <w:p>
            <w:pPr>
              <w:spacing w:after="0"/>
              <w:rPr>
                <w:sz w:val="15"/>
                <w:szCs w:val="15"/>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10,155</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5,105</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2,673</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4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5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5,980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1,766</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16,613</w:t>
            </w:r>
          </w:p>
        </w:tc>
        <w:tc>
          <w:tcPr>
            <w:tcW w:w="140" w:type="dxa"/>
            <w:vAlign w:val="bottom"/>
            <w:tcBorders>
              <w:bottom w:val="single" w:sz="8" w:color="CFF0FC"/>
            </w:tcBorders>
          </w:tcPr>
          <w:p>
            <w:pPr>
              <w:spacing w:after="0"/>
              <w:rPr>
                <w:sz w:val="15"/>
                <w:szCs w:val="15"/>
                <w:color w:val="auto"/>
              </w:rPr>
            </w:pPr>
          </w:p>
        </w:tc>
      </w:tr>
      <w:tr>
        <w:trPr>
          <w:trHeight w:val="169"/>
        </w:trPr>
        <w:tc>
          <w:tcPr>
            <w:tcW w:w="3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28,158</w:t>
            </w:r>
          </w:p>
        </w:tc>
        <w:tc>
          <w:tcPr>
            <w:tcW w:w="140" w:type="dxa"/>
            <w:vAlign w:val="bottom"/>
            <w:shd w:val="clear" w:color="auto" w:fill="CFF0FC"/>
          </w:tcPr>
          <w:p>
            <w:pPr>
              <w:spacing w:after="0"/>
              <w:rPr>
                <w:sz w:val="14"/>
                <w:szCs w:val="14"/>
                <w:color w:val="auto"/>
              </w:rPr>
            </w:pPr>
          </w:p>
        </w:tc>
      </w:tr>
      <w:tr>
        <w:trPr>
          <w:trHeight w:val="169"/>
        </w:trPr>
        <w:tc>
          <w:tcPr>
            <w:tcW w:w="324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Loss on Asset Dispositions and Impairments</w:t>
            </w: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233</w:t>
            </w:r>
          </w:p>
        </w:tc>
        <w:tc>
          <w:tcPr>
            <w:tcW w:w="140" w:type="dxa"/>
            <w:vAlign w:val="bottom"/>
            <w:tcBorders>
              <w:bottom w:val="single" w:sz="8" w:color="CFF0FC"/>
            </w:tcBorders>
          </w:tcPr>
          <w:p>
            <w:pPr>
              <w:spacing w:after="0"/>
              <w:rPr>
                <w:sz w:val="14"/>
                <w:szCs w:val="14"/>
                <w:color w:val="auto"/>
              </w:rPr>
            </w:pPr>
          </w:p>
        </w:tc>
      </w:tr>
      <w:tr>
        <w:trPr>
          <w:trHeight w:val="169"/>
        </w:trPr>
        <w:tc>
          <w:tcPr>
            <w:tcW w:w="324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Operating Loss</w:t>
            </w: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(11,356</w:t>
            </w:r>
          </w:p>
        </w:tc>
        <w:tc>
          <w:tcPr>
            <w:tcW w:w="14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Anchor</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5"/>
                <w:szCs w:val="15"/>
                <w:b w:val="1"/>
                <w:bCs w:val="1"/>
                <w:color w:val="auto"/>
              </w:rPr>
              <w:t>handling</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towing</w:t>
            </w:r>
          </w:p>
        </w:tc>
        <w:tc>
          <w:tcPr>
            <w:tcW w:w="100" w:type="dxa"/>
            <w:vAlign w:val="bottom"/>
          </w:tcPr>
          <w:p>
            <w:pPr>
              <w:spacing w:after="0"/>
              <w:rPr>
                <w:sz w:val="14"/>
                <w:szCs w:val="14"/>
                <w:color w:val="auto"/>
              </w:rPr>
            </w:pPr>
          </w:p>
        </w:tc>
        <w:tc>
          <w:tcPr>
            <w:tcW w:w="86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Fast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Crew</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support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Specialty</w:t>
            </w:r>
          </w:p>
        </w:tc>
        <w:tc>
          <w:tcPr>
            <w:tcW w:w="6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w w:val="98"/>
              </w:rPr>
              <w:t>Transfer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100" w:type="dxa"/>
            <w:vAlign w:val="bottom"/>
          </w:tcPr>
          <w:p>
            <w:pPr>
              <w:spacing w:after="0"/>
              <w:rPr>
                <w:sz w:val="15"/>
                <w:szCs w:val="15"/>
                <w:color w:val="auto"/>
              </w:rPr>
            </w:pPr>
          </w:p>
        </w:tc>
        <w:tc>
          <w:tcPr>
            <w:tcW w:w="820" w:type="dxa"/>
            <w:vAlign w:val="bottom"/>
            <w:gridSpan w:val="2"/>
          </w:tcPr>
          <w:p>
            <w:pPr>
              <w:jc w:val="right"/>
              <w:ind w:right="342"/>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8"/>
        </w:trPr>
        <w:tc>
          <w:tcPr>
            <w:tcW w:w="3020" w:type="dxa"/>
            <w:vAlign w:val="bottom"/>
            <w:tcBorders>
              <w:top w:val="single" w:sz="8" w:color="CFF0FC"/>
            </w:tcBorders>
            <w:shd w:val="clear" w:color="auto" w:fill="CFF0FC"/>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For the Nine Months Ended September 30,</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2020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20"/>
                <w:szCs w:val="20"/>
                <w:color w:val="auto"/>
              </w:rPr>
            </w:pPr>
            <w:r>
              <w:rPr>
                <w:rFonts w:ascii="Times New Roman" w:cs="Times New Roman" w:eastAsia="Times New Roman" w:hAnsi="Times New Roman"/>
                <w:sz w:val="15"/>
                <w:szCs w:val="15"/>
                <w:color w:val="auto"/>
              </w:rPr>
              <w:t>Time Charter Statistics: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Average Rates Per Day</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7,892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8,498</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9,816</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26,686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2,484</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6,808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Fleet Utilization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77%</w:t>
            </w:r>
          </w:p>
        </w:tc>
        <w:tc>
          <w:tcPr>
            <w:tcW w:w="260" w:type="dxa"/>
            <w:vAlign w:val="bottom"/>
          </w:tcPr>
          <w:p>
            <w:pPr>
              <w:spacing w:after="0"/>
              <w:rPr>
                <w:sz w:val="15"/>
                <w:szCs w:val="15"/>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176"/>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Fleet Available Days</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7,247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2,217</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10,643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26,735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Time charter</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7,202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43,574</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16,774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32,659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22,474</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122,683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Bareboat charter</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w:t>
            </w:r>
          </w:p>
        </w:tc>
        <w:tc>
          <w:tcPr>
            <w:tcW w:w="2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marine services</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(983)</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(30)</w:t>
            </w:r>
          </w:p>
        </w:tc>
        <w:tc>
          <w:tcPr>
            <w:tcW w:w="2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872</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2,805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4,512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7,477</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44,769</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16,689</w:t>
            </w:r>
          </w:p>
        </w:tc>
        <w:tc>
          <w:tcPr>
            <w:tcW w:w="26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33,531</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24,047</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2,805</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129,318</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Direct Costs and Expenses:</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Personnel</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2,695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13,005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6,618</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11,605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8,497</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43,597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Repairs and maintenance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13,754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Drydocking</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1,418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2,516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(318)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Fuel, lubes and supplies</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3,060</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939</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6,750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(1,069)</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6,060</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27,485</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11,513</w:t>
            </w:r>
          </w:p>
        </w:tc>
        <w:tc>
          <w:tcPr>
            <w:tcW w:w="2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366</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19,438</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12,513</w:t>
            </w: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286</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77,661</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2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Direct Vessel Profit (Loss)</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1,417</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17,284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5,176</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(366)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14,093</w:t>
            </w: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11,534</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2,519</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51,657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Other Costs and Expenses:</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Lease expense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2,239</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2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13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1,572</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8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35,480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15,628</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4,460</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18,189</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5,120</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1,692</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46,927</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88,559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Loss on Asset Dispositions and Impairments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(15,792)</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Operating Loss</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(52,694</w:t>
            </w:r>
          </w:p>
        </w:tc>
        <w:tc>
          <w:tcPr>
            <w:tcW w:w="14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378,387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216,769</w:t>
            </w:r>
          </w:p>
        </w:tc>
        <w:tc>
          <w:tcPr>
            <w:tcW w:w="260" w:type="dxa"/>
            <w:vAlign w:val="bottom"/>
          </w:tcPr>
          <w:p>
            <w:pPr>
              <w:spacing w:after="0"/>
              <w:rPr>
                <w:sz w:val="18"/>
                <w:szCs w:val="18"/>
                <w:color w:val="auto"/>
              </w:rPr>
            </w:pP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323,145</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85,308</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1,078,169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(31,284)</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(102,455)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(12,931)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(111,355)</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(57,484)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(18,878)</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(334,387)</w:t>
            </w:r>
          </w:p>
        </w:tc>
        <w:tc>
          <w:tcPr>
            <w:tcW w:w="0" w:type="dxa"/>
            <w:vAlign w:val="bottom"/>
          </w:tcPr>
          <w:p>
            <w:pPr>
              <w:spacing w:after="0"/>
              <w:rPr>
                <w:sz w:val="1"/>
                <w:szCs w:val="1"/>
                <w:color w:val="auto"/>
              </w:rPr>
            </w:pPr>
          </w:p>
        </w:tc>
      </w:tr>
      <w:tr>
        <w:trPr>
          <w:trHeight w:val="207"/>
        </w:trPr>
        <w:tc>
          <w:tcPr>
            <w:tcW w:w="3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18,905</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275,932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203,838</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211,790</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743,782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Anchor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w w:val="98"/>
              </w:rPr>
              <w:t>handling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towing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500"/>
              <w:spacing w:after="0" w:line="162" w:lineRule="exact"/>
              <w:rPr>
                <w:sz w:val="20"/>
                <w:szCs w:val="20"/>
                <w:color w:val="auto"/>
              </w:rPr>
            </w:pPr>
            <w:r>
              <w:rPr>
                <w:rFonts w:ascii="Times New Roman" w:cs="Times New Roman" w:eastAsia="Times New Roman" w:hAnsi="Times New Roman"/>
                <w:sz w:val="15"/>
                <w:szCs w:val="15"/>
                <w:b w:val="1"/>
                <w:bCs w:val="1"/>
                <w:color w:val="auto"/>
              </w:rPr>
              <w:t>Fast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b w:val="1"/>
                <w:bCs w:val="1"/>
                <w:color w:val="auto"/>
              </w:rPr>
              <w:t>Crew</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3"/>
        </w:trPr>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w w:val="99"/>
              </w:rPr>
              <w:t>support</w:t>
            </w:r>
          </w:p>
        </w:tc>
        <w:tc>
          <w:tcPr>
            <w:tcW w:w="1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6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Specialty</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w w:val="95"/>
              </w:rPr>
              <w:t>Transfer</w:t>
            </w: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48"/>
        </w:trPr>
        <w:tc>
          <w:tcPr>
            <w:tcW w:w="3240" w:type="dxa"/>
            <w:vAlign w:val="bottom"/>
            <w:tcBorders>
              <w:top w:val="single" w:sz="8" w:color="CFF0FC"/>
            </w:tcBorders>
            <w:shd w:val="clear" w:color="auto" w:fill="CFF0FC"/>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For the Three Months Ended September 30,</w:t>
            </w: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r>
      <w:tr>
        <w:trPr>
          <w:trHeight w:val="18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2019</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Time Charter Statistics: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Average Rates Per Day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7,790</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8,133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6,755</w:t>
            </w:r>
          </w:p>
        </w:tc>
        <w:tc>
          <w:tcPr>
            <w:tcW w:w="2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26,172</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2,220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6,981</w:t>
            </w:r>
          </w:p>
        </w:tc>
        <w:tc>
          <w:tcPr>
            <w:tcW w:w="140" w:type="dxa"/>
            <w:vAlign w:val="bottom"/>
            <w:shd w:val="clear" w:color="auto" w:fill="CFF0FC"/>
          </w:tcPr>
          <w:p>
            <w:pPr>
              <w:spacing w:after="0"/>
              <w:rPr>
                <w:sz w:val="15"/>
                <w:szCs w:val="15"/>
                <w:color w:val="auto"/>
              </w:rPr>
            </w:pPr>
          </w:p>
        </w:tc>
      </w:tr>
      <w:tr>
        <w:trPr>
          <w:trHeight w:val="175"/>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Fleet Utilization</w:t>
            </w:r>
          </w:p>
        </w:tc>
        <w:tc>
          <w:tcPr>
            <w:tcW w:w="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96%</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176"/>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Fleet Available Days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736</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3,156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3,531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9,578</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Time charter</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3,059</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20,079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2,589</w:t>
            </w:r>
          </w:p>
        </w:tc>
        <w:tc>
          <w:tcPr>
            <w:tcW w:w="2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16,830</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7,190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49,747</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Bareboat charter</w:t>
            </w: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1,765</w:t>
            </w: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marine services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(200)</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3,188</w:t>
            </w:r>
          </w:p>
        </w:tc>
        <w:tc>
          <w:tcPr>
            <w:tcW w:w="140" w:type="dxa"/>
            <w:vAlign w:val="bottom"/>
            <w:shd w:val="clear" w:color="auto" w:fill="CFF0FC"/>
          </w:tcPr>
          <w:p>
            <w:pPr>
              <w:spacing w:after="0"/>
              <w:rPr>
                <w:sz w:val="15"/>
                <w:szCs w:val="15"/>
                <w:color w:val="auto"/>
              </w:rPr>
            </w:pPr>
          </w:p>
        </w:tc>
      </w:tr>
      <w:tr>
        <w:trPr>
          <w:trHeight w:val="169"/>
        </w:trPr>
        <w:tc>
          <w:tcPr>
            <w:tcW w:w="32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3,424</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20,476</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4,620</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17,625</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7,767</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788</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54,700</w:t>
            </w:r>
          </w:p>
        </w:tc>
        <w:tc>
          <w:tcPr>
            <w:tcW w:w="140" w:type="dxa"/>
            <w:vAlign w:val="bottom"/>
            <w:tcBorders>
              <w:bottom w:val="single" w:sz="8" w:color="CFF0FC"/>
            </w:tcBorders>
          </w:tcPr>
          <w:p>
            <w:pPr>
              <w:spacing w:after="0"/>
              <w:rPr>
                <w:sz w:val="14"/>
                <w:szCs w:val="14"/>
                <w:color w:val="auto"/>
              </w:rPr>
            </w:pPr>
          </w:p>
        </w:tc>
      </w:tr>
      <w:tr>
        <w:trPr>
          <w:trHeight w:val="169"/>
        </w:trPr>
        <w:tc>
          <w:tcPr>
            <w:tcW w:w="3240" w:type="dxa"/>
            <w:vAlign w:val="bottom"/>
            <w:shd w:val="clear" w:color="auto" w:fill="CFF0FC"/>
          </w:tcPr>
          <w:p>
            <w:pPr>
              <w:ind w:left="260"/>
              <w:spacing w:after="0" w:line="169" w:lineRule="exact"/>
              <w:rPr>
                <w:sz w:val="20"/>
                <w:szCs w:val="20"/>
                <w:color w:val="auto"/>
              </w:rPr>
            </w:pPr>
            <w:r>
              <w:rPr>
                <w:rFonts w:ascii="Times New Roman" w:cs="Times New Roman" w:eastAsia="Times New Roman" w:hAnsi="Times New Roman"/>
                <w:sz w:val="15"/>
                <w:szCs w:val="15"/>
                <w:color w:val="auto"/>
              </w:rPr>
              <w:t>Direct Costs and Expenses:</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Operating:</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Personnel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1,418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5,486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4,824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2,432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15,879</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Repairs and maintenance</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5,495</w:t>
            </w: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Drydocking</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Fuel, lubes and supplies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1,395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2,910</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(598)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1,214</w:t>
            </w:r>
          </w:p>
        </w:tc>
        <w:tc>
          <w:tcPr>
            <w:tcW w:w="140" w:type="dxa"/>
            <w:vAlign w:val="bottom"/>
          </w:tcPr>
          <w:p>
            <w:pPr>
              <w:spacing w:after="0"/>
              <w:rPr>
                <w:sz w:val="15"/>
                <w:szCs w:val="15"/>
                <w:color w:val="auto"/>
              </w:rPr>
            </w:pPr>
          </w:p>
        </w:tc>
      </w:tr>
      <w:tr>
        <w:trPr>
          <w:trHeight w:val="169"/>
        </w:trPr>
        <w:tc>
          <w:tcPr>
            <w:tcW w:w="3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2,785</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10,364</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1,871</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109</w:t>
            </w: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8,616</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3,568</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(102)</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27,211</w:t>
            </w:r>
          </w:p>
        </w:tc>
        <w:tc>
          <w:tcPr>
            <w:tcW w:w="140" w:type="dxa"/>
            <w:vAlign w:val="bottom"/>
            <w:tcBorders>
              <w:top w:val="single" w:sz="8" w:color="CFF0FC"/>
            </w:tcBorders>
            <w:shd w:val="clear" w:color="auto" w:fill="CFF0FC"/>
          </w:tcPr>
          <w:p>
            <w:pPr>
              <w:spacing w:after="0"/>
              <w:rPr>
                <w:sz w:val="14"/>
                <w:szCs w:val="14"/>
                <w:color w:val="auto"/>
              </w:rPr>
            </w:pPr>
          </w:p>
        </w:tc>
      </w:tr>
      <w:tr>
        <w:trPr>
          <w:trHeight w:val="148"/>
        </w:trPr>
        <w:tc>
          <w:tcPr>
            <w:tcW w:w="3240" w:type="dxa"/>
            <w:vAlign w:val="bottom"/>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Direct Vessel Profit (Loss), from Continuing</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2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2,749</w:t>
            </w:r>
          </w:p>
        </w:tc>
        <w:tc>
          <w:tcPr>
            <w:tcW w:w="200" w:type="dxa"/>
            <w:vAlign w:val="bottom"/>
          </w:tcPr>
          <w:p>
            <w:pPr>
              <w:spacing w:after="0"/>
              <w:rPr>
                <w:sz w:val="19"/>
                <w:szCs w:val="19"/>
                <w:color w:val="auto"/>
              </w:rPr>
            </w:pPr>
          </w:p>
        </w:tc>
        <w:tc>
          <w:tcPr>
            <w:tcW w:w="3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(109)</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9,009</w:t>
            </w:r>
          </w:p>
        </w:tc>
        <w:tc>
          <w:tcPr>
            <w:tcW w:w="1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27,489</w:t>
            </w:r>
          </w:p>
        </w:tc>
        <w:tc>
          <w:tcPr>
            <w:tcW w:w="140" w:type="dxa"/>
            <w:vAlign w:val="bottom"/>
          </w:tcPr>
          <w:p>
            <w:pPr>
              <w:spacing w:after="0"/>
              <w:rPr>
                <w:sz w:val="19"/>
                <w:szCs w:val="19"/>
                <w:color w:val="auto"/>
              </w:rPr>
            </w:pPr>
          </w:p>
        </w:tc>
      </w:tr>
      <w:tr>
        <w:trPr>
          <w:trHeight w:val="156"/>
        </w:trPr>
        <w:tc>
          <w:tcPr>
            <w:tcW w:w="3240" w:type="dxa"/>
            <w:vAlign w:val="bottom"/>
            <w:tcBorders>
              <w:top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Other Costs and Expenses:</w:t>
            </w: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76"/>
        </w:trPr>
        <w:tc>
          <w:tcPr>
            <w:tcW w:w="32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Lease expense</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1,357</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200" w:type="dxa"/>
            <w:vAlign w:val="bottom"/>
          </w:tcPr>
          <w:p>
            <w:pPr>
              <w:spacing w:after="0"/>
              <w:rPr>
                <w:sz w:val="15"/>
                <w:szCs w:val="15"/>
                <w:color w:val="auto"/>
              </w:rPr>
            </w:pPr>
          </w:p>
        </w:tc>
        <w:tc>
          <w:tcPr>
            <w:tcW w:w="3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1,498</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4,153</w:t>
            </w:r>
          </w:p>
        </w:tc>
        <w:tc>
          <w:tcPr>
            <w:tcW w:w="140" w:type="dxa"/>
            <w:vAlign w:val="bottom"/>
          </w:tcPr>
          <w:p>
            <w:pPr>
              <w:spacing w:after="0"/>
              <w:rPr>
                <w:sz w:val="15"/>
                <w:szCs w:val="15"/>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11,462</w:t>
            </w:r>
          </w:p>
        </w:tc>
        <w:tc>
          <w:tcPr>
            <w:tcW w:w="140" w:type="dxa"/>
            <w:vAlign w:val="bottom"/>
            <w:shd w:val="clear" w:color="auto" w:fill="CFF0FC"/>
          </w:tcPr>
          <w:p>
            <w:pPr>
              <w:spacing w:after="0"/>
              <w:rPr>
                <w:sz w:val="15"/>
                <w:szCs w:val="15"/>
                <w:color w:val="auto"/>
              </w:rPr>
            </w:pPr>
          </w:p>
        </w:tc>
      </w:tr>
      <w:tr>
        <w:trPr>
          <w:trHeight w:val="176"/>
        </w:trPr>
        <w:tc>
          <w:tcPr>
            <w:tcW w:w="3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5,646</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1,167</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5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6,247</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1,819</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16,091</w:t>
            </w:r>
          </w:p>
        </w:tc>
        <w:tc>
          <w:tcPr>
            <w:tcW w:w="140" w:type="dxa"/>
            <w:vAlign w:val="bottom"/>
            <w:tcBorders>
              <w:bottom w:val="single" w:sz="8" w:color="CFF0FC"/>
            </w:tcBorders>
          </w:tcPr>
          <w:p>
            <w:pPr>
              <w:spacing w:after="0"/>
              <w:rPr>
                <w:sz w:val="15"/>
                <w:szCs w:val="15"/>
                <w:color w:val="auto"/>
              </w:rPr>
            </w:pPr>
          </w:p>
        </w:tc>
      </w:tr>
      <w:tr>
        <w:trPr>
          <w:trHeight w:val="169"/>
        </w:trPr>
        <w:tc>
          <w:tcPr>
            <w:tcW w:w="3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31,706</w:t>
            </w:r>
          </w:p>
        </w:tc>
        <w:tc>
          <w:tcPr>
            <w:tcW w:w="140" w:type="dxa"/>
            <w:vAlign w:val="bottom"/>
            <w:shd w:val="clear" w:color="auto" w:fill="CFF0FC"/>
          </w:tcPr>
          <w:p>
            <w:pPr>
              <w:spacing w:after="0"/>
              <w:rPr>
                <w:sz w:val="14"/>
                <w:szCs w:val="14"/>
                <w:color w:val="auto"/>
              </w:rPr>
            </w:pPr>
          </w:p>
        </w:tc>
      </w:tr>
      <w:tr>
        <w:trPr>
          <w:trHeight w:val="169"/>
        </w:trPr>
        <w:tc>
          <w:tcPr>
            <w:tcW w:w="324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Loss on Asset Dispositions and Impairments</w:t>
            </w: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861</w:t>
            </w:r>
          </w:p>
        </w:tc>
        <w:tc>
          <w:tcPr>
            <w:tcW w:w="140" w:type="dxa"/>
            <w:vAlign w:val="bottom"/>
            <w:tcBorders>
              <w:bottom w:val="single" w:sz="8" w:color="CFF0FC"/>
            </w:tcBorders>
          </w:tcPr>
          <w:p>
            <w:pPr>
              <w:spacing w:after="0"/>
              <w:rPr>
                <w:sz w:val="14"/>
                <w:szCs w:val="14"/>
                <w:color w:val="auto"/>
              </w:rPr>
            </w:pPr>
          </w:p>
        </w:tc>
      </w:tr>
      <w:tr>
        <w:trPr>
          <w:trHeight w:val="169"/>
        </w:trPr>
        <w:tc>
          <w:tcPr>
            <w:tcW w:w="324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Operating Loss, for Continuing Operations</w:t>
            </w: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(3,356</w:t>
            </w:r>
          </w:p>
        </w:tc>
        <w:tc>
          <w:tcPr>
            <w:tcW w:w="14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Anchor</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5"/>
                <w:szCs w:val="15"/>
                <w:b w:val="1"/>
                <w:bCs w:val="1"/>
                <w:color w:val="auto"/>
              </w:rPr>
              <w:t>handling</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towing</w:t>
            </w:r>
          </w:p>
        </w:tc>
        <w:tc>
          <w:tcPr>
            <w:tcW w:w="100" w:type="dxa"/>
            <w:vAlign w:val="bottom"/>
          </w:tcPr>
          <w:p>
            <w:pPr>
              <w:spacing w:after="0"/>
              <w:rPr>
                <w:sz w:val="14"/>
                <w:szCs w:val="14"/>
                <w:color w:val="auto"/>
              </w:rPr>
            </w:pPr>
          </w:p>
        </w:tc>
        <w:tc>
          <w:tcPr>
            <w:tcW w:w="86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Fast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Crew</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support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Supply</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Specialty</w:t>
            </w:r>
          </w:p>
        </w:tc>
        <w:tc>
          <w:tcPr>
            <w:tcW w:w="6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w w:val="98"/>
              </w:rPr>
              <w:t>Transfer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100" w:type="dxa"/>
            <w:vAlign w:val="bottom"/>
          </w:tcPr>
          <w:p>
            <w:pPr>
              <w:spacing w:after="0"/>
              <w:rPr>
                <w:sz w:val="15"/>
                <w:szCs w:val="15"/>
                <w:color w:val="auto"/>
              </w:rPr>
            </w:pPr>
          </w:p>
        </w:tc>
        <w:tc>
          <w:tcPr>
            <w:tcW w:w="820" w:type="dxa"/>
            <w:vAlign w:val="bottom"/>
            <w:gridSpan w:val="2"/>
          </w:tcPr>
          <w:p>
            <w:pPr>
              <w:jc w:val="right"/>
              <w:ind w:right="342"/>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Borders>
              <w:top w:val="single" w:sz="8" w:color="CFF0FC"/>
            </w:tcBorders>
            <w:shd w:val="clear" w:color="auto" w:fill="CFF0FC"/>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For the Nine Months Ended September 30,</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2019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Time Charter Statistics: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Average Rates Per Day</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7,922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7,798</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6,877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21,349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2,323</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6,970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Fleet Utilization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69%</w:t>
            </w: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Fleet Available Days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9,726</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5,104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10,450</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29,484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Time charter</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9,294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54,871</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6,558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47,639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19,474</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137,836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Bareboat charter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marine services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(630)</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4,356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1,398</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2,146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10,289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9,870</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55,071</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12,468</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51,995</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20,872</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2,146</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152,422</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FF0FC"/>
          </w:tcPr>
          <w:p>
            <w:pPr>
              <w:ind w:left="260"/>
              <w:spacing w:after="0" w:line="169" w:lineRule="exact"/>
              <w:rPr>
                <w:sz w:val="20"/>
                <w:szCs w:val="20"/>
                <w:color w:val="auto"/>
              </w:rPr>
            </w:pPr>
            <w:r>
              <w:rPr>
                <w:rFonts w:ascii="Times New Roman" w:cs="Times New Roman" w:eastAsia="Times New Roman" w:hAnsi="Times New Roman"/>
                <w:sz w:val="15"/>
                <w:szCs w:val="15"/>
                <w:color w:val="auto"/>
              </w:rPr>
              <w:t>Direct Costs and Expenses:</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Operating: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Personnel</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4,809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16,793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4,561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15,281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7,406</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50,416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Repairs and maintenance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20,686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Drydocking</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4,198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5,082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Fuel, lubes and supplies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4,099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2,980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8,918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(1,801)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9,324</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34,768</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9,780</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411</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32,337</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11,350</w:t>
            </w: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(223)</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97,747</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Direct Vessel Profit (Loss), from Continuing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20,303</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2,688</w:t>
            </w:r>
          </w:p>
        </w:tc>
        <w:tc>
          <w:tcPr>
            <w:tcW w:w="260" w:type="dxa"/>
            <w:vAlign w:val="bottom"/>
          </w:tcPr>
          <w:p>
            <w:pPr>
              <w:spacing w:after="0"/>
              <w:rPr>
                <w:sz w:val="19"/>
                <w:szCs w:val="19"/>
                <w:color w:val="auto"/>
              </w:rPr>
            </w:pPr>
          </w:p>
        </w:tc>
        <w:tc>
          <w:tcPr>
            <w:tcW w:w="16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(411)</w:t>
            </w:r>
          </w:p>
        </w:tc>
        <w:tc>
          <w:tcPr>
            <w:tcW w:w="220" w:type="dxa"/>
            <w:vAlign w:val="bottom"/>
            <w:gridSpan w:val="2"/>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19,658</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9,522</w:t>
            </w:r>
          </w:p>
        </w:tc>
        <w:tc>
          <w:tcPr>
            <w:tcW w:w="1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060" w:type="dxa"/>
            <w:vAlign w:val="bottom"/>
            <w:tcBorders>
              <w:top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Other Costs and Expenses:</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Lease expense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4,423</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2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1,268</w:t>
            </w:r>
          </w:p>
        </w:tc>
        <w:tc>
          <w:tcPr>
            <w:tcW w:w="260" w:type="dxa"/>
            <w:vAlign w:val="bottom"/>
          </w:tcPr>
          <w:p>
            <w:pPr>
              <w:spacing w:after="0"/>
              <w:rPr>
                <w:sz w:val="15"/>
                <w:szCs w:val="15"/>
                <w:color w:val="auto"/>
              </w:rPr>
            </w:pPr>
          </w:p>
        </w:tc>
        <w:tc>
          <w:tcPr>
            <w:tcW w:w="16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4,493</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32,798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1,718</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17,519</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3,426</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18,355</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5,770</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1,429</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48,600</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93,987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Loss on Asset Dispositions and Impairments</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(2,719)</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Operating Loss, for Continuing Operations</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(42,031</w:t>
            </w:r>
          </w:p>
        </w:tc>
        <w:tc>
          <w:tcPr>
            <w:tcW w:w="14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Historical cost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423,783</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93,338</w:t>
            </w:r>
          </w:p>
        </w:tc>
        <w:tc>
          <w:tcPr>
            <w:tcW w:w="260" w:type="dxa"/>
            <w:vAlign w:val="bottom"/>
          </w:tcPr>
          <w:p>
            <w:pPr>
              <w:spacing w:after="0"/>
              <w:rPr>
                <w:sz w:val="18"/>
                <w:szCs w:val="18"/>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14,806</w:t>
            </w:r>
          </w:p>
        </w:tc>
        <w:tc>
          <w:tcPr>
            <w:tcW w:w="200" w:type="dxa"/>
            <w:vAlign w:val="bottom"/>
          </w:tcPr>
          <w:p>
            <w:pPr>
              <w:spacing w:after="0"/>
              <w:rPr>
                <w:sz w:val="18"/>
                <w:szCs w:val="18"/>
                <w:color w:val="auto"/>
              </w:rPr>
            </w:pPr>
          </w:p>
        </w:tc>
        <w:tc>
          <w:tcPr>
            <w:tcW w:w="2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326,981</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73,639</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1,070,374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(88,685)</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(106,635)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(40,024)</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(10,337)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(87,030)</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(49,244)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(18,673)</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(400,628)</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23,905</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317,148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53,314</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239,951</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6,564</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669,746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Fleet Counts. </w:t>
      </w:r>
      <w:r>
        <w:rPr>
          <w:rFonts w:ascii="Times New Roman" w:cs="Times New Roman" w:eastAsia="Times New Roman" w:hAnsi="Times New Roman"/>
          <w:sz w:val="22"/>
          <w:szCs w:val="22"/>
          <w:color w:val="auto"/>
        </w:rPr>
        <w:t>The Company’s fleet count as of September 30, 2020 and December 31, 2019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Joint Ventured</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Leased-in</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380" w:type="dxa"/>
            <w:vAlign w:val="bottom"/>
            <w:tcBorders>
              <w:top w:val="single" w:sz="8" w:color="CFF0FC"/>
            </w:tcBorders>
            <w:shd w:val="clear" w:color="auto" w:fill="CFF0FC"/>
          </w:tcPr>
          <w:p>
            <w:pPr>
              <w:spacing w:after="0"/>
              <w:rPr>
                <w:sz w:val="18"/>
                <w:szCs w:val="18"/>
                <w:color w:val="auto"/>
              </w:rPr>
            </w:pPr>
          </w:p>
        </w:tc>
        <w:tc>
          <w:tcPr>
            <w:tcW w:w="382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AHTS</w:t>
            </w:r>
          </w:p>
        </w:tc>
        <w:tc>
          <w:tcPr>
            <w:tcW w:w="3700" w:type="dxa"/>
            <w:vAlign w:val="bottom"/>
            <w:tcBorders>
              <w:top w:val="single" w:sz="8" w:color="auto"/>
            </w:tcBorders>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r>
      <w:tr>
        <w:trPr>
          <w:trHeight w:val="219"/>
        </w:trPr>
        <w:tc>
          <w:tcPr>
            <w:tcW w:w="1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FSV</w:t>
            </w:r>
          </w:p>
        </w:tc>
        <w:tc>
          <w:tcPr>
            <w:tcW w:w="4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19"/>
                <w:szCs w:val="19"/>
                <w:color w:val="auto"/>
              </w:rPr>
            </w:pPr>
          </w:p>
        </w:tc>
      </w:tr>
      <w:tr>
        <w:trPr>
          <w:trHeight w:val="213"/>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Supply</w:t>
            </w:r>
          </w:p>
        </w:tc>
        <w:tc>
          <w:tcPr>
            <w:tcW w:w="4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r>
      <w:tr>
        <w:trPr>
          <w:trHeight w:val="219"/>
        </w:trPr>
        <w:tc>
          <w:tcPr>
            <w:tcW w:w="1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Specialty</w:t>
            </w:r>
          </w:p>
        </w:tc>
        <w:tc>
          <w:tcPr>
            <w:tcW w:w="3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r>
      <w:tr>
        <w:trPr>
          <w:trHeight w:val="213"/>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Liftboats</w:t>
            </w:r>
          </w:p>
        </w:tc>
        <w:tc>
          <w:tcPr>
            <w:tcW w:w="4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r>
      <w:tr>
        <w:trPr>
          <w:trHeight w:val="219"/>
        </w:trPr>
        <w:tc>
          <w:tcPr>
            <w:tcW w:w="1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Crew transfer</w:t>
            </w:r>
          </w:p>
        </w:tc>
        <w:tc>
          <w:tcPr>
            <w:tcW w:w="4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19"/>
                <w:szCs w:val="19"/>
                <w:color w:val="auto"/>
              </w:rPr>
            </w:pPr>
          </w:p>
        </w:tc>
      </w:tr>
      <w:tr>
        <w:trPr>
          <w:trHeight w:val="207"/>
        </w:trPr>
        <w:tc>
          <w:tcPr>
            <w:tcW w:w="1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1400" w:type="dxa"/>
            <w:vAlign w:val="bottom"/>
          </w:tcPr>
          <w:p>
            <w:pPr>
              <w:spacing w:after="0"/>
              <w:rPr>
                <w:sz w:val="18"/>
                <w:szCs w:val="18"/>
                <w:color w:val="auto"/>
              </w:rPr>
            </w:pPr>
          </w:p>
        </w:tc>
        <w:tc>
          <w:tcPr>
            <w:tcW w:w="500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AHTS</w:t>
            </w:r>
          </w:p>
        </w:tc>
        <w:tc>
          <w:tcPr>
            <w:tcW w:w="3680" w:type="dxa"/>
            <w:vAlign w:val="bottom"/>
            <w:tcBorders>
              <w:top w:val="single" w:sz="8" w:color="auto"/>
            </w:tcBorders>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r>
      <w:tr>
        <w:trPr>
          <w:trHeight w:val="219"/>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FSV</w:t>
            </w:r>
          </w:p>
        </w:tc>
        <w:tc>
          <w:tcPr>
            <w:tcW w:w="4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9"/>
                <w:szCs w:val="19"/>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Supply</w:t>
            </w:r>
          </w:p>
        </w:tc>
        <w:tc>
          <w:tcPr>
            <w:tcW w:w="4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r>
      <w:tr>
        <w:trPr>
          <w:trHeight w:val="219"/>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Specialty</w:t>
            </w:r>
          </w:p>
        </w:tc>
        <w:tc>
          <w:tcPr>
            <w:tcW w:w="4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9"/>
                <w:szCs w:val="19"/>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6"/>
                <w:szCs w:val="16"/>
                <w:color w:val="auto"/>
              </w:rPr>
              <w:t>Liftboats</w:t>
            </w:r>
          </w:p>
        </w:tc>
        <w:tc>
          <w:tcPr>
            <w:tcW w:w="4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r>
      <w:tr>
        <w:trPr>
          <w:trHeight w:val="219"/>
        </w:trPr>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Crew transfer</w:t>
            </w:r>
          </w:p>
        </w:tc>
        <w:tc>
          <w:tcPr>
            <w:tcW w:w="4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19"/>
                <w:szCs w:val="19"/>
                <w:color w:val="auto"/>
              </w:rPr>
            </w:pPr>
          </w:p>
        </w:tc>
      </w:tr>
      <w:tr>
        <w:trPr>
          <w:trHeight w:val="207"/>
        </w:trPr>
        <w:tc>
          <w:tcPr>
            <w:tcW w:w="14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Operating Income (Loss)</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United States, primarily Gulf of Mexico. </w:t>
      </w:r>
      <w:r>
        <w:rPr>
          <w:rFonts w:ascii="Times New Roman" w:cs="Times New Roman" w:eastAsia="Times New Roman" w:hAnsi="Times New Roman"/>
          <w:sz w:val="22"/>
          <w:szCs w:val="22"/>
          <w:color w:val="auto"/>
        </w:rPr>
        <w:t>For the three and nine months ended September 30, the Company’s time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charter statistics and direct vessel profit (loss) in the United States was as follows (in thousands, except statistics):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8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Rates Per Day Worked: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19,397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17,851</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19,317</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Utilization: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 Days: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Specialty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8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3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20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3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7,521</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380" w:type="dxa"/>
            <w:vAlign w:val="bottom"/>
            <w:shd w:val="clear" w:color="auto" w:fill="CFF0FC"/>
          </w:tcPr>
          <w:p>
            <w:pPr>
              <w:spacing w:after="0"/>
              <w:rPr>
                <w:sz w:val="19"/>
                <w:szCs w:val="19"/>
                <w:color w:val="auto"/>
              </w:rPr>
            </w:pPr>
          </w:p>
        </w:tc>
        <w:tc>
          <w:tcPr>
            <w:tcW w:w="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3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96"/>
              </w:rPr>
              <w:t>100%</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22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12,349</w:t>
            </w:r>
          </w:p>
        </w:tc>
        <w:tc>
          <w:tcPr>
            <w:tcW w:w="380" w:type="dxa"/>
            <w:vAlign w:val="bottom"/>
            <w:shd w:val="clear" w:color="auto" w:fill="CFF0FC"/>
          </w:tcPr>
          <w:p>
            <w:pPr>
              <w:spacing w:after="0"/>
              <w:rPr>
                <w:sz w:val="18"/>
                <w:szCs w:val="18"/>
                <w:color w:val="auto"/>
              </w:rPr>
            </w:pPr>
          </w:p>
        </w:tc>
        <w:tc>
          <w:tcPr>
            <w:tcW w:w="50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11,327</w:t>
            </w: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8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Personnel</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380" w:type="dxa"/>
            <w:vAlign w:val="bottom"/>
            <w:shd w:val="clear" w:color="auto" w:fill="CFF0FC"/>
          </w:tcPr>
          <w:p>
            <w:pPr>
              <w:spacing w:after="0"/>
              <w:rPr>
                <w:sz w:val="19"/>
                <w:szCs w:val="19"/>
                <w:color w:val="auto"/>
              </w:rPr>
            </w:pPr>
          </w:p>
        </w:tc>
        <w:tc>
          <w:tcPr>
            <w:tcW w:w="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Repairs and maintenance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3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Drydocking</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380" w:type="dxa"/>
            <w:vAlign w:val="bottom"/>
            <w:shd w:val="clear" w:color="auto" w:fill="CFF0FC"/>
          </w:tcPr>
          <w:p>
            <w:pPr>
              <w:spacing w:after="0"/>
              <w:rPr>
                <w:sz w:val="19"/>
                <w:szCs w:val="19"/>
                <w:color w:val="auto"/>
              </w:rPr>
            </w:pPr>
          </w:p>
        </w:tc>
        <w:tc>
          <w:tcPr>
            <w:tcW w:w="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3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Fuel, lubes and supplies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380" w:type="dxa"/>
            <w:vAlign w:val="bottom"/>
            <w:shd w:val="clear" w:color="auto" w:fill="CFF0FC"/>
          </w:tcPr>
          <w:p>
            <w:pPr>
              <w:spacing w:after="0"/>
              <w:rPr>
                <w:sz w:val="19"/>
                <w:szCs w:val="19"/>
                <w:color w:val="auto"/>
              </w:rPr>
            </w:pPr>
          </w:p>
        </w:tc>
        <w:tc>
          <w:tcPr>
            <w:tcW w:w="5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137%</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22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380" w:type="dxa"/>
            <w:vAlign w:val="bottom"/>
            <w:shd w:val="clear" w:color="auto" w:fill="CFF0FC"/>
          </w:tcPr>
          <w:p>
            <w:pPr>
              <w:spacing w:after="0"/>
              <w:rPr>
                <w:sz w:val="18"/>
                <w:szCs w:val="18"/>
                <w:color w:val="auto"/>
              </w:rPr>
            </w:pPr>
          </w:p>
        </w:tc>
        <w:tc>
          <w:tcPr>
            <w:tcW w:w="50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12,617</w:t>
            </w: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111%</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(37)%</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2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38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200" w:type="dxa"/>
            <w:vAlign w:val="bottom"/>
            <w:vMerge w:val="continue"/>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$9.1 million lower in the Current Year Quarter compared with the Prior Year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Quarter. Charter revenues were $7.7 million lower due to lower utilization of the core fleet and $1.4 million lower due to fleet dispositions. As of September 30, 2020, the Company had 17 of 22 owned and leased-in vessels (three AHTS vessels, four FSVs, and 10 liftboats) cold-stacked in this region compared with 10 of 24 vessels as of September 30, 2019.</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Direct Operating Expenses</w:t>
      </w:r>
      <w:r>
        <w:rPr>
          <w:rFonts w:ascii="Times New Roman" w:cs="Times New Roman" w:eastAsia="Times New Roman" w:hAnsi="Times New Roman"/>
          <w:sz w:val="22"/>
          <w:szCs w:val="22"/>
          <w:color w:val="auto"/>
        </w:rPr>
        <w:t>. Direct operating expenses were $3.7 million lower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Direct operating expenses were $3.0 million lower for the core fleet, primarily due to reduced repair and drydocking costs, and $0.7 million lower due to net fleet dispositions.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Nine Months compared with Prior Nine Months</w:t>
      </w:r>
    </w:p>
    <w:p>
      <w:pPr>
        <w:spacing w:after="0" w:line="20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$22.7 million lower in the Current Nine Months. Charter revenues were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$17.6 million lower due to lower utilization of the core fleet and $5.1 million lower due to net fleet dispositions. Other marine services were $1.7 million lower primarily due to less liftboat catering revenues.</w:t>
      </w:r>
    </w:p>
    <w:p>
      <w:pPr>
        <w:spacing w:after="0" w:line="12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$17.2 million lower in the Current Nine Months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Nine Months. Direct operating expenses were $13.6 million lower for the core fleet, primarily due to reduced repair and drydocking costs, and $3.6 million lower due to net fleet dispositions.</w:t>
      </w:r>
    </w:p>
    <w:p>
      <w:pPr>
        <w:spacing w:after="0" w:line="16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Africa, primarily West Africa. </w:t>
      </w:r>
      <w:r>
        <w:rPr>
          <w:rFonts w:ascii="Times New Roman" w:cs="Times New Roman" w:eastAsia="Times New Roman" w:hAnsi="Times New Roman"/>
          <w:sz w:val="22"/>
          <w:szCs w:val="22"/>
          <w:color w:val="auto"/>
        </w:rPr>
        <w:t>For the three and nine months ended September 30, the Company’s time charter statistics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direct vessel profit in Africa was as follows (in thousands, except statistics):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Rates Per Day Worked: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8,408</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Utilization:</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91%</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 Days: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3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w:t>
            </w:r>
          </w:p>
        </w:tc>
        <w:tc>
          <w:tcPr>
            <w:tcW w:w="3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3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28,680</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(385)</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3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(698)</w:t>
            </w: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6"/>
              </w:rPr>
              <w:t>100%</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2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27,982</w:t>
            </w:r>
          </w:p>
        </w:tc>
        <w:tc>
          <w:tcPr>
            <w:tcW w:w="2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3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Personnel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3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Repairs and maintenance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3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Drydocking</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(53)</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Fuel, lubes and supplies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3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2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3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2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17,126</w:t>
            </w:r>
          </w:p>
        </w:tc>
        <w:tc>
          <w:tcPr>
            <w:tcW w:w="2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220" w:type="dxa"/>
            <w:vAlign w:val="bottom"/>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380" w:type="dxa"/>
            <w:vAlign w:val="bottom"/>
            <w:shd w:val="clear" w:color="auto" w:fill="CFF0FC"/>
          </w:tcPr>
          <w:p>
            <w:pPr>
              <w:spacing w:after="0"/>
              <w:rPr>
                <w:sz w:val="18"/>
                <w:szCs w:val="18"/>
                <w:color w:val="auto"/>
              </w:rPr>
            </w:pPr>
          </w:p>
        </w:tc>
        <w:tc>
          <w:tcPr>
            <w:tcW w:w="56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22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$4.1million lower in the Current Year Quarter compared with the Prior Year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Quarter. Charter revenues were $2.4 million lower due to reduced utilization of the core fleet and $1.7 million lower due to net fleet dispositions. Other marine services were $0.5 million lower due to the recognition, in the Prior Year Quarter, of previously deferred revenue, following the receipt of cash, from a customer that was flagged for collection concerns. As of September 30, 2020, the Company had one of 14 owned and leased-in vessels (one Supply) cold stacked in this region.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flat in the Current Year Quarter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Quarter. On an overall basis, operating costs were $0.9 million lower due to net fleet dispositions. Operating costs were $0.9 million higher for the core fleet, of which $0.7 million was primarily due to the timing of drydockings.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Nine Months compared with Prior Nine Months</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$4.2 million lower in the Current Nine Months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Nine Months. Charter revenues were $4.9 million lower due to net fleet dispositions, $0.9 million lower due to the repositioning of vessels between geographic regions and $0.4 million lower for the core fleet. Charter revenues were $2.0 million higher due to one vessel commencing a time charter after previously having revenues recognized only on receipt of cash, due to collection concerns.</w:t>
      </w:r>
    </w:p>
    <w:p>
      <w:pPr>
        <w:spacing w:after="0" w:line="13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$3.9 million lower in the Current Nine Months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Nine Months, primarily due to the repositioning of vessels between geographic regions and net fleet dispositions.</w:t>
      </w:r>
    </w:p>
    <w:p>
      <w:pPr>
        <w:spacing w:after="0" w:line="14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Middle East and Asia. </w:t>
      </w:r>
      <w:r>
        <w:rPr>
          <w:rFonts w:ascii="Times New Roman" w:cs="Times New Roman" w:eastAsia="Times New Roman" w:hAnsi="Times New Roman"/>
          <w:sz w:val="22"/>
          <w:szCs w:val="22"/>
          <w:color w:val="auto"/>
        </w:rPr>
        <w:t>For the three and nine months ended September 30, the Company’s time charter statistics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 vessel profit in the Middle East and Asia was as follows (in thousands, except statistics):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80" w:type="dxa"/>
            <w:vAlign w:val="bottom"/>
          </w:tcPr>
          <w:p>
            <w:pPr>
              <w:spacing w:after="0"/>
              <w:rPr>
                <w:sz w:val="18"/>
                <w:szCs w:val="18"/>
                <w:color w:val="auto"/>
              </w:rPr>
            </w:pPr>
          </w:p>
        </w:tc>
        <w:tc>
          <w:tcPr>
            <w:tcW w:w="35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37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r>
      <w:tr>
        <w:trPr>
          <w:trHeight w:val="225"/>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Rates Per Day Worked:</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5,875</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5,981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5,836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5,826</w:t>
            </w:r>
          </w:p>
        </w:tc>
        <w:tc>
          <w:tcPr>
            <w:tcW w:w="140" w:type="dxa"/>
            <w:vAlign w:val="bottom"/>
            <w:shd w:val="clear" w:color="auto" w:fill="CFF0FC"/>
          </w:tcPr>
          <w:p>
            <w:pPr>
              <w:spacing w:after="0"/>
              <w:rPr>
                <w:sz w:val="19"/>
                <w:szCs w:val="19"/>
                <w:color w:val="auto"/>
              </w:rPr>
            </w:pPr>
          </w:p>
        </w:tc>
      </w:tr>
      <w:tr>
        <w:trPr>
          <w:trHeight w:val="213"/>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140" w:type="dxa"/>
            <w:vAlign w:val="bottom"/>
          </w:tcPr>
          <w:p>
            <w:pPr>
              <w:spacing w:after="0"/>
              <w:rPr>
                <w:sz w:val="18"/>
                <w:szCs w:val="18"/>
                <w:color w:val="auto"/>
              </w:rPr>
            </w:pP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8,432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6,987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8,178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6,449</w:t>
            </w:r>
          </w:p>
        </w:tc>
        <w:tc>
          <w:tcPr>
            <w:tcW w:w="140" w:type="dxa"/>
            <w:vAlign w:val="bottom"/>
          </w:tcPr>
          <w:p>
            <w:pPr>
              <w:spacing w:after="0"/>
              <w:rPr>
                <w:sz w:val="18"/>
                <w:szCs w:val="18"/>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7,170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5,067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6,922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5,058</w:t>
            </w:r>
          </w:p>
        </w:tc>
        <w:tc>
          <w:tcPr>
            <w:tcW w:w="140" w:type="dxa"/>
            <w:vAlign w:val="bottom"/>
            <w:shd w:val="clear" w:color="auto" w:fill="CFF0FC"/>
          </w:tcPr>
          <w:p>
            <w:pPr>
              <w:spacing w:after="0"/>
              <w:rPr>
                <w:sz w:val="19"/>
                <w:szCs w:val="19"/>
                <w:color w:val="auto"/>
              </w:rPr>
            </w:pPr>
          </w:p>
        </w:tc>
      </w:tr>
      <w:tr>
        <w:trPr>
          <w:trHeight w:val="213"/>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140" w:type="dxa"/>
            <w:vAlign w:val="bottom"/>
          </w:tcPr>
          <w:p>
            <w:pPr>
              <w:spacing w:after="0"/>
              <w:rPr>
                <w:sz w:val="18"/>
                <w:szCs w:val="18"/>
                <w:color w:val="auto"/>
              </w:rPr>
            </w:pP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27,318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27,150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27,790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27,150</w:t>
            </w:r>
          </w:p>
        </w:tc>
        <w:tc>
          <w:tcPr>
            <w:tcW w:w="140" w:type="dxa"/>
            <w:vAlign w:val="bottom"/>
          </w:tcPr>
          <w:p>
            <w:pPr>
              <w:spacing w:after="0"/>
              <w:rPr>
                <w:sz w:val="18"/>
                <w:szCs w:val="18"/>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Crew transfer</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1,528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2,011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1,931</w:t>
            </w:r>
          </w:p>
        </w:tc>
        <w:tc>
          <w:tcPr>
            <w:tcW w:w="140" w:type="dxa"/>
            <w:vAlign w:val="bottom"/>
            <w:shd w:val="clear" w:color="auto" w:fill="CFF0FC"/>
          </w:tcPr>
          <w:p>
            <w:pPr>
              <w:spacing w:after="0"/>
              <w:rPr>
                <w:sz w:val="19"/>
                <w:szCs w:val="19"/>
                <w:color w:val="auto"/>
              </w:rPr>
            </w:pPr>
          </w:p>
        </w:tc>
      </w:tr>
      <w:tr>
        <w:trPr>
          <w:trHeight w:val="210"/>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40" w:type="dxa"/>
            <w:vAlign w:val="bottom"/>
          </w:tcPr>
          <w:p>
            <w:pPr>
              <w:spacing w:after="0"/>
              <w:rPr>
                <w:sz w:val="18"/>
                <w:szCs w:val="18"/>
                <w:color w:val="auto"/>
              </w:rPr>
            </w:pP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9,670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8,795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9,852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8,462</w:t>
            </w:r>
          </w:p>
        </w:tc>
        <w:tc>
          <w:tcPr>
            <w:tcW w:w="14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Utilization:</w:t>
            </w:r>
          </w:p>
        </w:tc>
        <w:tc>
          <w:tcPr>
            <w:tcW w:w="30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13"/>
        </w:trPr>
        <w:tc>
          <w:tcPr>
            <w:tcW w:w="3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300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77%</w:t>
            </w:r>
          </w:p>
        </w:tc>
        <w:tc>
          <w:tcPr>
            <w:tcW w:w="194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45%</w:t>
            </w:r>
          </w:p>
        </w:tc>
        <w:tc>
          <w:tcPr>
            <w:tcW w:w="190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40%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3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30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76%</w:t>
            </w:r>
          </w:p>
        </w:tc>
        <w:tc>
          <w:tcPr>
            <w:tcW w:w="1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93%</w:t>
            </w:r>
          </w:p>
        </w:tc>
        <w:tc>
          <w:tcPr>
            <w:tcW w:w="1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78%</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3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300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75%</w:t>
            </w:r>
          </w:p>
        </w:tc>
        <w:tc>
          <w:tcPr>
            <w:tcW w:w="194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100%</w:t>
            </w:r>
          </w:p>
        </w:tc>
        <w:tc>
          <w:tcPr>
            <w:tcW w:w="190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78%</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3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30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89%</w:t>
            </w:r>
          </w:p>
        </w:tc>
        <w:tc>
          <w:tcPr>
            <w:tcW w:w="1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100%</w:t>
            </w:r>
          </w:p>
        </w:tc>
        <w:tc>
          <w:tcPr>
            <w:tcW w:w="1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91%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3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Crew transfer</w:t>
            </w:r>
          </w:p>
        </w:tc>
        <w:tc>
          <w:tcPr>
            <w:tcW w:w="300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100%</w:t>
            </w:r>
          </w:p>
        </w:tc>
        <w:tc>
          <w:tcPr>
            <w:tcW w:w="194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23%</w:t>
            </w:r>
          </w:p>
        </w:tc>
        <w:tc>
          <w:tcPr>
            <w:tcW w:w="190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82%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3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30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78%</w:t>
            </w:r>
          </w:p>
        </w:tc>
        <w:tc>
          <w:tcPr>
            <w:tcW w:w="1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83%</w:t>
            </w:r>
          </w:p>
        </w:tc>
        <w:tc>
          <w:tcPr>
            <w:tcW w:w="1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78%</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 Days: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AHTS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Crew transfer</w:t>
            </w: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9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8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9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220" w:type="dxa"/>
            <w:vAlign w:val="bottom"/>
            <w:tcBorders>
              <w:bottom w:val="single" w:sz="8" w:color="CFF0FC"/>
            </w:tcBorders>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3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14,798</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97%</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39,044</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13,968</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40,274</w:t>
            </w:r>
          </w:p>
        </w:tc>
        <w:tc>
          <w:tcPr>
            <w:tcW w:w="2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41,463</w:t>
            </w:r>
          </w:p>
        </w:tc>
        <w:tc>
          <w:tcPr>
            <w:tcW w:w="2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Personnel</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12,777</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12,569</w:t>
            </w: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Repairs and maintenance</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Drydocking</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Fuel, lubes and supplies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9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46%</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9,543</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24,480</w:t>
            </w:r>
          </w:p>
        </w:tc>
        <w:tc>
          <w:tcPr>
            <w:tcW w:w="2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24,868</w:t>
            </w:r>
          </w:p>
        </w:tc>
        <w:tc>
          <w:tcPr>
            <w:tcW w:w="2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vMerge w:val="restart"/>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54%</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82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8,181</w:t>
            </w:r>
          </w:p>
        </w:tc>
        <w:tc>
          <w:tcPr>
            <w:tcW w:w="94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15,794</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2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6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$1.1 million lower in the Current Year Quarter compared with the Prior Year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Quarter. Charter revenues were $2.0 million lower for the core fleet, primarily due to reduced utilization, and $0.9 million higher due to net fleet additions. As of September 30, 2020, the Company had one of 21 owned and leased-in vessels (one Supply) cold stacked in this region compared with one of 21 vessels as of September 30, 2019.</w:t>
      </w:r>
    </w:p>
    <w:p>
      <w:pPr>
        <w:spacing w:after="0" w:line="14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$2.5 million higher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Direct operating expenses were $2.0 million higher for the core fleet, and $0.5 million higher due to net fleet additions.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Nine Months compared with Prior Nine Months</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i w:val="1"/>
          <w:iCs w:val="1"/>
          <w:color w:val="auto"/>
        </w:rPr>
        <w:t>Operating Revenues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Charter revenues were $1.4 million lower in the Current Nine Months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Nine Months. Charter revenues were $1.2 million lower for the core fleet, primarily due to reduced utilization, and $0.2 million lower due to net fleet dispositions.</w:t>
      </w:r>
    </w:p>
    <w:p>
      <w:pPr>
        <w:spacing w:after="0" w:line="1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$0.4 million lower in the Current Nine Months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Nine Months, primarily due to the timing of dry dockings and certain repair expenditures.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Latin America (Brazil, Mexico, Central and South America). </w:t>
      </w:r>
      <w:r>
        <w:rPr>
          <w:rFonts w:ascii="Times New Roman" w:cs="Times New Roman" w:eastAsia="Times New Roman" w:hAnsi="Times New Roman"/>
          <w:sz w:val="22"/>
          <w:szCs w:val="22"/>
          <w:color w:val="auto"/>
        </w:rPr>
        <w:t>For the three and nine months ended September 30,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time charter statistics and direct vessel profit in Latin America was as follows (in thousands, except statistics):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gridSpan w:val="9"/>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80" w:type="dxa"/>
            <w:vAlign w:val="bottom"/>
          </w:tcPr>
          <w:p>
            <w:pPr>
              <w:spacing w:after="0"/>
              <w:rPr>
                <w:sz w:val="18"/>
                <w:szCs w:val="18"/>
                <w:color w:val="auto"/>
              </w:rPr>
            </w:pPr>
          </w:p>
        </w:tc>
        <w:tc>
          <w:tcPr>
            <w:tcW w:w="310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Rates Per Day Worked: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15,913</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Utilization:</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95%</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95%</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 Days: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FSV</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6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4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82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20" w:type="dxa"/>
            <w:vAlign w:val="bottom"/>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16,797</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Personnel</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4,934</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Repairs and maintenance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Drydocking</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(114)</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Fuel, lubes and supplies</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82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20" w:type="dxa"/>
            <w:vAlign w:val="bottom"/>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47%</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4,898</w:t>
            </w:r>
          </w:p>
        </w:tc>
        <w:tc>
          <w:tcPr>
            <w:tcW w:w="82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2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2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6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$5.5 million higher in the Current Year Quarter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Quarter. Charter revenues were $7.2 million higher due to net fleet additions, $1.2 million lower due to the sale of two vessels on bareboat charter and $0.5 million lower due to the repositioning of vessels between geographic regions. As of September 30, 2020, the Company had no owned and leased-in vessels cold-stacked in this region compared with two of seven vessels as of September 30, 2019.</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$2.7 million higher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primarily due to net fleet additions.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Nine Months compared with Prior Nine Months</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$3.9 million higher in the Current Nine Months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Nine Months. Charter revenues were $9.8 million higher due to net fleet additions, $3.5 million lower due to the sale of two vessels on bareboat charter and $2.4 million lower due to the repositioning of vessels between geographic regions.</w:t>
      </w:r>
    </w:p>
    <w:p>
      <w:pPr>
        <w:spacing w:after="0" w:line="12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$1.2 million higher in the Current Nine Months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Nine Months. Direct operating expenses were $4.1 million higher due to net fleet additions and $2.9 million lower due to the repositioning of vessels between geographic regions.</w:t>
      </w:r>
    </w:p>
    <w:p>
      <w:pPr>
        <w:spacing w:after="0" w:line="13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Europe, primarily North Sea. </w:t>
      </w:r>
      <w:r>
        <w:rPr>
          <w:rFonts w:ascii="Times New Roman" w:cs="Times New Roman" w:eastAsia="Times New Roman" w:hAnsi="Times New Roman"/>
          <w:sz w:val="22"/>
          <w:szCs w:val="22"/>
          <w:color w:val="auto"/>
        </w:rPr>
        <w:t>For the three and nine months ended September 30, the Company’s time charter statistics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direct vessel profit in Europe was as follows (in thousands, except statistics):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8"/>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00" w:type="dxa"/>
            <w:vAlign w:val="bottom"/>
          </w:tcPr>
          <w:p>
            <w:pPr>
              <w:spacing w:after="0"/>
              <w:rPr>
                <w:sz w:val="18"/>
                <w:szCs w:val="18"/>
                <w:color w:val="auto"/>
              </w:rPr>
            </w:pPr>
          </w:p>
        </w:tc>
        <w:tc>
          <w:tcPr>
            <w:tcW w:w="308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Rates Per Day Worked: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6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33,748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Crew Transfer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6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Utilization: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Crew Transfer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Available Days: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Supply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Liftboats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Crew Transfer</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6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Overall</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64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10,675</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10,272</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Time charter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Bareboat charter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marine services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12,768</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88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32,938</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28,621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Personnel</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10,355</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Repairs and maintenance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Drydocking</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Fuel, lubes and supplies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88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15,509</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15,346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 Vessel Profit, for Continuing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6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w:t>
            </w:r>
          </w:p>
        </w:tc>
        <w:tc>
          <w:tcPr>
            <w:tcW w:w="2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880" w:type="dxa"/>
            <w:vAlign w:val="bottom"/>
            <w:gridSpan w:val="2"/>
            <w:vMerge w:val="continue"/>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For CTVs, Charter revenues were $1.6 million higher. Charter revenues were $0.8 million higher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due to net fleet additions, and $0.8 million higher for the core fleet due to improved dayrates and fluctuations in the US Dollar to Pound Sterling exchange rate.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liftboats, Charter revenues were flat.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Other marine services were $0.7 million lower primarily due to the termination of a charter of a PSV owned by a joint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venture.</w:t>
      </w:r>
    </w:p>
    <w:p>
      <w:pPr>
        <w:spacing w:after="0" w:line="14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of September 30, 2020, the Company had one of 41 owned and leased-in vessels (one Supply) cold-stacked in this region compared with one of 36 vessels as of September 30, 2019.</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$0.6 million higher in the Current Year Quarter compared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Prior Year Quarter. On an overall basis, vessel operating expenses were $0.5 million higher for the core fleet and $0.3 million higher due to net fleet additions. Vessel operating expenses were $0.2 million lower due to the termination of a charter-in of a PSV from a joint venture.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Nine Months compared with Prior Nine Months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For CTVs, Charter revenues were $2.8 million higher. Charter revenues were $1.7 million higher due to net fleet additions, and $1.1 million higher for the core fleet.</w:t>
      </w:r>
    </w:p>
    <w:p>
      <w:pPr>
        <w:spacing w:after="0" w:line="118" w:lineRule="exact"/>
        <w:rPr>
          <w:sz w:val="20"/>
          <w:szCs w:val="20"/>
          <w:color w:val="auto"/>
        </w:rPr>
      </w:pPr>
    </w:p>
    <w:p>
      <w:pPr>
        <w:ind w:left="760"/>
        <w:spacing w:after="0" w:line="340" w:lineRule="auto"/>
        <w:rPr>
          <w:sz w:val="20"/>
          <w:szCs w:val="20"/>
          <w:color w:val="auto"/>
        </w:rPr>
      </w:pPr>
      <w:r>
        <w:rPr>
          <w:rFonts w:ascii="Times New Roman" w:cs="Times New Roman" w:eastAsia="Times New Roman" w:hAnsi="Times New Roman"/>
          <w:sz w:val="21"/>
          <w:szCs w:val="21"/>
          <w:color w:val="auto"/>
        </w:rPr>
        <w:t>For liftboats, Charter revenues were $4.3 million higher due to the repositioning of vessels between geographic regions. Other marine services were $2.8 million lower primarily due to the termination of a charter of a PSV owned by a joint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venture.</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$0.2 million higher in the Current Nine Months compared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Prior Nine Months. On an overall basis, vessel operating expenses were $0.8 million higher due to the repositioning of vessels between geographic regions, $0.7 million higher due to net fleet additions and $0.6 million higher for the core fleet. Vessel operating expenses were $1.9 million lower due to the termination of a charter-in of a PSV from a joint venture.</w:t>
      </w:r>
    </w:p>
    <w:p>
      <w:pPr>
        <w:spacing w:after="0" w:line="14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Leased Expense. </w:t>
      </w:r>
      <w:r>
        <w:rPr>
          <w:rFonts w:ascii="Times New Roman" w:cs="Times New Roman" w:eastAsia="Times New Roman" w:hAnsi="Times New Roman"/>
          <w:sz w:val="22"/>
          <w:szCs w:val="22"/>
          <w:color w:val="auto"/>
        </w:rPr>
        <w:t>Leased-in equipment expenses for the Current Year Quarter and Current Nine Months were $2.8</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million and $6.4 million lower compared with the Prior Year Quarter and Prior Nine Months, respectively, primarily due to the impairment of three leased in vessels and one leased-in vessel having been returned to the lessor in the first quarter of 2020.</w:t>
      </w:r>
    </w:p>
    <w:p>
      <w:pPr>
        <w:spacing w:after="0" w:line="12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Administrative and general. </w:t>
      </w:r>
      <w:r>
        <w:rPr>
          <w:rFonts w:ascii="Times New Roman" w:cs="Times New Roman" w:eastAsia="Times New Roman" w:hAnsi="Times New Roman"/>
          <w:sz w:val="22"/>
          <w:szCs w:val="22"/>
          <w:color w:val="auto"/>
        </w:rPr>
        <w:t>Administrative and general expenses for the Current Year Quarter were $1.3 million lower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compared to the Prior Year Quarter primarily due larger sum of insurance payments in the Prior Year Quarter. Administrative and general expenses for the Current Nine Months were $2.7 million higher compared to the Prior Nine Months primarily due to a $3.0 million transaction fee paid to SEACOR Holdings under the Tax Refund Agreement.</w:t>
      </w:r>
    </w:p>
    <w:p>
      <w:pPr>
        <w:spacing w:after="0" w:line="13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Depreciation and amortization. </w:t>
      </w:r>
      <w:r>
        <w:rPr>
          <w:rFonts w:ascii="Times New Roman" w:cs="Times New Roman" w:eastAsia="Times New Roman" w:hAnsi="Times New Roman"/>
          <w:sz w:val="22"/>
          <w:szCs w:val="22"/>
          <w:color w:val="auto"/>
        </w:rPr>
        <w:t>Depreciation and amortization expense for the Current Year Quarter was $0.5 million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higher compared to the Prior Year Quarter primarily due to net fleet additions. Such expenses for current Nine Months were $1.7 million lower compared with the Prior Nine Months primarily due to net fleet dispositions.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Gains (Losses) on Asset Dispositions and Impairments, Net. </w:t>
      </w:r>
      <w:r>
        <w:rPr>
          <w:rFonts w:ascii="Times New Roman" w:cs="Times New Roman" w:eastAsia="Times New Roman" w:hAnsi="Times New Roman"/>
          <w:sz w:val="22"/>
          <w:szCs w:val="22"/>
          <w:color w:val="auto"/>
        </w:rPr>
        <w:t>During the Current Year Quarter, the Company sold one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specialty vessel and other equipment for $3.0 million in cash and resulting in gains of $0.3 million all of which was recognized currently. During the Prior Year Quarter, the Company sold two AHTS vessels previously retired and removed from service, one FSV, three liftboats, one CTV and other equipment for net proceeds of $10.2 million and a gain of $6.6 million, all of which was recognized currently. In addition, the Company recorded aggregate impairment charges of $5.7 million related to two leased-in vessels (one AHTS and one PSV).</w:t>
      </w:r>
    </w:p>
    <w:p>
      <w:pPr>
        <w:spacing w:after="0" w:line="13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During the Current Nine Months, the Company sold two AHTS vessels and one specialty vessel previously removed from service, four FSVs, one specialty, one vessel under construction and other equipment for $21.6 million ($20.7 million in cash and $0.9 million in previously received deposits) resulting in gains of $1.2 million all of which was recognized currently. In addition, the Company recorded aggregate impairment charges of $12.5 million related to six liftboats (two leased in and two owned) and one specialty vessel and recognized net losses of $4.5 million ($4.8 million loss due to the disposal of one vessel under construction, offset by a $0.3 million gain due to the redelivery of one leased-in AHTS vessel). During the Prior Nine Months, the Company sold five AHTS vessels and one specialty vessel previously retired and removed from service, three FSVs, two supply vessels, three liftboats, one CTV, one vessel under construction and other equipment for net proceeds of $24.2 million ($19.9 million in cash and $4.3 million of previously received deposits) and a gain of $7.4 million, all of which was recognized currently. In addition, the Company recorded aggregate impairment charges of $11.7 million related to two leased-in vessels (one AHTS and one PSV), two AHTS vessels previously removed from service, two AHTS vessels and four FSVs which were all adjusted to indicative sales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 (Expense), Net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periods ended September 30, the Company’s other income (expense)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40" w:type="dxa"/>
            <w:vAlign w:val="bottom"/>
          </w:tcPr>
          <w:p>
            <w:pPr>
              <w:spacing w:after="0"/>
              <w:rPr>
                <w:sz w:val="18"/>
                <w:szCs w:val="18"/>
                <w:color w:val="auto"/>
              </w:rPr>
            </w:pP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(8,598)</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(7,362)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(23,231)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(22,659)</w:t>
            </w: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SEACOR Holdings guarantee fees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Derivative gains,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Foreign currency losses,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(853)</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(624)</w:t>
            </w:r>
          </w:p>
        </w:tc>
      </w:tr>
      <w:tr>
        <w:trPr>
          <w:trHeight w:val="210"/>
        </w:trPr>
        <w:tc>
          <w:tcPr>
            <w:tcW w:w="58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Interest income. </w:t>
      </w:r>
      <w:r>
        <w:rPr>
          <w:rFonts w:ascii="Times New Roman" w:cs="Times New Roman" w:eastAsia="Times New Roman" w:hAnsi="Times New Roman"/>
          <w:sz w:val="22"/>
          <w:szCs w:val="22"/>
          <w:color w:val="auto"/>
        </w:rPr>
        <w:t>Interest income for the Current Year Quarter compared with the Prior Year Quarter decreased primarily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related to interest earned on a note receivable from the SEACOSCO joint venture (see “Note 3. SEACOSCO Acquisition”) which was included in consolidated Current Year Quarter due to the purchase of the joint venture on June 30, 2020. We also saw a decrease in interest income from the Company’s construction reserve funds deposits which were substantially lower in Current Year Quarter. For the Current Nine Months compared with the Prior Nine Months, interest income increased due to interest earned on Notes Receivable with our non-consolidated joint ventures.</w:t>
      </w:r>
    </w:p>
    <w:p>
      <w:pPr>
        <w:spacing w:after="0" w:line="13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Interest expense. </w:t>
      </w:r>
      <w:r>
        <w:rPr>
          <w:rFonts w:ascii="Times New Roman" w:cs="Times New Roman" w:eastAsia="Times New Roman" w:hAnsi="Times New Roman"/>
          <w:sz w:val="22"/>
          <w:szCs w:val="22"/>
          <w:color w:val="auto"/>
        </w:rPr>
        <w:t>Interest expense in the Current Year Quarter and Current Nine Months compared with the Prior Year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Quarter and Prior Nine Months was higher primarily due to the SEACOSCO Acquisition and partially offset due to lower interest rates on the floating rate debt.</w:t>
      </w:r>
    </w:p>
    <w:p>
      <w:pPr>
        <w:spacing w:after="0" w:line="12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Derivative gains, net. </w:t>
      </w:r>
      <w:r>
        <w:rPr>
          <w:rFonts w:ascii="Times New Roman" w:cs="Times New Roman" w:eastAsia="Times New Roman" w:hAnsi="Times New Roman"/>
          <w:sz w:val="22"/>
          <w:szCs w:val="22"/>
          <w:color w:val="auto"/>
        </w:rPr>
        <w:t>Net derivative gains during the Current Nine Months compared to Prior Nine Months were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primarily due to decreases in the fair value of the Company’s conversion option liability embedded in the Company’s Convertible Senior Notes. The decrease in the conversion option liability was primarily the result of the drop in the Company’s stock price. Net derivative gains for the Current Year Quarter compared to the Prior Year Quarter decreased due to the fair value of the conversion option liability approximating zero in the Current Year Quarter.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Foreign currency losses, net. </w:t>
      </w:r>
      <w:r>
        <w:rPr>
          <w:rFonts w:ascii="Times New Roman" w:cs="Times New Roman" w:eastAsia="Times New Roman" w:hAnsi="Times New Roman"/>
          <w:sz w:val="22"/>
          <w:szCs w:val="22"/>
          <w:color w:val="auto"/>
        </w:rPr>
        <w:t>Foreign currency losses for the Current Year Quarter and Current Nine Months compared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the Prior Year Quarter and Prior Nine Months were higher due to the weakening of the pound sterling.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 Benefit</w:t>
      </w:r>
    </w:p>
    <w:p>
      <w:pPr>
        <w:spacing w:after="0" w:line="17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For the nine months ended September 30, 2020, the Company’s effective income tax rate of 35.2% was primarily due to income tax benefits recognized as a result of the CARES signed into law in March 2020, as well as taxes provided on income attributable to noncontrolling interests, foreign sourced income not subject to U.S. income taxes, foreign taxes not creditable against U.S. income taxes, and the adjustment for the acquisition of the remaining minority membership interest in Falcon Global Holdings. For the nine months ended September 30, 2019, the Company’s effective income tax rate of 8.3% was primarily due to taxes provided on income attributable to noncontrolling interests, foreign sourced income not subject to U.S. income taxes, foreign taxes not creditable against U.S. income taxes, and a reversal of an unrecognized tax benefit.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in Earnings (Losses) of 50% or Less Owned Companies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Equity in earnings (losses) of 50% or less owned companies for the Current Nine Months compared with the Prior Nine Months were $13.3 million higher due to the following changes in equity earnings (losses)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76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840" w:type="dxa"/>
            <w:vAlign w:val="bottom"/>
            <w:tcBorders>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MexMar</w:t>
            </w: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SEACOR Arabia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4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40" w:type="dxa"/>
            <w:vAlign w:val="bottom"/>
          </w:tcPr>
          <w:p>
            <w:pPr>
              <w:spacing w:after="0"/>
              <w:rPr>
                <w:sz w:val="18"/>
                <w:szCs w:val="18"/>
                <w:color w:val="auto"/>
              </w:rPr>
            </w:pP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OSV Partners</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(315)</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(349)</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(1,237)</w:t>
            </w: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Dynamic Offshore Drilling</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(320)</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(1,996)</w:t>
            </w: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SEACOR Offshore Delta (f/k/a SEACOSCO)</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(1,614)</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(5,016)</w:t>
            </w: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Mexmar Offshore International</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(4,901)</w:t>
            </w:r>
          </w:p>
        </w:tc>
      </w:tr>
      <w:tr>
        <w:trPr>
          <w:trHeight w:val="21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Timsah</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(379)</w:t>
            </w: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8"/>
                <w:szCs w:val="18"/>
                <w:color w:val="auto"/>
              </w:rPr>
            </w:pPr>
          </w:p>
        </w:tc>
      </w:tr>
      <w:tr>
        <w:trPr>
          <w:trHeight w:val="209"/>
        </w:trPr>
        <w:tc>
          <w:tcPr>
            <w:tcW w:w="584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As of September 30, 2020, the Company had unfunded capital commitments of $13.1 million that included purchased commitments for two PSVs, one CTV and miscellaneous vessel equipment. Of the amount of unfunded capital commitments, $1.5 million is payable during the remainder of 2020 and $11.6 million is payable during 2021. The Company has indefinitely deferred an additional $9.6 million of orders with respect to one FSV that the Company had previously reported as unfunded capital commitments.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1" w:name="page52"/>
    <w:bookmarkEnd w:id="51"/>
    <w:p>
      <w:pPr>
        <w:ind w:left="760"/>
        <w:spacing w:after="0"/>
        <w:rPr>
          <w:sz w:val="20"/>
          <w:szCs w:val="20"/>
          <w:color w:val="auto"/>
        </w:rPr>
      </w:pPr>
      <w:r>
        <w:rPr>
          <w:rFonts w:ascii="Times New Roman" w:cs="Times New Roman" w:eastAsia="Times New Roman" w:hAnsi="Times New Roman"/>
          <w:sz w:val="22"/>
          <w:szCs w:val="22"/>
          <w:color w:val="auto"/>
        </w:rPr>
        <w:t>As of September 30, 2020, the Company had outstanding debt of $505.1 million, net of debt discount and issue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contractual long-term debt maturities as of September 30, 2020,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Actual</w:t>
            </w:r>
          </w:p>
        </w:tc>
      </w:tr>
      <w:tr>
        <w:trPr>
          <w:trHeight w:val="212"/>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Remainder 2020</w:t>
            </w:r>
          </w:p>
        </w:tc>
        <w:tc>
          <w:tcPr>
            <w:tcW w:w="38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34,767</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2022</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64,933</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244,984</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132,075</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Years subsequent to 2024</w:t>
            </w: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71,283</w:t>
            </w:r>
          </w:p>
        </w:tc>
        <w:tc>
          <w:tcPr>
            <w:tcW w:w="100" w:type="dxa"/>
            <w:vAlign w:val="bottom"/>
            <w:tcBorders>
              <w:bottom w:val="single" w:sz="8" w:color="CFF0FC"/>
            </w:tcBorders>
          </w:tcPr>
          <w:p>
            <w:pPr>
              <w:spacing w:after="0"/>
              <w:rPr>
                <w:sz w:val="18"/>
                <w:szCs w:val="18"/>
                <w:color w:val="auto"/>
              </w:rPr>
            </w:pPr>
          </w:p>
        </w:tc>
      </w:tr>
      <w:tr>
        <w:trPr>
          <w:trHeight w:val="209"/>
        </w:trPr>
        <w:tc>
          <w:tcPr>
            <w:tcW w:w="5460" w:type="dxa"/>
            <w:vAlign w:val="bottom"/>
            <w:tcBorders>
              <w:bottom w:val="single" w:sz="8" w:color="CFF0FC"/>
            </w:tcBorders>
            <w:shd w:val="clear" w:color="auto" w:fill="CFF0FC"/>
          </w:tcPr>
          <w:p>
            <w:pPr>
              <w:spacing w:after="0"/>
              <w:rPr>
                <w:sz w:val="18"/>
                <w:szCs w:val="18"/>
                <w:color w:val="auto"/>
              </w:rPr>
            </w:pPr>
          </w:p>
        </w:tc>
        <w:tc>
          <w:tcPr>
            <w:tcW w:w="38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556,466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As of September 30, 2020, the Company held balances of cash, cash equivalents, restricted cash and construction reserve funds totaling $48.5 million, of which $4.2 million was construction reserve funds held as cash. Additionally, the Company had $0.5 million available under subsidiary credit facilities. In addition, as a result of the CARES Act and the entry into the Tax Refund Agreement, the Company expects to receive cash tax refunds of approximately $31.2 million within the next 12 months, subject to the refund schedule of the Internal Revenue Service. The Internal Revenue Service has been recently experiencing delays in processing refund claims due in part to the COVID-19 pandemic. These tax refunds are subject to the terms of the Tax Refund Agreement, which does not restrict the use of approximately $19.7 million of the refund, with the remaining approximately $11.5 million required to be deposited into an account to be used to satisfy certain of the Company’s obligations that remain guaranteed by SEACOR Holdings.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Summary of Cash Flows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nine months ended September 30, the following is a summary of the Company’s cash flows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20" w:type="dxa"/>
            <w:vAlign w:val="bottom"/>
            <w:gridSpan w:val="7"/>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69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1"/>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provided by or (used in):</w:t>
            </w:r>
          </w:p>
        </w:tc>
        <w:tc>
          <w:tcPr>
            <w:tcW w:w="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Activities</w:t>
            </w:r>
          </w:p>
        </w:tc>
        <w:tc>
          <w:tcPr>
            <w:tcW w:w="176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(21,050)</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(818)</w:t>
            </w:r>
          </w:p>
        </w:tc>
      </w:tr>
      <w:tr>
        <w:trPr>
          <w:trHeight w:val="219"/>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Investing Activities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(30,821)</w:t>
            </w:r>
          </w:p>
        </w:tc>
      </w:tr>
      <w:tr>
        <w:trPr>
          <w:trHeight w:val="213"/>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Financing Activities</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(15,879)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(22,383)</w:t>
            </w:r>
          </w:p>
        </w:tc>
      </w:tr>
      <w:tr>
        <w:trPr>
          <w:trHeight w:val="219"/>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Effects of Exchange Rate Changes on Cash, Restricted Cash and Cash Equivalents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shd w:val="clear" w:color="auto" w:fill="CFF0FC"/>
          </w:tcPr>
          <w:p>
            <w:pPr>
              <w:spacing w:after="0"/>
              <w:rPr>
                <w:sz w:val="19"/>
                <w:szCs w:val="19"/>
                <w:color w:val="auto"/>
              </w:rPr>
            </w:pPr>
          </w:p>
        </w:tc>
      </w:tr>
      <w:tr>
        <w:trPr>
          <w:trHeight w:val="213"/>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Increase in Cash, Restricted Cash and Cash Equivalents from Discontinued Operations</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(458)</w:t>
            </w:r>
          </w:p>
        </w:tc>
      </w:tr>
      <w:tr>
        <w:trPr>
          <w:trHeight w:val="210"/>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Restricted Cash and Cash Equivalents</w:t>
            </w: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(38,516)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(52,462)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52" w:name="page53"/>
    <w:bookmarkEnd w:id="52"/>
    <w:p>
      <w:pPr>
        <w:ind w:left="760"/>
        <w:spacing w:after="0"/>
        <w:rPr>
          <w:sz w:val="20"/>
          <w:szCs w:val="20"/>
          <w:color w:val="auto"/>
        </w:rPr>
      </w:pPr>
      <w:r>
        <w:rPr>
          <w:rFonts w:ascii="Times New Roman" w:cs="Times New Roman" w:eastAsia="Times New Roman" w:hAnsi="Times New Roman"/>
          <w:sz w:val="22"/>
          <w:szCs w:val="22"/>
          <w:b w:val="1"/>
          <w:bCs w:val="1"/>
          <w:color w:val="auto"/>
        </w:rPr>
        <w:t>Operating Activities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Cash flows used in continuing operating activities decreased by $20.2 million in the Current Nine Months compared with the Prior Nine Months. The components of cash flows used in operating activities during the Current Nine Months and Prior Nine Months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0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1"/>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DVP:</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United States, primarily Gulf of Mexico</w:t>
            </w: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(1,290)</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Africa, primarily West Africa</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Middle East and Asia</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Latin America</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Europe, Continuing Operations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13,275</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leased-in equipment</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(11,252)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(14,691)</w:t>
            </w: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Administrative and general (excluding provisions for bad debts and amortization of share awards)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(31,894)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(29,311)</w:t>
            </w:r>
          </w:p>
        </w:tc>
      </w:tr>
      <w:tr>
        <w:trPr>
          <w:trHeight w:val="21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SEACOR Holdings management and guarantee fees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7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Dividends received from 50% or less owned companies</w:t>
            </w:r>
          </w:p>
        </w:tc>
        <w:tc>
          <w:tcPr>
            <w:tcW w:w="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20" w:type="dxa"/>
            <w:vAlign w:val="bottom"/>
            <w:tcBorders>
              <w:bottom w:val="single" w:sz="8" w:color="CFF0FC"/>
            </w:tcBorders>
          </w:tcPr>
          <w:p>
            <w:pPr>
              <w:spacing w:after="0"/>
              <w:rPr>
                <w:sz w:val="18"/>
                <w:szCs w:val="18"/>
                <w:color w:val="auto"/>
              </w:rPr>
            </w:pPr>
          </w:p>
        </w:tc>
      </w:tr>
      <w:tr>
        <w:trPr>
          <w:trHeight w:val="212"/>
        </w:trPr>
        <w:tc>
          <w:tcPr>
            <w:tcW w:w="7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11,859</w:t>
            </w:r>
          </w:p>
        </w:tc>
        <w:tc>
          <w:tcPr>
            <w:tcW w:w="120" w:type="dxa"/>
            <w:vAlign w:val="bottom"/>
            <w:shd w:val="clear" w:color="auto" w:fill="CFF0FC"/>
          </w:tcPr>
          <w:p>
            <w:pPr>
              <w:spacing w:after="0"/>
              <w:rPr>
                <w:sz w:val="18"/>
                <w:szCs w:val="18"/>
                <w:color w:val="auto"/>
              </w:rPr>
            </w:pP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before interest and income taxes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(17,648)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Director share awards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vested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(522)</w:t>
            </w:r>
          </w:p>
        </w:tc>
      </w:tr>
      <w:tr>
        <w:trPr>
          <w:trHeight w:val="21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settlements on derivative transactions, net</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(346)</w:t>
            </w:r>
          </w:p>
        </w:tc>
      </w:tr>
      <w:tr>
        <w:trPr>
          <w:trHeight w:val="216"/>
        </w:trPr>
        <w:tc>
          <w:tcPr>
            <w:tcW w:w="70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Interest paid, excluding capitalized interest </w:t>
            </w:r>
            <w:r>
              <w:rPr>
                <w:rFonts w:ascii="Times New Roman" w:cs="Times New Roman" w:eastAsia="Times New Roman" w:hAnsi="Times New Roman"/>
                <w:sz w:val="25"/>
                <w:szCs w:val="25"/>
                <w:color w:val="auto"/>
                <w:vertAlign w:val="superscript"/>
              </w:rPr>
              <w:t>(1)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(16,196)</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received</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shd w:val="clear" w:color="auto" w:fill="CFF0FC"/>
          </w:tcPr>
          <w:p>
            <w:pPr>
              <w:spacing w:after="0"/>
              <w:rPr>
                <w:sz w:val="18"/>
                <w:szCs w:val="18"/>
                <w:color w:val="auto"/>
              </w:rPr>
            </w:pPr>
          </w:p>
        </w:tc>
      </w:tr>
      <w:tr>
        <w:trPr>
          <w:trHeight w:val="213"/>
        </w:trPr>
        <w:tc>
          <w:tcPr>
            <w:tcW w:w="7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taxes refunded, net</w:t>
            </w:r>
          </w:p>
        </w:tc>
        <w:tc>
          <w:tcPr>
            <w:tcW w:w="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20" w:type="dxa"/>
            <w:vAlign w:val="bottom"/>
            <w:tcBorders>
              <w:bottom w:val="single" w:sz="8" w:color="CFF0FC"/>
            </w:tcBorders>
          </w:tcPr>
          <w:p>
            <w:pPr>
              <w:spacing w:after="0"/>
              <w:rPr>
                <w:sz w:val="18"/>
                <w:szCs w:val="18"/>
                <w:color w:val="auto"/>
              </w:rPr>
            </w:pPr>
          </w:p>
        </w:tc>
      </w:tr>
      <w:tr>
        <w:trPr>
          <w:trHeight w:val="209"/>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flows used in operating activities</w:t>
            </w:r>
          </w:p>
        </w:tc>
        <w:tc>
          <w:tcPr>
            <w:tcW w:w="6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(21,050)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13" w:lineRule="exact"/>
        <w:rPr>
          <w:sz w:val="20"/>
          <w:szCs w:val="20"/>
          <w:color w:val="auto"/>
        </w:rPr>
      </w:pPr>
    </w:p>
    <w:p>
      <w:pPr>
        <w:ind w:left="380" w:hanging="372"/>
        <w:spacing w:after="0" w:line="298" w:lineRule="auto"/>
        <w:tabs>
          <w:tab w:leader="none" w:pos="3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During the Current Nine Months and the Prior Nine Months, capitalized interest paid and included in purchases of property and equipment for continuing operations was $0.7 million and $1.2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-289560</wp:posOffset>
            </wp:positionV>
            <wp:extent cx="21602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0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Investing Activities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During the Current Nine Months, net cash used in investing activities was $0.5 million, primarily for the following:</w:t>
      </w:r>
    </w:p>
    <w:p>
      <w:pPr>
        <w:spacing w:after="0" w:line="98" w:lineRule="exact"/>
        <w:rPr>
          <w:sz w:val="20"/>
          <w:szCs w:val="20"/>
          <w:color w:val="auto"/>
        </w:rPr>
      </w:pPr>
    </w:p>
    <w:p>
      <w:pPr>
        <w:ind w:left="1260" w:hanging="510"/>
        <w:spacing w:after="0"/>
        <w:tabs>
          <w:tab w:leader="none" w:pos="1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were $24.9 million;</w:t>
      </w:r>
    </w:p>
    <w:p>
      <w:pPr>
        <w:spacing w:after="0" w:line="98" w:lineRule="exact"/>
        <w:rPr>
          <w:rFonts w:ascii="Times New Roman" w:cs="Times New Roman" w:eastAsia="Times New Roman" w:hAnsi="Times New Roman"/>
          <w:sz w:val="22"/>
          <w:szCs w:val="22"/>
          <w:color w:val="auto"/>
        </w:rPr>
      </w:pPr>
    </w:p>
    <w:p>
      <w:pPr>
        <w:jc w:val="both"/>
        <w:ind w:left="1260" w:hanging="510"/>
        <w:spacing w:after="0" w:line="244" w:lineRule="auto"/>
        <w:tabs>
          <w:tab w:leader="none" w:pos="1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sold two AHTS vessels and one specialty vessel previously retired and removed from service, four FSVs, one specialty vessel and one vessel under construction and other equipment for net proceeds of $21.6 million ($20.7million cash and $0.9 million in previously received deposits);</w:t>
      </w:r>
    </w:p>
    <w:p>
      <w:pPr>
        <w:spacing w:after="0" w:line="65" w:lineRule="exact"/>
        <w:rPr>
          <w:rFonts w:ascii="Times New Roman" w:cs="Times New Roman" w:eastAsia="Times New Roman" w:hAnsi="Times New Roman"/>
          <w:sz w:val="22"/>
          <w:szCs w:val="22"/>
          <w:color w:val="auto"/>
        </w:rPr>
      </w:pPr>
    </w:p>
    <w:p>
      <w:pPr>
        <w:ind w:left="1260" w:hanging="510"/>
        <w:spacing w:after="0"/>
        <w:tabs>
          <w:tab w:leader="none" w:pos="1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construction reserve funds account transactions included withdrawals of $ 12.9 million;</w:t>
      </w:r>
    </w:p>
    <w:p>
      <w:pPr>
        <w:spacing w:after="0" w:line="98" w:lineRule="exact"/>
        <w:rPr>
          <w:rFonts w:ascii="Times New Roman" w:cs="Times New Roman" w:eastAsia="Times New Roman" w:hAnsi="Times New Roman"/>
          <w:sz w:val="22"/>
          <w:szCs w:val="22"/>
          <w:color w:val="auto"/>
        </w:rPr>
      </w:pPr>
    </w:p>
    <w:p>
      <w:pPr>
        <w:jc w:val="both"/>
        <w:ind w:left="1260" w:hanging="510"/>
        <w:spacing w:after="0" w:line="238" w:lineRule="auto"/>
        <w:tabs>
          <w:tab w:leader="none" w:pos="1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completed the acquisition of the SEACOSCO Interests that it did not already own from the SEACOSCO Sellers. As a result of the completion of the acquisition, the Company owns 100% of the membership interests in SEACOR Offshore Delta LLC (formerly known as SEACOSCO Offshore LLC). The aggregate purchase price for the membership interests is $28.2 million, $8.4 million of which was paid to the Sellers at the closing of the transaction and the remainder of which will be paid over the next four years;</w:t>
      </w:r>
    </w:p>
    <w:p>
      <w:pPr>
        <w:spacing w:after="0" w:line="68" w:lineRule="exact"/>
        <w:rPr>
          <w:rFonts w:ascii="Times New Roman" w:cs="Times New Roman" w:eastAsia="Times New Roman" w:hAnsi="Times New Roman"/>
          <w:sz w:val="22"/>
          <w:szCs w:val="22"/>
          <w:color w:val="auto"/>
        </w:rPr>
      </w:pPr>
    </w:p>
    <w:p>
      <w:pPr>
        <w:ind w:left="1260" w:hanging="510"/>
        <w:spacing w:after="0"/>
        <w:tabs>
          <w:tab w:leader="none" w:pos="1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investments in, and advances to, its 50% or less owned companies of $1.2 million; and</w:t>
      </w:r>
    </w:p>
    <w:p>
      <w:pPr>
        <w:spacing w:after="0" w:line="98" w:lineRule="exact"/>
        <w:rPr>
          <w:rFonts w:ascii="Times New Roman" w:cs="Times New Roman" w:eastAsia="Times New Roman" w:hAnsi="Times New Roman"/>
          <w:sz w:val="22"/>
          <w:szCs w:val="22"/>
          <w:color w:val="auto"/>
        </w:rPr>
      </w:pPr>
    </w:p>
    <w:p>
      <w:pPr>
        <w:ind w:left="1260" w:hanging="510"/>
        <w:spacing w:after="0" w:line="258" w:lineRule="auto"/>
        <w:tabs>
          <w:tab w:leader="none" w:pos="1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received $0.5 million from investments in, and advances to, its 50% or less owned companies for principal payments on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ind w:firstLine="749"/>
        <w:spacing w:after="0" w:line="258" w:lineRule="auto"/>
        <w:rPr>
          <w:sz w:val="20"/>
          <w:szCs w:val="20"/>
          <w:color w:val="auto"/>
        </w:rPr>
      </w:pPr>
      <w:r>
        <w:rPr>
          <w:rFonts w:ascii="Times New Roman" w:cs="Times New Roman" w:eastAsia="Times New Roman" w:hAnsi="Times New Roman"/>
          <w:sz w:val="22"/>
          <w:szCs w:val="22"/>
          <w:color w:val="auto"/>
        </w:rPr>
        <w:t>During the Prior Nine Months, net cash used in investing activities was $30.8 million, primarily as a result of the following:</w:t>
      </w:r>
    </w:p>
    <w:p>
      <w:pPr>
        <w:spacing w:after="0" w:line="50" w:lineRule="exact"/>
        <w:rPr>
          <w:sz w:val="20"/>
          <w:szCs w:val="20"/>
          <w:color w:val="auto"/>
        </w:rPr>
      </w:pPr>
    </w:p>
    <w:p>
      <w:pPr>
        <w:ind w:left="1260" w:hanging="510"/>
        <w:spacing w:after="0"/>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were $49.6 million;</w:t>
      </w:r>
    </w:p>
    <w:p>
      <w:pPr>
        <w:spacing w:after="0" w:line="98" w:lineRule="exact"/>
        <w:rPr>
          <w:rFonts w:ascii="Times New Roman" w:cs="Times New Roman" w:eastAsia="Times New Roman" w:hAnsi="Times New Roman"/>
          <w:sz w:val="22"/>
          <w:szCs w:val="22"/>
          <w:color w:val="auto"/>
        </w:rPr>
      </w:pPr>
    </w:p>
    <w:p>
      <w:pPr>
        <w:jc w:val="both"/>
        <w:ind w:left="1260" w:hanging="510"/>
        <w:spacing w:after="0" w:line="244" w:lineRule="auto"/>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sold five AHTS vessels and one specialty vessel previously retired and removed from service, three FSVs, two supply vessels, three liftboats, one CTV and one vessel under construction for net proceeds of $24.2 million ($19.9 million cash plus $4.3 million previously received deposit);</w:t>
      </w:r>
    </w:p>
    <w:p>
      <w:pPr>
        <w:spacing w:after="0" w:line="65" w:lineRule="exact"/>
        <w:rPr>
          <w:rFonts w:ascii="Times New Roman" w:cs="Times New Roman" w:eastAsia="Times New Roman" w:hAnsi="Times New Roman"/>
          <w:sz w:val="22"/>
          <w:szCs w:val="22"/>
          <w:color w:val="auto"/>
        </w:rPr>
      </w:pPr>
    </w:p>
    <w:p>
      <w:pPr>
        <w:ind w:left="1260" w:hanging="510"/>
        <w:spacing w:after="0"/>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construction reserve funds account transactions included withdrawals of $9.9 million;</w:t>
      </w:r>
    </w:p>
    <w:p>
      <w:pPr>
        <w:spacing w:after="0" w:line="98" w:lineRule="exact"/>
        <w:rPr>
          <w:rFonts w:ascii="Times New Roman" w:cs="Times New Roman" w:eastAsia="Times New Roman" w:hAnsi="Times New Roman"/>
          <w:sz w:val="22"/>
          <w:szCs w:val="22"/>
          <w:color w:val="auto"/>
        </w:rPr>
      </w:pPr>
    </w:p>
    <w:p>
      <w:pPr>
        <w:ind w:left="1260" w:hanging="510"/>
        <w:spacing w:after="0" w:line="258" w:lineRule="auto"/>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investments in, and advances to, its 50% or less owned companies of $11.4 million, comprised primarily of its capital contribution in the SEACOSCO joint venture; and</w:t>
      </w:r>
    </w:p>
    <w:p>
      <w:pPr>
        <w:spacing w:after="0" w:line="50" w:lineRule="exact"/>
        <w:rPr>
          <w:rFonts w:ascii="Times New Roman" w:cs="Times New Roman" w:eastAsia="Times New Roman" w:hAnsi="Times New Roman"/>
          <w:sz w:val="22"/>
          <w:szCs w:val="22"/>
          <w:color w:val="auto"/>
        </w:rPr>
      </w:pPr>
    </w:p>
    <w:p>
      <w:pPr>
        <w:ind w:left="1260" w:hanging="510"/>
        <w:spacing w:after="0"/>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received $0.4 million as a return of its capital investment in 50% or less owned companies.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Financing Activities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During the Current Nine Months, net cash used in financing activities was $15.9 million.</w:t>
      </w:r>
    </w:p>
    <w:p>
      <w:pPr>
        <w:spacing w:after="0" w:line="98" w:lineRule="exact"/>
        <w:rPr>
          <w:sz w:val="20"/>
          <w:szCs w:val="20"/>
          <w:color w:val="auto"/>
        </w:rPr>
      </w:pPr>
    </w:p>
    <w:p>
      <w:pPr>
        <w:ind w:left="1260" w:hanging="510"/>
        <w:spacing w:after="0"/>
        <w:tabs>
          <w:tab w:leader="none" w:pos="12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schedule payments on long-term debt and obligations of $17.0 million; and</w:t>
      </w:r>
    </w:p>
    <w:p>
      <w:pPr>
        <w:spacing w:after="0" w:line="98" w:lineRule="exact"/>
        <w:rPr>
          <w:rFonts w:ascii="Times New Roman" w:cs="Times New Roman" w:eastAsia="Times New Roman" w:hAnsi="Times New Roman"/>
          <w:sz w:val="22"/>
          <w:szCs w:val="22"/>
          <w:color w:val="auto"/>
        </w:rPr>
      </w:pPr>
    </w:p>
    <w:p>
      <w:pPr>
        <w:ind w:left="1260" w:right="20" w:hanging="510"/>
        <w:spacing w:after="0" w:line="258" w:lineRule="auto"/>
        <w:tabs>
          <w:tab w:leader="none" w:pos="12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borrowed an additional €1.0 million in regards to the Windcat Workboats credit facilities, resulting in a net increase in USD borrowings of $1.1 million.</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During the Prior Nine Months, net cash used in financing activities was $22.4 million. The Company:</w:t>
      </w:r>
    </w:p>
    <w:p>
      <w:pPr>
        <w:spacing w:after="0" w:line="98" w:lineRule="exact"/>
        <w:rPr>
          <w:sz w:val="20"/>
          <w:szCs w:val="20"/>
          <w:color w:val="auto"/>
        </w:rPr>
      </w:pPr>
    </w:p>
    <w:p>
      <w:pPr>
        <w:ind w:left="1260" w:hanging="510"/>
        <w:spacing w:after="0" w:line="258" w:lineRule="auto"/>
        <w:tabs>
          <w:tab w:leader="none" w:pos="1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scheduled payments on long-term debt and offer obligations of $20.1 million, including the repayment of $6.75 million of FGUSA debt with proceeds acquired through the sale of three liftboats;</w:t>
      </w:r>
    </w:p>
    <w:p>
      <w:pPr>
        <w:spacing w:after="0" w:line="50" w:lineRule="exact"/>
        <w:rPr>
          <w:rFonts w:ascii="Times New Roman" w:cs="Times New Roman" w:eastAsia="Times New Roman" w:hAnsi="Times New Roman"/>
          <w:sz w:val="22"/>
          <w:szCs w:val="22"/>
          <w:color w:val="auto"/>
        </w:rPr>
      </w:pPr>
    </w:p>
    <w:p>
      <w:pPr>
        <w:ind w:left="1260" w:hanging="510"/>
        <w:spacing w:after="0" w:line="258" w:lineRule="auto"/>
        <w:tabs>
          <w:tab w:leader="none" w:pos="1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purchased additional subsidiary shares from a joint venture in which it had a noncontrolling interest of $3.4 million; and</w:t>
      </w:r>
    </w:p>
    <w:p>
      <w:pPr>
        <w:spacing w:after="0" w:line="50" w:lineRule="exact"/>
        <w:rPr>
          <w:rFonts w:ascii="Times New Roman" w:cs="Times New Roman" w:eastAsia="Times New Roman" w:hAnsi="Times New Roman"/>
          <w:sz w:val="22"/>
          <w:szCs w:val="22"/>
          <w:color w:val="auto"/>
        </w:rPr>
      </w:pPr>
    </w:p>
    <w:p>
      <w:pPr>
        <w:ind w:left="1260" w:hanging="510"/>
        <w:spacing w:after="0"/>
        <w:tabs>
          <w:tab w:leader="none" w:pos="1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proceeds from the exercise of Stock Options and Warrants of $1.1 million.</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Short and Long-Term Liquidity Requirements</w:t>
      </w:r>
    </w:p>
    <w:p>
      <w:pPr>
        <w:spacing w:after="0" w:line="18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liquidity and compliance with covenants in its credit facilities specifically as it relates to the COVID-19 pandemic. As noted above under “Overview”, there are a number of steps the Company has and can take to mitigate any further adverse effects to the Company’s liquidity stemming from the COVID-19 pandemic and the resulting depressed oil and natural gas price environment, including sales of assets, workforce reduction and other cost reduction measures. In addition, the Company expects to receive a meaningful amount of tax refunds over the next 12 months as a result of the changes in the current U.S. tax law included in the CARES Act. While the COVID-19 pandemic has reduced the demand for the Company’s products and services, the COVID-19 pandemic has not had a material impact on the Company’s liquidity or, except as noted in “Note 5. Long-Term Debt” in the unaudited consolidated financial statements included in Part I. Item 1. “Financial Statements” elsewhere in this Quarterly Report on Form 10-Q, on the Company’s ability to meet its financial maintenance covenants in its various credit facilities. However, the Company's primary credit facility requires the Company to maintain a minimum of $35 million of cash on hand (including restricted cash) at all times. As of September 30, 2020 the Company's cash balances used to test compliance with this covenant was $48.5 million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54" w:name="page55"/>
    <w:bookmarkEnd w:id="54"/>
    <w:p>
      <w:pPr>
        <w:jc w:val="both"/>
        <w:spacing w:after="0" w:line="236" w:lineRule="auto"/>
        <w:rPr>
          <w:sz w:val="20"/>
          <w:szCs w:val="20"/>
          <w:color w:val="auto"/>
        </w:rPr>
      </w:pPr>
      <w:r>
        <w:rPr>
          <w:rFonts w:ascii="Times New Roman" w:cs="Times New Roman" w:eastAsia="Times New Roman" w:hAnsi="Times New Roman"/>
          <w:sz w:val="22"/>
          <w:szCs w:val="22"/>
          <w:color w:val="auto"/>
        </w:rPr>
        <w:t>and the Company expects cash flow from operations and tax refunds the Company expects to receive (as described under "Recent Developments – Tax Refund Agreement" which would be included in the covenant calculation) will be sufficient to maintain compliance with this covenant for the foreseeable future. However, if the effect of the COVID-19 pandemic on the Company's business becomes more severe, for example by further reducing the demand for the Company’s products and services or causing customers not to make their payments on time, or the Company does not receive its expected tax refunds in a timely manner, the Company may be required to seek amendments to the covenant to avoid a default under the facility.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discussion of the Company’s off-balance sheet arrangements, refer to Liquidity and Capital Resources in the Company’s 2019 Annual Report. There has been no material change in the Company’s off-balance sheet arrangements during the nine months ended September 30, 2020.</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Debt Securities and Credit Agreements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a discussion of the Company’s debt securities and credit agreements, see “Note 5. Long-Term Debt” in the unaudited consolidated financial statements included in Part I. Item 1. “Financial Statements” elsewhere in this Quarterly Report on Form 10-Q and in “Note 8. Long-Term Debt” in the Company’s audited consolidated financial statements included in its 2019 Annual Report.</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Contractual Obligations and Commercial Commitments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discussion of the Company’s contractual obligations and commercial commitments, refer to Liquidity and Capital Resources in the Company’s 2019 Annual Report. There has been no material change in the Company’s contractual obligations and commercial commitments.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Contingencies</w:t>
      </w:r>
    </w:p>
    <w:p>
      <w:pPr>
        <w:spacing w:after="0" w:line="17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of September 30, 2020, SEACOR Holdings has guaranteed $10.4 million on behalf of the Company for various obligations including: performance obligations under sale-leaseback arrangements and invoiced amounts for funding deficits under the Merchant Navy Officers Pension Fund. SEACOR Holdings charges the Company a fee of 0.5% per annum on outstanding guaranteed amounts, which declines as the obligations are settled by the Company.</w:t>
      </w:r>
    </w:p>
    <w:p>
      <w:pPr>
        <w:spacing w:after="0" w:line="14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3.QUANTITATIVE AND QUALITATIVE DISCLOSURES ABOUT MARKET RISK</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discussion of the Company’s exposure to market risk, refer to “Quantitative and Qualitative Disclosures About Market Risk” included in the Company’s 2019 Annual Report. There has been no material change in the Company’s exposure to market risk during the nine months ended September 30, 2020.</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Evaluation of Disclosure Controls and Procedures</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September 30, 2020. Based on their evaluation, the Company’s principal executive officer and principal financial officer concluded that the Company’s disclosure controls and procedures were not effective as of September 30, 2020 solely as a result of the material weakness in the Company’s internal control over financial reporting described below.</w:t>
      </w:r>
    </w:p>
    <w:p>
      <w:pPr>
        <w:spacing w:after="0" w:line="14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Weakness in Internal Control Over Financial Reporting Existing as of September 30, 2020</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During the preparation of the Company’s financial statements as of and for the three months ended March 31, 2020, prior to public dissemination of the condensed consolidated financial statements and related information for the period, an error was identified related to the accounting for the bifurcated conversion option liability derivative embedded in the Company’s Convertible Senior Notes (See “Note 8. Derivative Instruments and Hedging Strategies” in the unaudited consolidated financial statements included in Part I. Item 1. “Financial Statements” elsewhere in this Quarterly Report on Form 10-Q). As a result, the Company’s management evaluated the effectiveness of the related internal control over financial reporting as of March 31, 2020 and determined that a material weakness existed and re-evaluated the effectiveness of the related internal control over financial reporting as of September 30, 2020 and determined that the material weakness continued to exist. Specifically, management determined the Company did not maintain effective controls over the journal entry review of estimates utilizing third-party information, as the control did not operate at the designed level of precision to initially detect the error.</w:t>
      </w:r>
    </w:p>
    <w:p>
      <w:pPr>
        <w:spacing w:after="0" w:line="13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identified material weakness, management believes the condensed consolidated financial statements, as included in this Quarterly Report on Form 10-Q, fairly represent, in all material respects, the Company’s financial condition, results of operations and cash flows as of and for the periods presented in accordance with generally accepted accounting principles in the United States. No previously reported financial statements were affected by this error.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b w:val="1"/>
          <w:bCs w:val="1"/>
          <w:color w:val="auto"/>
        </w:rPr>
        <w:t>Remediation Plans</w:t>
      </w:r>
    </w:p>
    <w:p>
      <w:pPr>
        <w:spacing w:after="0" w:line="18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Management and the board of directors of SEACOR Marine (the “Board of Directors”) take the Company’s internal control over financial reporting and the integrity of its financial statements seriously. In an effort to remediate the material weakness discussed above, management has reviewed the Company’s current journal entry review process to determine appropriate improvements and implement enhanced procedures. These enhanced procedures include training and educating the applicable accounting employees over the journal entry “review controls” requirements. Specifically, these measures will include:</w:t>
      </w:r>
    </w:p>
    <w:p>
      <w:pPr>
        <w:spacing w:after="0" w:line="60" w:lineRule="exact"/>
        <w:rPr>
          <w:sz w:val="20"/>
          <w:szCs w:val="20"/>
          <w:color w:val="auto"/>
        </w:rPr>
      </w:pPr>
    </w:p>
    <w:p>
      <w:pPr>
        <w:jc w:val="both"/>
        <w:ind w:left="1260" w:hanging="510"/>
        <w:spacing w:after="0" w:line="244" w:lineRule="auto"/>
        <w:tabs>
          <w:tab w:leader="none" w:pos="12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key and complex journal entries utilizing third party information going through a group review meeting including the preparer, reviewer, the Corporate Controller and the Chief Accounting Officer; the key and complex journal entries including, but not limited to the option derivative valuation;</w:t>
      </w:r>
    </w:p>
    <w:p>
      <w:pPr>
        <w:spacing w:after="0" w:line="65" w:lineRule="exact"/>
        <w:rPr>
          <w:rFonts w:ascii="Times New Roman" w:cs="Times New Roman" w:eastAsia="Times New Roman" w:hAnsi="Times New Roman"/>
          <w:sz w:val="22"/>
          <w:szCs w:val="22"/>
          <w:color w:val="auto"/>
        </w:rPr>
      </w:pPr>
    </w:p>
    <w:p>
      <w:pPr>
        <w:ind w:left="1260" w:right="20" w:hanging="510"/>
        <w:spacing w:after="0" w:line="258" w:lineRule="auto"/>
        <w:tabs>
          <w:tab w:leader="none" w:pos="12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documenting written procedures for key and complex journal entries to ensure that the journal entries are accurately prepared and supported, and to facilitate the review of journal entries;</w:t>
      </w:r>
    </w:p>
    <w:p>
      <w:pPr>
        <w:spacing w:after="0" w:line="50" w:lineRule="exact"/>
        <w:rPr>
          <w:rFonts w:ascii="Times New Roman" w:cs="Times New Roman" w:eastAsia="Times New Roman" w:hAnsi="Times New Roman"/>
          <w:sz w:val="22"/>
          <w:szCs w:val="22"/>
          <w:color w:val="auto"/>
        </w:rPr>
      </w:pPr>
    </w:p>
    <w:p>
      <w:pPr>
        <w:ind w:left="1260" w:hanging="510"/>
        <w:spacing w:after="0" w:line="258" w:lineRule="auto"/>
        <w:tabs>
          <w:tab w:leader="none" w:pos="12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expanding, formalizing and documenting additional variance analysis at a more precise level for the consolidated financial statements at corporate level and financial statements at the regional level; and</w:t>
      </w:r>
    </w:p>
    <w:p>
      <w:pPr>
        <w:spacing w:after="0" w:line="50" w:lineRule="exact"/>
        <w:rPr>
          <w:rFonts w:ascii="Times New Roman" w:cs="Times New Roman" w:eastAsia="Times New Roman" w:hAnsi="Times New Roman"/>
          <w:sz w:val="22"/>
          <w:szCs w:val="22"/>
          <w:color w:val="auto"/>
        </w:rPr>
      </w:pPr>
    </w:p>
    <w:p>
      <w:pPr>
        <w:ind w:left="1260" w:hanging="510"/>
        <w:spacing w:after="0" w:line="282" w:lineRule="auto"/>
        <w:tabs>
          <w:tab w:leader="none" w:pos="12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reducing the established variance threshold to any variance over $500K; or any variance over $100K and 10% comparing Quarter-to-Date balances from current year vs last year for both Balance Sheet and Income Statements.</w:t>
      </w:r>
    </w:p>
    <w:p>
      <w:pPr>
        <w:spacing w:after="0" w:line="9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Management and the Board of Directors are committed to maintaining a strong internal control environment and will make every effort to ensure that the material weakness described above is promptly remediated, however, the material weakness cannot be considered remediated until the applicable remedial controls as discussed above are implemented and operate for a sufficient period of time to allow management to conclude, through testing, that this remediation plan is implemented and the control is operating effectively. As of September 30, 2020, management is in the process of implementing the remediation procedures designed to address the material weakness discussed above for the year ended 2020. The company expects that the remediation of this material weakness will be completed prior to the end of fiscal year 2020.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Internal Control Over Financial Reporting</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Other than the ongoing remediation efforts discussed above, there have been no changes in the Company’s internal control over financial reporting (as defined in Rules 13a-15(f) and 15d-15(f) under the Exchange Act) that occurred during the nine months ended September 30,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1.LEGAL PROCEEDINGS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description of developments with respect to pending legal proceedings described in the Company’s 2019 Annual Report, see “Note 12. Commitments and Contingencies” included in Part I. Item 1. “Financial Statements” elsewhere in this Quarterly Report on Form 10-Q.</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1A.RISK FACTORS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discussion of the Company’s risk factors, refer to “Risk Factors” included in the Company’s 2019 Annual Report. Except as set forth below, there have been no material changes in the Company’s risk factors during the Current Three Months.</w:t>
      </w:r>
    </w:p>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The Company is exposed to fluctuating prices of oil and decreased demand for oil. The coronavirus (“COVID-19”) pandemic has resulted in a decrease in the price of and demand for oil, which has caused, and may continue to cause, a decrease in the demand for the Company’s services.</w:t>
      </w:r>
    </w:p>
    <w:p>
      <w:pPr>
        <w:spacing w:after="0" w:line="12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In the recent months, oil prices have experienced record declines in response to a significant amount of anticipated oversupply in oil and natural gas caused by (i) the COVID-19 pandemic that began in late 2019 and has led to a substantial decrease in global economic activity and (ii) supply decisions principally by Russia and Saudi Arabia resulting in the failure to agree on terms to maintain production limits and the ensuing influx of additional oil to an already oversupplied market. These declines in oil and natural gas prices come on top of prices that have, for the last few years, been below historic averages. On January 2, 2020, WTI crude oil prices closed at a price of $61.18 per barrel. On April 20, 2020, the NYMEX WTI oil futures price for May 2020 went “negative” to -$37.63 per barrel. By September 30, 2020, the last trading date of the third quarter of 2020, WTI crude oil prices closed at a price of $40.22 per barrel, still below historic average. While OPEC+ members have implemented production cut, the cuts have failed to return oil and natural gas prices to levels seen prior to the COVID-19 pandemic. To the extent that the outbreak of COVID-19 continues to negatively impact demand, the Company expects there to be excess supply of oil and natural gas for the foreseeable future. This excess supply could, in turn, result in transportation and storage capacity constraints in the United States, or even the elimination of available storage.</w:t>
      </w:r>
    </w:p>
    <w:p>
      <w:pPr>
        <w:spacing w:after="0" w:line="15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The market for the Company’s offshore support services is impacted by the comparative price for exploring, developing, and producing oil and natural gas and by the corresponding supply and demand for oil and natural gas, both globally and regionally. Since developing offshore oil fields, particularly in deep waters, is one of the most expensive sources of hydrocarbons and providing transportation and logistics services to these markets is the largest component of the Company’s business, the Company is particularly exposed to depressed oil and natural gas prices that last for some period of time. When the Company’s customers experience low commodity prices or come to believe that they will be low in the future, they generally reduce their capital spending for offshore drilling, exploration and field development. The significant decrease in oil and natural gas prices that began in the second half of 2014 caused a reduction in many of the Company’s customers’ exploratory, drilling, completion and other production activities and, as a result, related spending on the Company’s services. The decrease in prices caused by COVID-19 could cause the Company’s customers’ to further reduce exploratory, drilling, completion and other production activities, which could have a material adverse effect on the Company’s business and liquidity.</w:t>
      </w:r>
    </w:p>
    <w:p>
      <w:pPr>
        <w:spacing w:after="0" w:line="1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The Company’s operation and workforce faces risks related to the COVID-19 pandemic, which could significantly disrupt the Company’s operations</w:t>
      </w:r>
      <w:r>
        <w:rPr>
          <w:rFonts w:ascii="Times New Roman" w:cs="Times New Roman" w:eastAsia="Times New Roman" w:hAnsi="Times New Roman"/>
          <w:sz w:val="22"/>
          <w:szCs w:val="22"/>
          <w:color w:val="auto"/>
        </w:rPr>
        <w:t>.</w:t>
      </w:r>
    </w:p>
    <w:p>
      <w:pPr>
        <w:spacing w:after="0" w:line="11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Company’s business could be adversely affected by the effects of the COVID-19 pandemic. The pandemic may affect the health of the Company’s workforce, and international, national and local government interventions enacted to reduce the spread of COVID-19 may render the Company’s employees unable to commute to work and/or travel. Although the Company’s workforce is largely considered to be “essential” under guidance issued by the U.S. Cybersecurity and Infrastructure Security Agency, work, travel and other restrictions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jc w:val="both"/>
        <w:spacing w:after="0" w:line="236" w:lineRule="auto"/>
        <w:rPr>
          <w:sz w:val="20"/>
          <w:szCs w:val="20"/>
          <w:color w:val="auto"/>
        </w:rPr>
      </w:pPr>
      <w:r>
        <w:rPr>
          <w:rFonts w:ascii="Times New Roman" w:cs="Times New Roman" w:eastAsia="Times New Roman" w:hAnsi="Times New Roman"/>
          <w:sz w:val="22"/>
          <w:szCs w:val="22"/>
          <w:color w:val="auto"/>
        </w:rPr>
        <w:t>may vary in other regions of the world in which the Company has significant operations, such as Africa, Middle East and Asia, Latin America and Europe. Therefore, the Company may experience reduced productivity and an inability to fully support its offshore operations if the Company’s onshore personnel work remotely due to restrictions related to COVID-19. In addition, while many governments relaxed COVID-19 related restrictions during the northern hemisphere’s summer months, recent increases in infection rates have caused many restrictions to be reinstituted and, in some cases, such restrictions have been more severe than they were initially.</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Additionally, an outbreak of COVID-19 on any of the Company’s vessels may result in the vessel, or some or all of the vessel crew, being quarantined, which would hinder the vessel’s ability to generate revenue and the crew’s ability to man any substitute vessel. The Company may also experience challenges in connection with the Company’s offshore crew changes due to health and travel restrictions related to COVID-19. The duration and severity of the business disruption and related financial impact from the COVID-19 pandemic cannot be reasonably estimated at this time. If the impact of the COVID-19 pandemic continues for an extended period of time, not only could it materially adversely affect the demand for the Company’s services but also the ability of the Company to provide such services, either of which could have a material adverse effect on the Company’s business. To the extent the COVID-19 pandemic adversely affects the Company’s operations and business, it may also have the effect of heightening many of the other risks set forth in the Company’s SEC filings, such as those relating to the Company’s financial performance and debt obligations.</w:t>
      </w:r>
    </w:p>
    <w:p>
      <w:pPr>
        <w:spacing w:after="0" w:line="1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Restrictions imposed by the terms of the Company’s existing credit facilities may limit the Company’s operating and financial flexibility. In addition, there can be no assurance that the Company will meet the requirements of its financial covenants on an ongoing basis or that if it should fail to meet such covenants in the future, the lender under the relevant credit agreement will agree to waivers or amendments with respect thereto.</w:t>
      </w:r>
    </w:p>
    <w:p>
      <w:pPr>
        <w:spacing w:after="0" w:line="13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Many of the Company’s existing credit facilities impose restrictions, such as negative covenants and maintenance of financial ratio covenants, which may limit its operating and financial flexibility. Negative covenants such as limitations on additional indebtedness or liens may affect the Company’s ability to incur additional debt if needed, while asset sale covenants could affect its ability to sell assets to generate liquidity. The Company’s ability to maintain financial ratio covenants may be affected by general economic conditions or other events beyond the Company’s control and no assurance can be given that such ratios will be met in the future. If the Company is unable to meet such ratios, it may be unable to reach agreements with the lenders under such agreements for waivers and/or amendments to the applicable covenants. For example, the Company is currently in non-compliance with the net financial debt covenant included in the Sea-Cat Crewzer III Term Loan Facility and the Company and its lenders under this facility are in discussions to waive or otherwise modify the terms of this covenant.</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Failure to achieve and maintain effective internal controls over financial reporting in accordance with Section 404 of the Sarbanes-Oxley Act could have a material adverse effect on the Company.</w:t>
      </w:r>
    </w:p>
    <w:p>
      <w:pPr>
        <w:spacing w:after="0" w:line="11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As a public company, SEACOR Marine is required to maintain internal control over financial reporting and to report any material weaknesses in such internal control. Section 404 of the Sarbanes-Oxley Act of 2002 (the “Sarbanes-Oxley Act”), requires that the Company evaluate and determine the effectiveness of its internal control over financial reporting and provide a management report on the internal control over financial reporting. The Company’s independent registered public accounting firm is not required to audit the effectiveness of the internal control over financial reporting until after the Company is no longer an “emerging growth company,” as defined in the Jumpstart Our Business Startups Act, or JOBS Act, which would be no later than the annual report for the fiscal year ending December 31, 2022.</w:t>
      </w:r>
    </w:p>
    <w:p>
      <w:pPr>
        <w:spacing w:after="0" w:line="14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the preparation of its Quarterly Report on Form 10-Q for the period ended March 31, 2020, it was determined that there was a material weakness in the Company’s internal control over financial reporting limited to the journal entry review of estimates utilizing third-party information as described in Part II, Item 4 of this Quarterly Report on Form 10-Q. This material weakness continued to exist as of September 30, 2020.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59" w:name="page60"/>
    <w:bookmarkEnd w:id="59"/>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To address this material weakness, the Company immediately began evaluating a comprehensive remediation plan, which includes enhancements to the journal entry review of estimates utilizing third-party information control. While we are implementing such enhancements to this review process to remediate this material weakness, we cannot predict the success of such plan or the outcome of the Company’s assessment of this plan at this time. If the Company’s steps are insufficient to successfully remediate the material weakness and otherwise establish and maintain an effective system of internal control over financial reporting, the reliability of the Company’s financial reporting, investor confidence in the Company and the value of SEACOR Marine Common Stock could be materially and adversely affected. The Company can give no assurance that this implementation will remediate this deficiency in internal control or that additional material weaknesses in the Company’s internal control over financial reporting will not be identified in the future. If the Company is unable to maintain adequate internal control over financial reporting, it may be unable to report its financial information on a timely basis, may violate applicable stock exchange listing rules or suffer other adverse regulatory consequences and may breach the covenants under its credit facilities. There could also be a negative reaction in the price of the Company’s Common Stock due to a loss of investor confidence in the Company and the reliability of its financial statements. It cannot be assumed that the Company will not have another material weakness in its internal controls over financial reporting in the future.</w:t>
      </w:r>
    </w:p>
    <w:p>
      <w:pPr>
        <w:spacing w:after="0" w:line="15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w:t>
      </w:r>
    </w:p>
    <w:p>
      <w:pPr>
        <w:spacing w:after="0" w:line="14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as long as the Company is an “emerging growth company” under the JOBS Act, the Company’s independent registered public accounting firm will not be required to attest to the effectiveness of the Company’s internal control over financial reporting pursuant to Section 404. The Company could be an “emerging growth company” for up to two more fiscal years. An independent assessment of the effectiveness of the Company’s internal control over financial reporting could detect problems that management’s assessment might not. Undetected material weaknesses in the Company’s internal control over financial reporting could lead to financial statement restatements and require the Company to incur the expense of remediation.</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The Company’s Third Amended and Restated By-Laws include a forum selection clause, which could limit the Company’s stockholders’ ability to obtain a favorable judicial forum for disputes with the Company.</w:t>
      </w:r>
    </w:p>
    <w:p>
      <w:pPr>
        <w:spacing w:after="0" w:line="12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The Company’s Third Amended and Restated By-Laws (“By-Laws”) require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w:t>
      </w:r>
    </w:p>
    <w:p>
      <w:pPr>
        <w:spacing w:after="0" w:line="2" w:lineRule="exact"/>
        <w:rPr>
          <w:sz w:val="20"/>
          <w:szCs w:val="20"/>
          <w:color w:val="auto"/>
        </w:rPr>
      </w:pPr>
    </w:p>
    <w:p>
      <w:pPr>
        <w:ind w:firstLine="8"/>
        <w:spacing w:after="0" w:line="237" w:lineRule="auto"/>
        <w:tabs>
          <w:tab w:leader="none" w:pos="3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asserting a claim arising pursuant to any provision of the Delaware General Corporation Law or (iv) any action asserting a claim governed by the internal affairs doctrine.</w:t>
      </w:r>
    </w:p>
    <w:p>
      <w:pPr>
        <w:spacing w:after="0" w:line="13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This exclusive forum provision will not apply to claims under the Securities Exchange Act of 1934, but will apply to other state and federal law claims including actions arising under the Securities Act of 1933 (although the Company’s stockholders will not be deemed to have waived the Company’s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Any person or entity purchasing or otherwise acquiring any interest in shares of the Company’s capital stock is deemed to have notice of and consented to the foregoing provisions. This forum selection provision in the Company’s By-Laws may limit the Company’s stockholders’ ability to obtain a favorable judicial forum for disputes with the Company. It is also possible that, notwithstanding the forum selection clause included in the Company’s By-Laws, a court could rule that such a provision is inapplicable or unenforceable.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b w:val="1"/>
          <w:bCs w:val="1"/>
          <w:color w:val="auto"/>
        </w:rPr>
        <w:t>ITEM 2.UNREGISTERED SALES OF EQUITY SECURITIES AND USE OF PROCEEDS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(b) None.</w:t>
      </w:r>
    </w:p>
    <w:p>
      <w:pPr>
        <w:spacing w:after="0" w:line="112" w:lineRule="exact"/>
        <w:rPr>
          <w:sz w:val="20"/>
          <w:szCs w:val="20"/>
          <w:color w:val="auto"/>
        </w:rPr>
      </w:pPr>
    </w:p>
    <w:p>
      <w:pPr>
        <w:ind w:left="1260" w:hanging="510"/>
        <w:spacing w:after="0" w:line="258" w:lineRule="auto"/>
        <w:tabs>
          <w:tab w:leader="none" w:pos="12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table provides information with respect to purchases by the Company of shares of its Common Stock during the Current Quarter: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 Number</w:t>
            </w:r>
          </w:p>
        </w:tc>
      </w:t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Shares that may</w:t>
            </w:r>
          </w:p>
        </w:tc>
      </w:tr>
      <w:tr>
        <w:trPr>
          <w:trHeight w:val="203"/>
        </w:trPr>
        <w:tc>
          <w:tcPr>
            <w:tcW w:w="3660" w:type="dxa"/>
            <w:vAlign w:val="bottom"/>
          </w:tcPr>
          <w:p>
            <w:pPr>
              <w:spacing w:after="0"/>
              <w:rPr>
                <w:sz w:val="17"/>
                <w:szCs w:val="17"/>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4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Average Price per</w:t>
            </w:r>
          </w:p>
        </w:tc>
        <w:tc>
          <w:tcPr>
            <w:tcW w:w="1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Part of a Publicly</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 Purchased Under</w:t>
            </w:r>
          </w:p>
        </w:tc>
      </w:tr>
      <w:tr>
        <w:trPr>
          <w:trHeight w:val="215"/>
        </w:trPr>
        <w:tc>
          <w:tcPr>
            <w:tcW w:w="3660" w:type="dxa"/>
            <w:vAlign w:val="bottom"/>
          </w:tcPr>
          <w:p>
            <w:pPr>
              <w:spacing w:after="0"/>
              <w:rPr>
                <w:sz w:val="18"/>
                <w:szCs w:val="18"/>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 Withheld</w:t>
            </w:r>
          </w:p>
        </w:tc>
        <w:tc>
          <w:tcPr>
            <w:tcW w:w="140" w:type="dxa"/>
            <w:vAlign w:val="bottom"/>
          </w:tcPr>
          <w:p>
            <w:pPr>
              <w:spacing w:after="0"/>
              <w:rPr>
                <w:sz w:val="18"/>
                <w:szCs w:val="18"/>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Announced Plan</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the Plan</w:t>
            </w:r>
          </w:p>
        </w:tc>
      </w:tr>
      <w:tr>
        <w:trPr>
          <w:trHeight w:val="210"/>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 2020 to July 31, 2020</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ind w:left="14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r>
      <w:tr>
        <w:trPr>
          <w:trHeight w:val="236"/>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August 1, 2020 to August 31, 2020</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tcPr>
          <w:p>
            <w:pPr>
              <w:spacing w:after="0"/>
              <w:rPr>
                <w:sz w:val="20"/>
                <w:szCs w:val="20"/>
                <w:color w:val="auto"/>
              </w:rPr>
            </w:pPr>
          </w:p>
        </w:tc>
        <w:tc>
          <w:tcPr>
            <w:tcW w:w="16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tcBorders>
          </w:tcPr>
          <w:p>
            <w:pPr>
              <w:spacing w:after="0"/>
              <w:rPr>
                <w:sz w:val="20"/>
                <w:szCs w:val="20"/>
                <w:color w:val="auto"/>
              </w:rPr>
            </w:pPr>
          </w:p>
        </w:tc>
      </w:tr>
      <w:tr>
        <w:trPr>
          <w:trHeight w:val="23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1, 2020 to September 30, 2020</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8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6"/>
                <w:szCs w:val="16"/>
                <w:color w:val="auto"/>
              </w:rPr>
              <w:t>—</w:t>
            </w:r>
          </w:p>
        </w:tc>
      </w:tr>
    </w:tbl>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the three months ended September 30, 2020, the Company acquired for treasury 354 shares of Common Stock for an aggregate purchase price of $838.98 from investment funds managed and controlled by The Carlyle Group (“Carlyle”) to satisfy the exercise price of the Warrants exercised by Carlyle.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3.DEFAULT UPON SENIOR SECURITIES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4.MINE SAFETY DISCLOSURES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5.OTHER INFORMATION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None.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b w:val="1"/>
          <w:bCs w:val="1"/>
          <w:color w:val="auto"/>
        </w:rPr>
        <w:t>ITEM 6.EXHIBITS</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5"/>
              </w:rPr>
              <w:t>31.1</w:t>
            </w:r>
          </w:p>
        </w:tc>
        <w:tc>
          <w:tcPr>
            <w:tcW w:w="93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Certification by the Principal Executive Officer pursuant to Rule 13a-14(a) and Rule 15d-14(a) of the Securities Exchange Act, as</w:t>
              </w:r>
            </w:hyperlink>
          </w:p>
        </w:tc>
        <w:tc>
          <w:tcPr>
            <w:tcW w:w="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amended.</w:t>
              </w:r>
            </w:hyperlink>
          </w:p>
        </w:tc>
        <w:tc>
          <w:tcPr>
            <w:tcW w:w="9340" w:type="dxa"/>
            <w:vAlign w:val="bottom"/>
            <w:gridSpan w:val="2"/>
          </w:tcPr>
          <w:p>
            <w:pPr>
              <w:spacing w:after="0"/>
              <w:rPr>
                <w:sz w:val="17"/>
                <w:szCs w:val="17"/>
                <w:color w:val="auto"/>
              </w:rPr>
            </w:pPr>
          </w:p>
        </w:tc>
      </w:tr>
      <w:tr>
        <w:trPr>
          <w:trHeight w:val="385"/>
        </w:trPr>
        <w:tc>
          <w:tcPr>
            <w:tcW w:w="10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5"/>
              </w:rPr>
              <w:t>31.2</w:t>
            </w:r>
          </w:p>
        </w:tc>
        <w:tc>
          <w:tcPr>
            <w:tcW w:w="10040" w:type="dxa"/>
            <w:vAlign w:val="bottom"/>
            <w:gridSpan w:val="3"/>
          </w:tcPr>
          <w:p>
            <w:pPr>
              <w:spacing w:after="0"/>
              <w:rPr>
                <w:rFonts w:ascii="Times New Roman" w:cs="Times New Roman" w:eastAsia="Times New Roman" w:hAnsi="Times New Roman"/>
                <w:sz w:val="18"/>
                <w:szCs w:val="18"/>
                <w:u w:val="single" w:color="auto"/>
                <w:color w:val="0000EE"/>
                <w:w w:val="99"/>
              </w:rPr>
            </w:pPr>
            <w:hyperlink w:anchor="page65">
              <w:r>
                <w:rPr>
                  <w:rFonts w:ascii="Times New Roman" w:cs="Times New Roman" w:eastAsia="Times New Roman" w:hAnsi="Times New Roman"/>
                  <w:sz w:val="18"/>
                  <w:szCs w:val="18"/>
                  <w:u w:val="single" w:color="auto"/>
                  <w:color w:val="0000EE"/>
                  <w:w w:val="99"/>
                </w:rPr>
                <w:t>Certification by the Principal Financial Officer pursuant to Rule 13a-14(a) and Rule 15d-14(a) of the Securities Exchange Act, as amended.</w:t>
              </w:r>
            </w:hyperlink>
          </w:p>
        </w:tc>
      </w:tr>
    </w:tbl>
    <w:p>
      <w:pPr>
        <w:spacing w:after="0" w:line="130" w:lineRule="exact"/>
        <w:rPr>
          <w:sz w:val="20"/>
          <w:szCs w:val="20"/>
          <w:color w:val="auto"/>
        </w:rPr>
      </w:pPr>
    </w:p>
    <w:p>
      <w:pPr>
        <w:ind w:left="1160" w:right="340" w:hanging="1062"/>
        <w:spacing w:after="0" w:line="282" w:lineRule="auto"/>
        <w:tabs>
          <w:tab w:leader="none" w:pos="1160" w:val="left"/>
        </w:tabs>
        <w:numPr>
          <w:ilvl w:val="0"/>
          <w:numId w:val="35"/>
        </w:numPr>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Certification by the Principal Executive Officer and Chief Financial Officer pursuant to 18 U.S.C. Section 1350, as adopted pursuant to</w:t>
        </w:r>
      </w:hyperlink>
      <w:r>
        <w:rPr>
          <w:rFonts w:ascii="Times New Roman" w:cs="Times New Roman" w:eastAsia="Times New Roman" w:hAnsi="Times New Roman"/>
          <w:sz w:val="18"/>
          <w:szCs w:val="18"/>
          <w:u w:val="single" w:color="auto"/>
          <w:color w:val="0000EE"/>
        </w:rPr>
        <w:t xml:space="preserve"> </w:t>
      </w:r>
      <w:hyperlink w:anchor="page66">
        <w:r>
          <w:rPr>
            <w:rFonts w:ascii="Times New Roman" w:cs="Times New Roman" w:eastAsia="Times New Roman" w:hAnsi="Times New Roman"/>
            <w:sz w:val="18"/>
            <w:szCs w:val="18"/>
            <w:u w:val="single" w:color="auto"/>
            <w:color w:val="0000EE"/>
          </w:rPr>
          <w:t>Section 906 of the Sarbanes-Oxley Act of 2002.</w:t>
        </w:r>
      </w:hyperlink>
    </w:p>
    <w:p>
      <w:pPr>
        <w:sectPr>
          <w:pgSz w:w="11900" w:h="16838" w:orient="portrait"/>
          <w:cols w:equalWidth="0" w:num="1">
            <w:col w:w="11240"/>
          </w:cols>
          <w:pgMar w:left="320" w:top="108" w:right="339" w:bottom="1440" w:gutter="0" w:footer="0" w:header="0"/>
        </w:sectPr>
      </w:pPr>
    </w:p>
    <w:p>
      <w:pPr>
        <w:spacing w:after="0" w:line="9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74" w:lineRule="exact"/>
        <w:rPr>
          <w:rFonts w:ascii="Times New Roman" w:cs="Times New Roman" w:eastAsia="Times New Roman" w:hAnsi="Times New Roman"/>
          <w:sz w:val="18"/>
          <w:szCs w:val="18"/>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94" w:lineRule="exact"/>
        <w:rPr>
          <w:rFonts w:ascii="Times New Roman" w:cs="Times New Roman" w:eastAsia="Times New Roman" w:hAnsi="Times New Roman"/>
          <w:sz w:val="18"/>
          <w:szCs w:val="18"/>
          <w:color w:val="auto"/>
        </w:rPr>
      </w:pPr>
    </w:p>
    <w:p>
      <w:pPr>
        <w:sectPr>
          <w:pgSz w:w="11900" w:h="16838" w:orient="portrait"/>
          <w:cols w:equalWidth="0" w:num="2">
            <w:col w:w="800" w:space="360"/>
            <w:col w:w="1008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w:t>
      </w:r>
    </w:p>
    <w:p>
      <w:pPr>
        <w:spacing w:after="0" w:line="169" w:lineRule="exact"/>
        <w:rPr>
          <w:rFonts w:ascii="Times New Roman" w:cs="Times New Roman" w:eastAsia="Times New Roman" w:hAnsi="Times New Roman"/>
          <w:sz w:val="18"/>
          <w:szCs w:val="18"/>
          <w:color w:val="auto"/>
        </w:rPr>
      </w:pPr>
    </w:p>
    <w:p>
      <w:pPr>
        <w:sectPr>
          <w:pgSz w:w="11900" w:h="16838" w:orient="portrait"/>
          <w:cols w:equalWidth="0" w:num="2">
            <w:col w:w="860" w:space="300"/>
            <w:col w:w="1008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p>
      <w:pPr>
        <w:spacing w:after="0" w:line="169" w:lineRule="exact"/>
        <w:rPr>
          <w:rFonts w:ascii="Times New Roman" w:cs="Times New Roman" w:eastAsia="Times New Roman" w:hAnsi="Times New Roman"/>
          <w:sz w:val="18"/>
          <w:szCs w:val="18"/>
          <w:color w:val="auto"/>
        </w:rPr>
      </w:pPr>
    </w:p>
    <w:p>
      <w:pPr>
        <w:sectPr>
          <w:pgSz w:w="11900" w:h="16838" w:orient="portrait"/>
          <w:cols w:equalWidth="0" w:num="2">
            <w:col w:w="860" w:space="300"/>
            <w:col w:w="1008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p>
      <w:pPr>
        <w:spacing w:after="0" w:line="169" w:lineRule="exact"/>
        <w:rPr>
          <w:rFonts w:ascii="Times New Roman" w:cs="Times New Roman" w:eastAsia="Times New Roman" w:hAnsi="Times New Roman"/>
          <w:sz w:val="18"/>
          <w:szCs w:val="18"/>
          <w:color w:val="auto"/>
        </w:rPr>
      </w:pPr>
    </w:p>
    <w:p>
      <w:pPr>
        <w:sectPr>
          <w:pgSz w:w="11900" w:h="16838" w:orient="portrait"/>
          <w:cols w:equalWidth="0" w:num="2">
            <w:col w:w="840" w:space="320"/>
            <w:col w:w="1008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p>
      <w:pPr>
        <w:spacing w:after="0" w:line="169" w:lineRule="exact"/>
        <w:rPr>
          <w:rFonts w:ascii="Times New Roman" w:cs="Times New Roman" w:eastAsia="Times New Roman" w:hAnsi="Times New Roman"/>
          <w:sz w:val="18"/>
          <w:szCs w:val="18"/>
          <w:color w:val="auto"/>
        </w:rPr>
      </w:pPr>
    </w:p>
    <w:p>
      <w:pPr>
        <w:sectPr>
          <w:pgSz w:w="11900" w:h="16838" w:orient="portrait"/>
          <w:cols w:equalWidth="0" w:num="2">
            <w:col w:w="860" w:space="300"/>
            <w:col w:w="1008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p>
      <w:pPr>
        <w:spacing w:after="0" w:line="169" w:lineRule="exact"/>
        <w:rPr>
          <w:rFonts w:ascii="Times New Roman" w:cs="Times New Roman" w:eastAsia="Times New Roman" w:hAnsi="Times New Roman"/>
          <w:sz w:val="18"/>
          <w:szCs w:val="18"/>
          <w:color w:val="auto"/>
        </w:rPr>
      </w:pPr>
    </w:p>
    <w:p>
      <w:pPr>
        <w:sectPr>
          <w:pgSz w:w="11900" w:h="16838" w:orient="portrait"/>
          <w:cols w:equalWidth="0" w:num="2">
            <w:col w:w="840" w:space="320"/>
            <w:col w:w="10080"/>
          </w:cols>
          <w:pgMar w:left="320" w:top="108" w:right="339" w:bottom="1440" w:gutter="0" w:footer="0" w:header="0"/>
          <w:type w:val="continuous"/>
        </w:sectPr>
      </w:pPr>
    </w:p>
    <w:p>
      <w:pPr>
        <w:ind w:left="1160" w:right="100" w:hanging="1152"/>
        <w:spacing w:after="0" w:line="282" w:lineRule="auto"/>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for the quarter ended September 30, 2020, has been formatted in Inline XBRL.</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903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color w:val="auto"/>
        </w:rPr>
      </w:pPr>
    </w:p>
    <w:p>
      <w:pPr>
        <w:ind w:left="380" w:right="20" w:hanging="372"/>
        <w:spacing w:after="0" w:line="273"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A copy of any omitted schedule will be furnished to the SEC upon request.</w:t>
      </w:r>
    </w:p>
    <w:p>
      <w:pPr>
        <w:spacing w:after="0" w:line="2"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5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8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SEACOR Marine Holdings Inc.</w:t>
            </w:r>
          </w:p>
        </w:tc>
      </w:tr>
      <w:tr>
        <w:trPr>
          <w:trHeight w:val="282"/>
        </w:trPr>
        <w:tc>
          <w:tcPr>
            <w:tcW w:w="3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(Registrant)</w:t>
            </w:r>
          </w:p>
        </w:tc>
      </w:tr>
      <w:tr>
        <w:trPr>
          <w:trHeight w:val="474"/>
        </w:trPr>
        <w:tc>
          <w:tcPr>
            <w:tcW w:w="388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5, 2020</w:t>
            </w:r>
          </w:p>
        </w:tc>
        <w:tc>
          <w:tcPr>
            <w:tcW w:w="3880" w:type="dxa"/>
            <w:vAlign w:val="bottom"/>
          </w:tcPr>
          <w:p>
            <w:pPr>
              <w:ind w:left="3180"/>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John Gellert</w:t>
            </w:r>
          </w:p>
        </w:tc>
      </w:tr>
      <w:tr>
        <w:trPr>
          <w:trHeight w:val="205"/>
        </w:trPr>
        <w:tc>
          <w:tcPr>
            <w:tcW w:w="38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0" w:type="dxa"/>
            <w:vAlign w:val="bottom"/>
          </w:tcPr>
          <w:p>
            <w:pPr>
              <w:spacing w:after="0" w:line="205" w:lineRule="exact"/>
              <w:rPr>
                <w:sz w:val="20"/>
                <w:szCs w:val="20"/>
                <w:color w:val="auto"/>
              </w:rPr>
            </w:pPr>
            <w:r>
              <w:rPr>
                <w:rFonts w:ascii="Times New Roman" w:cs="Times New Roman" w:eastAsia="Times New Roman" w:hAnsi="Times New Roman"/>
                <w:sz w:val="22"/>
                <w:szCs w:val="22"/>
                <w:color w:val="auto"/>
              </w:rPr>
              <w:t xml:space="preserve">John Gellert, </w:t>
            </w:r>
            <w:r>
              <w:rPr>
                <w:rFonts w:ascii="Times New Roman" w:cs="Times New Roman" w:eastAsia="Times New Roman" w:hAnsi="Times New Roman"/>
                <w:sz w:val="22"/>
                <w:szCs w:val="22"/>
                <w:i w:val="1"/>
                <w:iCs w:val="1"/>
                <w:color w:val="auto"/>
              </w:rPr>
              <w:t>President,</w:t>
            </w:r>
          </w:p>
        </w:tc>
      </w:tr>
      <w:tr>
        <w:trPr>
          <w:trHeight w:val="243"/>
        </w:trPr>
        <w:tc>
          <w:tcPr>
            <w:tcW w:w="38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Chief Executive Officer</w:t>
            </w:r>
          </w:p>
        </w:tc>
      </w:tr>
      <w:tr>
        <w:trPr>
          <w:trHeight w:val="286"/>
        </w:trPr>
        <w:tc>
          <w:tcPr>
            <w:tcW w:w="3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(Principal Executive Officer)</w:t>
            </w:r>
          </w:p>
        </w:tc>
      </w:tr>
      <w:tr>
        <w:trPr>
          <w:trHeight w:val="474"/>
        </w:trPr>
        <w:tc>
          <w:tcPr>
            <w:tcW w:w="388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5, 2020</w:t>
            </w:r>
          </w:p>
        </w:tc>
        <w:tc>
          <w:tcPr>
            <w:tcW w:w="3880" w:type="dxa"/>
            <w:vAlign w:val="bottom"/>
          </w:tcPr>
          <w:p>
            <w:pPr>
              <w:ind w:left="3180"/>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Jesús Llorca</w:t>
            </w:r>
          </w:p>
        </w:tc>
      </w:tr>
      <w:tr>
        <w:trPr>
          <w:trHeight w:val="205"/>
        </w:trPr>
        <w:tc>
          <w:tcPr>
            <w:tcW w:w="38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0" w:type="dxa"/>
            <w:vAlign w:val="bottom"/>
          </w:tcPr>
          <w:p>
            <w:pPr>
              <w:spacing w:after="0" w:line="205" w:lineRule="exact"/>
              <w:rPr>
                <w:sz w:val="20"/>
                <w:szCs w:val="20"/>
                <w:color w:val="auto"/>
              </w:rPr>
            </w:pPr>
            <w:r>
              <w:rPr>
                <w:rFonts w:ascii="Times New Roman" w:cs="Times New Roman" w:eastAsia="Times New Roman" w:hAnsi="Times New Roman"/>
                <w:sz w:val="22"/>
                <w:szCs w:val="22"/>
                <w:color w:val="auto"/>
                <w:w w:val="99"/>
              </w:rPr>
              <w:t xml:space="preserve">Jesús Llorca, </w:t>
            </w:r>
            <w:r>
              <w:rPr>
                <w:rFonts w:ascii="Times New Roman" w:cs="Times New Roman" w:eastAsia="Times New Roman" w:hAnsi="Times New Roman"/>
                <w:sz w:val="22"/>
                <w:szCs w:val="22"/>
                <w:i w:val="1"/>
                <w:iCs w:val="1"/>
                <w:color w:val="auto"/>
                <w:w w:val="99"/>
              </w:rPr>
              <w:t>Executive Vice President</w:t>
            </w:r>
          </w:p>
        </w:tc>
      </w:tr>
      <w:tr>
        <w:trPr>
          <w:trHeight w:val="243"/>
        </w:trPr>
        <w:tc>
          <w:tcPr>
            <w:tcW w:w="38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and Chief Financial Officer</w:t>
            </w:r>
          </w:p>
        </w:tc>
      </w:tr>
      <w:tr>
        <w:trPr>
          <w:trHeight w:val="286"/>
        </w:trPr>
        <w:tc>
          <w:tcPr>
            <w:tcW w:w="3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(Principal Financial Officer)</w:t>
            </w:r>
          </w:p>
        </w:tc>
      </w:tr>
      <w:tr>
        <w:trPr>
          <w:trHeight w:val="474"/>
        </w:trPr>
        <w:tc>
          <w:tcPr>
            <w:tcW w:w="3880" w:type="dxa"/>
            <w:vAlign w:val="bottom"/>
          </w:tcPr>
          <w:p>
            <w:pPr>
              <w:spacing w:after="0"/>
              <w:rPr>
                <w:sz w:val="20"/>
                <w:szCs w:val="20"/>
                <w:color w:val="auto"/>
              </w:rPr>
            </w:pPr>
            <w:r>
              <w:rPr>
                <w:rFonts w:ascii="Times New Roman" w:cs="Times New Roman" w:eastAsia="Times New Roman" w:hAnsi="Times New Roman"/>
                <w:sz w:val="22"/>
                <w:szCs w:val="22"/>
                <w:color w:val="auto"/>
              </w:rPr>
              <w:t>DATE: November 5, 2020</w:t>
            </w:r>
          </w:p>
        </w:tc>
        <w:tc>
          <w:tcPr>
            <w:tcW w:w="3880" w:type="dxa"/>
            <w:vAlign w:val="bottom"/>
          </w:tcPr>
          <w:p>
            <w:pPr>
              <w:ind w:left="3180"/>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Gregory S. Rossmiller</w:t>
            </w:r>
          </w:p>
        </w:tc>
      </w:tr>
      <w:tr>
        <w:trPr>
          <w:trHeight w:val="205"/>
        </w:trPr>
        <w:tc>
          <w:tcPr>
            <w:tcW w:w="38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0" w:type="dxa"/>
            <w:vAlign w:val="bottom"/>
          </w:tcPr>
          <w:p>
            <w:pPr>
              <w:spacing w:after="0" w:line="205" w:lineRule="exact"/>
              <w:rPr>
                <w:sz w:val="20"/>
                <w:szCs w:val="20"/>
                <w:color w:val="auto"/>
              </w:rPr>
            </w:pPr>
            <w:r>
              <w:rPr>
                <w:rFonts w:ascii="Times New Roman" w:cs="Times New Roman" w:eastAsia="Times New Roman" w:hAnsi="Times New Roman"/>
                <w:sz w:val="22"/>
                <w:szCs w:val="22"/>
                <w:color w:val="auto"/>
              </w:rPr>
              <w:t>Gregory S. Rossmiller,</w:t>
            </w:r>
          </w:p>
        </w:tc>
      </w:tr>
      <w:tr>
        <w:trPr>
          <w:trHeight w:val="243"/>
        </w:trPr>
        <w:tc>
          <w:tcPr>
            <w:tcW w:w="38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Senior Vice President</w:t>
            </w:r>
          </w:p>
        </w:tc>
      </w:tr>
      <w:tr>
        <w:trPr>
          <w:trHeight w:val="243"/>
        </w:trPr>
        <w:tc>
          <w:tcPr>
            <w:tcW w:w="38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and Chief Accounting Officer</w:t>
            </w:r>
          </w:p>
        </w:tc>
      </w:tr>
      <w:tr>
        <w:trPr>
          <w:trHeight w:val="286"/>
        </w:trPr>
        <w:tc>
          <w:tcPr>
            <w:tcW w:w="3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(Principal Accounting Officer)</w:t>
            </w:r>
          </w:p>
        </w:tc>
      </w:tr>
      <w:tr>
        <w:trPr>
          <w:trHeight w:val="918"/>
        </w:trPr>
        <w:tc>
          <w:tcPr>
            <w:tcW w:w="3880" w:type="dxa"/>
            <w:vAlign w:val="bottom"/>
          </w:tcPr>
          <w:p>
            <w:pPr>
              <w:spacing w:after="0"/>
              <w:rPr>
                <w:sz w:val="24"/>
                <w:szCs w:val="24"/>
                <w:color w:val="auto"/>
              </w:rPr>
            </w:pPr>
          </w:p>
        </w:tc>
        <w:tc>
          <w:tcPr>
            <w:tcW w:w="3880" w:type="dxa"/>
            <w:vAlign w:val="bottom"/>
          </w:tcPr>
          <w:p>
            <w:pPr>
              <w:jc w:val="right"/>
              <w:ind w:right="1992"/>
              <w:spacing w:after="0"/>
              <w:rPr>
                <w:sz w:val="20"/>
                <w:szCs w:val="20"/>
                <w:color w:val="auto"/>
              </w:rPr>
            </w:pPr>
            <w:r>
              <w:rPr>
                <w:rFonts w:ascii="Times New Roman" w:cs="Times New Roman" w:eastAsia="Times New Roman" w:hAnsi="Times New Roman"/>
                <w:sz w:val="22"/>
                <w:szCs w:val="22"/>
                <w:color w:val="auto"/>
              </w:rPr>
              <w:t>61</w:t>
            </w:r>
          </w:p>
        </w:tc>
        <w:tc>
          <w:tcPr>
            <w:tcW w:w="3400" w:type="dxa"/>
            <w:vAlign w:val="bottom"/>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Gellert, certify that:</w:t>
      </w:r>
    </w:p>
    <w:p>
      <w:pPr>
        <w:spacing w:after="0" w:line="225" w:lineRule="exact"/>
        <w:rPr>
          <w:sz w:val="20"/>
          <w:szCs w:val="20"/>
          <w:color w:val="auto"/>
        </w:rPr>
      </w:pPr>
    </w:p>
    <w:p>
      <w:pPr>
        <w:ind w:left="780" w:hanging="772"/>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SEACOR Marine Holdings Inc.;</w:t>
      </w:r>
    </w:p>
    <w:p>
      <w:pPr>
        <w:spacing w:after="0" w:line="225" w:lineRule="exact"/>
        <w:rPr>
          <w:rFonts w:ascii="Times New Roman" w:cs="Times New Roman" w:eastAsia="Times New Roman" w:hAnsi="Times New Roman"/>
          <w:sz w:val="18"/>
          <w:szCs w:val="18"/>
          <w:color w:val="auto"/>
        </w:rPr>
      </w:pPr>
    </w:p>
    <w:p>
      <w:pPr>
        <w:ind w:left="780" w:right="60" w:hanging="772"/>
        <w:spacing w:after="0" w:line="266"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80" w:hanging="772"/>
        <w:spacing w:after="0" w:line="282"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80" w:right="200" w:hanging="772"/>
        <w:spacing w:after="0" w:line="282"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540" w:right="40" w:hanging="763"/>
        <w:spacing w:after="0" w:line="266"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160" w:hanging="763"/>
        <w:spacing w:after="0" w:line="266"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60" w:hanging="763"/>
        <w:spacing w:after="0" w:line="266"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60" w:hanging="763"/>
        <w:spacing w:after="0" w:line="266"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80" w:right="100" w:hanging="772"/>
        <w:spacing w:after="0" w:line="282"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220" w:hanging="763"/>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460" w:hanging="763"/>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Gellert</w:t>
            </w:r>
          </w:p>
        </w:tc>
      </w:tr>
      <w:tr>
        <w:trPr>
          <w:trHeight w:val="189"/>
        </w:trPr>
        <w:tc>
          <w:tcPr>
            <w:tcW w:w="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John Gellert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Jesús Llorca, certify that:</w:t>
      </w:r>
    </w:p>
    <w:p>
      <w:pPr>
        <w:spacing w:after="0" w:line="225" w:lineRule="exact"/>
        <w:rPr>
          <w:sz w:val="20"/>
          <w:szCs w:val="20"/>
          <w:color w:val="auto"/>
        </w:rPr>
      </w:pPr>
    </w:p>
    <w:p>
      <w:pPr>
        <w:ind w:left="780" w:hanging="772"/>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SEACOR Marine Holdings Inc.;</w:t>
      </w:r>
    </w:p>
    <w:p>
      <w:pPr>
        <w:spacing w:after="0" w:line="225" w:lineRule="exact"/>
        <w:rPr>
          <w:rFonts w:ascii="Times New Roman" w:cs="Times New Roman" w:eastAsia="Times New Roman" w:hAnsi="Times New Roman"/>
          <w:sz w:val="18"/>
          <w:szCs w:val="18"/>
          <w:color w:val="auto"/>
        </w:rPr>
      </w:pPr>
    </w:p>
    <w:p>
      <w:pPr>
        <w:ind w:left="780" w:right="60" w:hanging="772"/>
        <w:spacing w:after="0" w:line="266"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80" w:hanging="772"/>
        <w:spacing w:after="0" w:line="282"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80" w:right="200" w:hanging="772"/>
        <w:spacing w:after="0" w:line="282"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540" w:right="40" w:hanging="763"/>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160" w:hanging="763"/>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60" w:hanging="763"/>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60" w:hanging="763"/>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80" w:right="100" w:hanging="772"/>
        <w:spacing w:after="0" w:line="282"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220" w:hanging="763"/>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460" w:hanging="763"/>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5620"/>
        <w:spacing w:after="0"/>
        <w:tabs>
          <w:tab w:leader="none" w:pos="6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2020</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tabs>
          <w:tab w:leader="none" w:pos="6340" w:val="left"/>
        </w:tabs>
        <w:rPr>
          <w:sz w:val="20"/>
          <w:szCs w:val="20"/>
          <w:color w:val="auto"/>
        </w:rPr>
      </w:pPr>
      <w:r>
        <w:rPr>
          <w:rFonts w:ascii="Times New Roman" w:cs="Times New Roman" w:eastAsia="Times New Roman" w:hAnsi="Times New Roman"/>
          <w:sz w:val="18"/>
          <w:szCs w:val="18"/>
          <w:color w:val="auto"/>
        </w:rPr>
        <w:t>Name:</w:t>
        <w:tab/>
        <w:t>Jesús Llorca</w:t>
      </w:r>
    </w:p>
    <w:p>
      <w:pPr>
        <w:spacing w:after="0" w:line="23" w:lineRule="exact"/>
        <w:rPr>
          <w:sz w:val="20"/>
          <w:szCs w:val="20"/>
          <w:color w:val="auto"/>
        </w:rPr>
      </w:pPr>
    </w:p>
    <w:p>
      <w:pPr>
        <w:ind w:left="562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BY SECTION 906 OF THE SARBANES-OXLEY ACT OF 2002</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September 30, 2020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Gellert</w:t>
            </w: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John Gellert</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6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7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5, 2020</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tabs>
          <w:tab w:leader="none" w:pos="64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Jesús Llorca</w:t>
      </w:r>
    </w:p>
    <w:p>
      <w:pPr>
        <w:spacing w:after="0" w:line="23" w:lineRule="exact"/>
        <w:rPr>
          <w:sz w:val="20"/>
          <w:szCs w:val="20"/>
          <w:color w:val="auto"/>
        </w:rPr>
      </w:pPr>
    </w:p>
    <w:p>
      <w:pPr>
        <w:ind w:left="56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Roman"/>
      <w:start w:val="2"/>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7"/>
    </w:lvl>
  </w:abstractNum>
  <w:abstractNum w:abstractNumId="12">
    <w:nsid w:val="189A769B"/>
    <w:multiLevelType w:val="hybridMultilevel"/>
    <w:lvl w:ilvl="0">
      <w:lvlJc w:val="left"/>
      <w:lvlText w:val="%1."/>
      <w:numFmt w:val="decimal"/>
      <w:start w:val="8"/>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9"/>
    </w:lvl>
  </w:abstractNum>
  <w:abstractNum w:abstractNumId="15">
    <w:nsid w:val="2CA88611"/>
    <w:multiLevelType w:val="hybridMultilevel"/>
    <w:lvl w:ilvl="0">
      <w:lvlJc w:val="left"/>
      <w:lvlText w:val="%1."/>
      <w:numFmt w:val="decimal"/>
      <w:start w:val="10"/>
    </w:lvl>
  </w:abstractNum>
  <w:abstractNum w:abstractNumId="16">
    <w:nsid w:val="836C40E"/>
    <w:multiLevelType w:val="hybridMultilevel"/>
    <w:lvl w:ilvl="0">
      <w:lvlJc w:val="left"/>
      <w:lvlText w:val="%1."/>
      <w:numFmt w:val="decimal"/>
      <w:start w:val="1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3"/>
    </w:lvl>
  </w:abstractNum>
  <w:abstractNum w:abstractNumId="20">
    <w:nsid w:val="1E7FF521"/>
    <w:multiLevelType w:val="hybridMultilevel"/>
    <w:lvl w:ilvl="0">
      <w:lvlJc w:val="left"/>
      <w:lvlText w:val="%1."/>
      <w:numFmt w:val="decimal"/>
      <w:start w:val="14"/>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5"/>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Roman"/>
      <w:start w:val="1"/>
    </w:lvl>
  </w:abstractNum>
  <w:abstractNum w:abstractNumId="32">
    <w:nsid w:val="3804823E"/>
    <w:multiLevelType w:val="hybridMultilevel"/>
    <w:lvl w:ilvl="0">
      <w:lvlJc w:val="left"/>
      <w:lvlText w:val="(%1)"/>
      <w:numFmt w:val="lowerRoman"/>
      <w:start w:val="3"/>
    </w:lvl>
  </w:abstractNum>
  <w:abstractNum w:abstractNumId="33">
    <w:nsid w:val="77465F01"/>
    <w:multiLevelType w:val="hybridMultilevel"/>
    <w:lvl w:ilvl="0">
      <w:lvlJc w:val="left"/>
      <w:lvlText w:val="(%1)"/>
      <w:numFmt w:val="lowerLetter"/>
      <w:start w:val="3"/>
    </w:lvl>
  </w:abstractNum>
  <w:abstractNum w:abstractNumId="34">
    <w:nsid w:val="7724C67E"/>
    <w:multiLevelType w:val="hybridMultilevel"/>
    <w:lvl w:ilvl="0">
      <w:lvlJc w:val="left"/>
      <w:lvlText w:val="%1"/>
      <w:numFmt w:val="decimal"/>
      <w:start w:val="32"/>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2020-11-05T05:35:50Z</dcterms:created>
  <dcterms:modified xsi:type="dcterms:W3CDTF">2020-11-05T05:35:50Z</dcterms:modified>
</cp:coreProperties>
</file>