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10-K/A</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16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2" w:lineRule="exact"/>
        <w:rPr>
          <w:sz w:val="24"/>
          <w:szCs w:val="24"/>
          <w:color w:val="auto"/>
        </w:rPr>
      </w:pPr>
    </w:p>
    <w:p>
      <w:pPr>
        <w:ind w:left="4360" w:right="4000" w:hanging="4325"/>
        <w:spacing w:after="0" w:line="339" w:lineRule="auto"/>
        <w:tabs>
          <w:tab w:leader="none" w:pos="39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2017</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82"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5" w:lineRule="exact"/>
        <w:rPr>
          <w:sz w:val="24"/>
          <w:szCs w:val="24"/>
          <w:color w:val="auto"/>
        </w:rPr>
      </w:pPr>
    </w:p>
    <w:p>
      <w:pPr>
        <w:ind w:left="424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1-37966</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SEACOR Marine Holdings Inc.</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3" w:lineRule="exact"/>
        <w:rPr>
          <w:sz w:val="24"/>
          <w:szCs w:val="24"/>
          <w:color w:val="auto"/>
        </w:rPr>
      </w:pPr>
    </w:p>
    <w:tbl>
      <w:tblPr>
        <w:tblLayout w:type="fixed"/>
        <w:tblInd w:w="920" w:type="dxa"/>
        <w:tblCellMar>
          <w:top w:w="0" w:type="dxa"/>
          <w:left w:w="0" w:type="dxa"/>
          <w:bottom w:w="0" w:type="dxa"/>
          <w:right w:w="0" w:type="dxa"/>
        </w:tblCellMar>
      </w:tblPr>
      <w:tr>
        <w:trPr>
          <w:trHeight w:val="213"/>
        </w:trPr>
        <w:tc>
          <w:tcPr>
            <w:tcW w:w="366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4"/>
              </w:rPr>
              <w:t>Delaware</w:t>
            </w:r>
          </w:p>
        </w:tc>
        <w:tc>
          <w:tcPr>
            <w:tcW w:w="2060" w:type="dxa"/>
            <w:vAlign w:val="bottom"/>
            <w:tcBorders>
              <w:top w:val="single" w:sz="8" w:color="auto"/>
            </w:tcBorders>
          </w:tcPr>
          <w:p>
            <w:pPr>
              <w:spacing w:after="0"/>
              <w:rPr>
                <w:sz w:val="18"/>
                <w:szCs w:val="18"/>
                <w:color w:val="auto"/>
              </w:rPr>
            </w:pPr>
          </w:p>
        </w:tc>
        <w:tc>
          <w:tcPr>
            <w:tcW w:w="3560" w:type="dxa"/>
            <w:vAlign w:val="bottom"/>
            <w:gridSpan w:val="2"/>
          </w:tcPr>
          <w:p>
            <w:pPr>
              <w:jc w:val="right"/>
              <w:ind w:right="748"/>
              <w:spacing w:after="0"/>
              <w:rPr>
                <w:sz w:val="20"/>
                <w:szCs w:val="20"/>
                <w:color w:val="auto"/>
              </w:rPr>
            </w:pPr>
            <w:r>
              <w:rPr>
                <w:rFonts w:ascii="Arial" w:cs="Arial" w:eastAsia="Arial" w:hAnsi="Arial"/>
                <w:sz w:val="14"/>
                <w:szCs w:val="14"/>
                <w:b w:val="1"/>
                <w:bCs w:val="1"/>
                <w:color w:val="auto"/>
              </w:rPr>
              <w:t>47-2564547</w:t>
            </w: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3"/>
              </w:rPr>
              <w:t>(State or Other Jurisdiction of</w:t>
            </w:r>
          </w:p>
        </w:tc>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0" w:type="dxa"/>
            <w:vAlign w:val="bottom"/>
          </w:tcPr>
          <w:p>
            <w:pPr>
              <w:jc w:val="center"/>
              <w:ind w:left="36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66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5"/>
              </w:rPr>
              <w:t>Incorporation or Organization)</w:t>
            </w:r>
          </w:p>
        </w:tc>
        <w:tc>
          <w:tcPr>
            <w:tcW w:w="2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0" w:type="dxa"/>
            <w:vAlign w:val="bottom"/>
          </w:tcPr>
          <w:p>
            <w:pPr>
              <w:jc w:val="center"/>
              <w:ind w:left="38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86"/>
        </w:trPr>
        <w:tc>
          <w:tcPr>
            <w:tcW w:w="3660" w:type="dxa"/>
            <w:vAlign w:val="bottom"/>
            <w:gridSpan w:val="3"/>
          </w:tcPr>
          <w:p>
            <w:pPr>
              <w:jc w:val="center"/>
              <w:ind w:right="828"/>
              <w:spacing w:after="0"/>
              <w:rPr>
                <w:sz w:val="20"/>
                <w:szCs w:val="20"/>
                <w:color w:val="auto"/>
              </w:rPr>
            </w:pPr>
            <w:r>
              <w:rPr>
                <w:rFonts w:ascii="Arial" w:cs="Arial" w:eastAsia="Arial" w:hAnsi="Arial"/>
                <w:sz w:val="14"/>
                <w:szCs w:val="14"/>
                <w:b w:val="1"/>
                <w:bCs w:val="1"/>
                <w:color w:val="auto"/>
                <w:w w:val="94"/>
              </w:rPr>
              <w:t>7910 Main Street, 2nd Floor</w:t>
            </w:r>
          </w:p>
        </w:tc>
        <w:tc>
          <w:tcPr>
            <w:tcW w:w="5620" w:type="dxa"/>
            <w:vAlign w:val="bottom"/>
            <w:gridSpan w:val="3"/>
            <w:vMerge w:val="restart"/>
          </w:tcPr>
          <w:p>
            <w:pPr>
              <w:jc w:val="right"/>
              <w:ind w:right="928"/>
              <w:spacing w:after="0"/>
              <w:rPr>
                <w:sz w:val="20"/>
                <w:szCs w:val="20"/>
                <w:color w:val="auto"/>
              </w:rPr>
            </w:pPr>
            <w:r>
              <w:rPr>
                <w:rFonts w:ascii="Arial" w:cs="Arial" w:eastAsia="Arial" w:hAnsi="Arial"/>
                <w:sz w:val="14"/>
                <w:szCs w:val="14"/>
                <w:b w:val="1"/>
                <w:bCs w:val="1"/>
                <w:color w:val="auto"/>
              </w:rPr>
              <w:t>70360</w:t>
            </w:r>
          </w:p>
        </w:tc>
        <w:tc>
          <w:tcPr>
            <w:tcW w:w="0" w:type="dxa"/>
            <w:vAlign w:val="bottom"/>
          </w:tcPr>
          <w:p>
            <w:pPr>
              <w:spacing w:after="0"/>
              <w:rPr>
                <w:sz w:val="1"/>
                <w:szCs w:val="1"/>
                <w:color w:val="auto"/>
              </w:rPr>
            </w:pPr>
          </w:p>
        </w:tc>
      </w:tr>
      <w:tr>
        <w:trPr>
          <w:trHeight w:val="186"/>
        </w:trPr>
        <w:tc>
          <w:tcPr>
            <w:tcW w:w="366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4"/>
              </w:rPr>
              <w:t>Houma, Louisiana</w:t>
            </w:r>
          </w:p>
        </w:tc>
        <w:tc>
          <w:tcPr>
            <w:tcW w:w="56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gridSpan w:val="3"/>
          </w:tcPr>
          <w:p>
            <w:pPr>
              <w:jc w:val="center"/>
              <w:ind w:right="828"/>
              <w:spacing w:after="0"/>
              <w:rPr>
                <w:sz w:val="20"/>
                <w:szCs w:val="20"/>
                <w:color w:val="auto"/>
              </w:rPr>
            </w:pPr>
            <w:r>
              <w:rPr>
                <w:rFonts w:ascii="Arial" w:cs="Arial" w:eastAsia="Arial" w:hAnsi="Arial"/>
                <w:sz w:val="14"/>
                <w:szCs w:val="14"/>
                <w:b w:val="1"/>
                <w:bCs w:val="1"/>
                <w:color w:val="auto"/>
                <w:w w:val="92"/>
              </w:rPr>
              <w:t>(Address of Principal Executive Office)</w:t>
            </w:r>
          </w:p>
        </w:tc>
        <w:tc>
          <w:tcPr>
            <w:tcW w:w="2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0" w:type="dxa"/>
            <w:vAlign w:val="bottom"/>
          </w:tcPr>
          <w:p>
            <w:pPr>
              <w:jc w:val="center"/>
              <w:ind w:left="38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80" w:type="dxa"/>
            <w:vAlign w:val="bottom"/>
            <w:gridSpan w:val="4"/>
          </w:tcPr>
          <w:p>
            <w:pPr>
              <w:ind w:left="340"/>
              <w:spacing w:after="0"/>
              <w:rPr>
                <w:sz w:val="20"/>
                <w:szCs w:val="20"/>
                <w:color w:val="auto"/>
              </w:rPr>
            </w:pPr>
            <w:r>
              <w:rPr>
                <w:rFonts w:ascii="Arial" w:cs="Arial" w:eastAsia="Arial" w:hAnsi="Arial"/>
                <w:sz w:val="14"/>
                <w:szCs w:val="14"/>
                <w:b w:val="1"/>
                <w:bCs w:val="1"/>
                <w:color w:val="auto"/>
              </w:rPr>
              <w:t>Registrant’s telephone number, including area code (985) 876-5400</w:t>
            </w:r>
          </w:p>
        </w:tc>
        <w:tc>
          <w:tcPr>
            <w:tcW w:w="0" w:type="dxa"/>
            <w:vAlign w:val="bottom"/>
          </w:tcPr>
          <w:p>
            <w:pPr>
              <w:spacing w:after="0"/>
              <w:rPr>
                <w:sz w:val="1"/>
                <w:szCs w:val="1"/>
                <w:color w:val="auto"/>
              </w:rPr>
            </w:pPr>
          </w:p>
        </w:tc>
      </w:tr>
      <w:tr>
        <w:trPr>
          <w:trHeight w:val="351"/>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w w:val="94"/>
              </w:rPr>
              <w:t>Securities registered pursuant to Section 12(b) of the Act:</w:t>
            </w:r>
          </w:p>
        </w:tc>
        <w:tc>
          <w:tcPr>
            <w:tcW w:w="2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Pr>
          <w:p>
            <w:pPr>
              <w:spacing w:after="0"/>
              <w:rPr>
                <w:sz w:val="21"/>
                <w:szCs w:val="21"/>
                <w:color w:val="auto"/>
              </w:rPr>
            </w:pPr>
          </w:p>
        </w:tc>
        <w:tc>
          <w:tcPr>
            <w:tcW w:w="2400" w:type="dxa"/>
            <w:vAlign w:val="bottom"/>
            <w:gridSpan w:val="2"/>
          </w:tcPr>
          <w:p>
            <w:pPr>
              <w:jc w:val="center"/>
              <w:ind w:right="1188"/>
              <w:spacing w:after="0"/>
              <w:rPr>
                <w:sz w:val="20"/>
                <w:szCs w:val="20"/>
                <w:color w:val="auto"/>
              </w:rPr>
            </w:pPr>
            <w:r>
              <w:rPr>
                <w:rFonts w:ascii="Arial" w:cs="Arial" w:eastAsia="Arial" w:hAnsi="Arial"/>
                <w:sz w:val="14"/>
                <w:szCs w:val="14"/>
                <w:b w:val="1"/>
                <w:bCs w:val="1"/>
                <w:color w:val="auto"/>
                <w:w w:val="91"/>
              </w:rPr>
              <w:t>Title of Each Class</w:t>
            </w:r>
          </w:p>
        </w:tc>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Common Stock, par value $.01 per share</w:t>
            </w: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w:t>
            </w:r>
          </w:p>
        </w:tc>
        <w:tc>
          <w:tcPr>
            <w:tcW w:w="0" w:type="dxa"/>
            <w:vAlign w:val="bottom"/>
          </w:tcPr>
          <w:p>
            <w:pPr>
              <w:spacing w:after="0"/>
              <w:rPr>
                <w:sz w:val="1"/>
                <w:szCs w:val="1"/>
                <w:color w:val="auto"/>
              </w:rPr>
            </w:pPr>
          </w:p>
        </w:tc>
      </w:tr>
    </w:tbl>
    <w:p>
      <w:pPr>
        <w:spacing w:after="0" w:line="205" w:lineRule="exact"/>
        <w:rPr>
          <w:sz w:val="24"/>
          <w:szCs w:val="24"/>
          <w:color w:val="auto"/>
        </w:rPr>
      </w:pPr>
    </w:p>
    <w:p>
      <w:pPr>
        <w:ind w:left="920"/>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25" w:lineRule="exact"/>
        <w:rPr>
          <w:sz w:val="24"/>
          <w:szCs w:val="24"/>
          <w:color w:val="auto"/>
        </w:rPr>
      </w:pPr>
    </w:p>
    <w:p>
      <w:pPr>
        <w:ind w:left="340" w:right="3220"/>
        <w:spacing w:after="0" w:line="16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o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 w:lineRule="exact"/>
        <w:rPr>
          <w:sz w:val="24"/>
          <w:szCs w:val="24"/>
          <w:color w:val="auto"/>
        </w:rPr>
      </w:pPr>
    </w:p>
    <w:p>
      <w:pPr>
        <w:ind w:right="20"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ind w:right="20" w:firstLine="324"/>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ind w:firstLine="324"/>
        <w:spacing w:after="0" w:line="241"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 w:lineRule="exact"/>
        <w:rPr>
          <w:sz w:val="24"/>
          <w:szCs w:val="24"/>
          <w:color w:val="auto"/>
        </w:rPr>
      </w:pPr>
    </w:p>
    <w:p>
      <w:pPr>
        <w:ind w:right="20" w:firstLine="324"/>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927" w:right="239" w:bottom="1440" w:gutter="0" w:footer="0" w:header="0"/>
        </w:sectPr>
      </w:pPr>
    </w:p>
    <w:p>
      <w:pPr>
        <w:spacing w:after="0" w:line="1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o</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jc w:val="center"/>
        <w:ind w:right="480"/>
        <w:spacing w:after="0"/>
        <w:rPr>
          <w:sz w:val="20"/>
          <w:szCs w:val="20"/>
          <w:color w:val="auto"/>
        </w:rPr>
      </w:pPr>
      <w:r>
        <w:rPr>
          <w:rFonts w:ascii="Arial" w:cs="Arial" w:eastAsia="Arial" w:hAnsi="Arial"/>
          <w:sz w:val="13"/>
          <w:szCs w:val="13"/>
          <w:color w:val="auto"/>
        </w:rPr>
        <w:t>Accelerated filer o</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 x</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 x</w:t>
      </w:r>
    </w:p>
    <w:p>
      <w:pPr>
        <w:spacing w:after="0" w:line="10" w:lineRule="exact"/>
        <w:rPr>
          <w:sz w:val="24"/>
          <w:szCs w:val="24"/>
          <w:color w:val="auto"/>
        </w:rPr>
      </w:pPr>
    </w:p>
    <w:p>
      <w:pPr>
        <w:sectPr>
          <w:pgSz w:w="11900" w:h="16838" w:orient="portrait"/>
          <w:cols w:equalWidth="0" w:num="5">
            <w:col w:w="2060" w:space="720"/>
            <w:col w:w="1600" w:space="720"/>
            <w:col w:w="1560" w:space="720"/>
            <w:col w:w="1720" w:space="440"/>
            <w:col w:w="1880"/>
          </w:cols>
          <w:pgMar w:left="240" w:top="927" w:right="239" w:bottom="1440" w:gutter="0" w:footer="0" w:header="0"/>
          <w:type w:val="continuous"/>
        </w:sectPr>
      </w:pPr>
    </w:p>
    <w:p>
      <w:pPr>
        <w:jc w:val="center"/>
        <w:ind w:right="-159"/>
        <w:spacing w:after="0"/>
        <w:rPr>
          <w:sz w:val="20"/>
          <w:szCs w:val="20"/>
          <w:color w:val="auto"/>
        </w:rPr>
      </w:pPr>
      <w:r>
        <w:rPr>
          <w:rFonts w:ascii="Arial" w:cs="Arial" w:eastAsia="Arial" w:hAnsi="Arial"/>
          <w:sz w:val="13"/>
          <w:szCs w:val="13"/>
          <w:color w:val="auto"/>
        </w:rPr>
        <w:t>(Do not check if a smaller</w:t>
      </w:r>
    </w:p>
    <w:p>
      <w:pPr>
        <w:jc w:val="center"/>
        <w:ind w:right="-159"/>
        <w:spacing w:after="0"/>
        <w:rPr>
          <w:sz w:val="20"/>
          <w:szCs w:val="20"/>
          <w:color w:val="auto"/>
        </w:rPr>
      </w:pPr>
      <w:r>
        <w:rPr>
          <w:rFonts w:ascii="Arial" w:cs="Arial" w:eastAsia="Arial" w:hAnsi="Arial"/>
          <w:sz w:val="14"/>
          <w:szCs w:val="14"/>
          <w:color w:val="auto"/>
        </w:rPr>
        <w:t>reporting company)</w:t>
      </w:r>
    </w:p>
    <w:p>
      <w:pPr>
        <w:sectPr>
          <w:pgSz w:w="11900" w:h="16838" w:orient="portrait"/>
          <w:cols w:equalWidth="0" w:num="1">
            <w:col w:w="11420"/>
          </w:cols>
          <w:pgMar w:left="240" w:top="927" w:right="239" w:bottom="1440" w:gutter="0" w:footer="0" w:header="0"/>
          <w:type w:val="continuous"/>
        </w:sectPr>
      </w:pPr>
    </w:p>
    <w:p>
      <w:pPr>
        <w:spacing w:after="0" w:line="9" w:lineRule="exact"/>
        <w:rPr>
          <w:sz w:val="24"/>
          <w:szCs w:val="24"/>
          <w:color w:val="auto"/>
        </w:rPr>
      </w:pPr>
    </w:p>
    <w:p>
      <w:pPr>
        <w:ind w:right="420" w:firstLine="648"/>
        <w:spacing w:after="0" w:line="244"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 w:lineRule="exact"/>
        <w:rPr>
          <w:sz w:val="24"/>
          <w:szCs w:val="24"/>
          <w:color w:val="auto"/>
        </w:rPr>
      </w:pPr>
    </w:p>
    <w:p>
      <w:pPr>
        <w:ind w:left="340"/>
        <w:spacing w:after="0" w:line="150" w:lineRule="exact"/>
        <w:tabs>
          <w:tab w:leader="none" w:pos="722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18" w:lineRule="exact"/>
        <w:rPr>
          <w:sz w:val="24"/>
          <w:szCs w:val="24"/>
          <w:color w:val="auto"/>
        </w:rPr>
      </w:pPr>
    </w:p>
    <w:p>
      <w:pPr>
        <w:ind w:firstLine="324"/>
        <w:spacing w:after="0" w:line="249" w:lineRule="auto"/>
        <w:rPr>
          <w:sz w:val="20"/>
          <w:szCs w:val="20"/>
          <w:color w:val="auto"/>
        </w:rPr>
      </w:pPr>
      <w:r>
        <w:rPr>
          <w:rFonts w:ascii="Arial" w:cs="Arial" w:eastAsia="Arial" w:hAnsi="Arial"/>
          <w:sz w:val="14"/>
          <w:szCs w:val="14"/>
          <w:color w:val="auto"/>
        </w:rPr>
        <w:t>The aggregate market value of the voting stock of the registrant held by non-affiliates as of June 30, 2017 was approximately $332,370,118 based on the closing price on the New York Stock Exchange on such date. The total number of shares of Common Stock issued and outstanding as of March 20, 2018 was 17,683,356.</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ind w:firstLine="324"/>
        <w:spacing w:after="0" w:line="255" w:lineRule="auto"/>
        <w:rPr>
          <w:sz w:val="20"/>
          <w:szCs w:val="20"/>
          <w:color w:val="auto"/>
        </w:rPr>
      </w:pPr>
      <w:r>
        <w:rPr>
          <w:rFonts w:ascii="Arial" w:cs="Arial" w:eastAsia="Arial" w:hAnsi="Arial"/>
          <w:sz w:val="14"/>
          <w:szCs w:val="14"/>
          <w:color w:val="auto"/>
        </w:rPr>
        <w:t>Portions of the Registrant’s definitive proxy statement for its 2018 Annual Meeting of Stockholders to be filed with the Securities and Exchange Commission (the “Commission”) pursuant to Regulation 14A within 120 days after the end of the Registrant’s last fiscal year is incorporated by reference into Part III of this Annual Report on 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Amendment No. 1 to the Annual Report on Form 10-K of SEACOR Marine Holdings Inc. (the “Amendment”) amends SEACOR Marine Holdings Inc.’s Annual Report on Form 10-K for the year ended December 31, 2017, which SEACOR Marine Holdings Inc. (the "Company") filed with the Securities and Exchange Commission (“SEC”) on March 22, 2018 (the “Original Form 10-K”). The Company is filing this Amendment to amend Item 15 to include the consolidated financial statements of its foreign equity investee, Mantenimiento Express Maritimo, S.A.P.I. de C.V. (“MexMar”), as of and for the years ended December 31, 2017, 2016 and 2015 (the “MexMar Financial Statements”) in accordance with Rule 3-09 of SEC Regulation S-X ("Rule 3-09"). MexMar was significant under the income test of Rule 3-09 for the year ended December 31, 2015 but not for any year thereafter. As a result, under Rule 3-09, the Company has included in this Amendment audited financial statements for 2015 and unaudited financial statements for 2016 and 2017. The MexMar Financial Statements, which were prepared by MexMar, were audited in accordance with the standards of the Public Company Accounting Oversight Board (United States).</w:t>
      </w:r>
    </w:p>
    <w:p>
      <w:pPr>
        <w:spacing w:after="0" w:line="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Amendment does not modify or update in any way (i) the consolidated financial position, the results of operations or cash flows of SEACOR Marine Holdings Inc. or (ii) the disclosures or other information in the Original Form 10-K; nor does it reflect events occurring after the filing of the Original Form 10-K. Accordingly, the Amendment should be read in conjunction with the Original Form 10-K and SEACOR Marine Holdings Inc.’s other filings made with the SEC subsequent to the filing of the Original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48"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117" w:lineRule="exact"/>
        <w:rPr>
          <w:rFonts w:ascii="Arial" w:cs="Arial" w:eastAsia="Arial" w:hAnsi="Arial"/>
          <w:sz w:val="18"/>
          <w:szCs w:val="18"/>
          <w:color w:val="auto"/>
        </w:rPr>
      </w:pPr>
    </w:p>
    <w:p>
      <w:pPr>
        <w:jc w:val="both"/>
        <w:ind w:firstLine="886"/>
        <w:spacing w:after="0" w:line="312" w:lineRule="auto"/>
        <w:tabs>
          <w:tab w:leader="none" w:pos="1062"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and 2. </w:t>
      </w:r>
      <w:r>
        <w:rPr>
          <w:rFonts w:ascii="Arial" w:cs="Arial" w:eastAsia="Arial" w:hAnsi="Arial"/>
          <w:sz w:val="16"/>
          <w:szCs w:val="16"/>
          <w:b w:val="1"/>
          <w:bCs w:val="1"/>
          <w:i w:val="1"/>
          <w:iCs w:val="1"/>
          <w:color w:val="auto"/>
        </w:rPr>
        <w:t>Financial Statements and Financial Statement Schedules</w:t>
      </w:r>
      <w:r>
        <w:rPr>
          <w:rFonts w:ascii="Arial" w:cs="Arial" w:eastAsia="Arial" w:hAnsi="Arial"/>
          <w:sz w:val="16"/>
          <w:szCs w:val="16"/>
          <w:color w:val="auto"/>
        </w:rPr>
        <w:t xml:space="preserve"> – The consolidated financial statements and financial statement schedule of SEACOR Marine Holdings Inc., as listed in Item 15 of the Original Form 10-K, are included in Item 8 of the Original Form 10-K. See Index to Consolidated Financial Statements included below in this Amendment for the MexMar Financial Statements as required by Rule 3-09 of Regulation S-X.</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5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MANTENIMIENTO EXPRESS MARITIMO, S.A.P.I. de C.V.</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40" w:type="dxa"/>
            <w:vAlign w:val="bottom"/>
            <w:gridSpan w:val="10"/>
          </w:tcPr>
          <w:p>
            <w:pPr>
              <w:ind w:left="40"/>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380" w:type="dxa"/>
            <w:vAlign w:val="bottom"/>
            <w:gridSpan w:val="2"/>
          </w:tcPr>
          <w:p>
            <w:pPr>
              <w:jc w:val="right"/>
              <w:ind w:right="300"/>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2</w:t>
              </w:r>
            </w:hyperlink>
          </w:p>
        </w:tc>
      </w:tr>
      <w:tr>
        <w:trPr>
          <w:trHeight w:val="48"/>
        </w:trPr>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11040" w:type="dxa"/>
            <w:vAlign w:val="bottom"/>
            <w:tcBorders>
              <w:bottom w:val="single" w:sz="8" w:color="CCEEFF"/>
            </w:tcBorders>
            <w:gridSpan w:val="10"/>
            <w:shd w:val="clear" w:color="auto" w:fill="CCEEFF"/>
          </w:tcPr>
          <w:p>
            <w:pPr>
              <w:ind w:left="40"/>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720" w:type="dxa"/>
            <w:vAlign w:val="bottom"/>
            <w:gridSpan w:val="7"/>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December 31, 2017 and 2016</w:t>
              </w:r>
            </w:hyperlink>
          </w:p>
        </w:tc>
        <w:tc>
          <w:tcPr>
            <w:tcW w:w="380" w:type="dxa"/>
            <w:vAlign w:val="bottom"/>
            <w:gridSpan w:val="2"/>
          </w:tcPr>
          <w:p>
            <w:pPr>
              <w:jc w:val="right"/>
              <w:ind w:right="300"/>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3</w:t>
              </w:r>
            </w:hyperlink>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2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720" w:type="dxa"/>
            <w:vAlign w:val="bottom"/>
            <w:gridSpan w:val="7"/>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for the years ended December 31, 2017, 2016 and 2015</w:t>
              </w:r>
            </w:hyperlink>
          </w:p>
        </w:tc>
        <w:tc>
          <w:tcPr>
            <w:tcW w:w="380" w:type="dxa"/>
            <w:vAlign w:val="bottom"/>
            <w:gridSpan w:val="2"/>
            <w:shd w:val="clear" w:color="auto" w:fill="CCEEFF"/>
          </w:tcPr>
          <w:p>
            <w:pPr>
              <w:jc w:val="right"/>
              <w:ind w:right="300"/>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22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780" w:type="dxa"/>
            <w:vAlign w:val="bottom"/>
            <w:gridSpan w:val="6"/>
          </w:tcPr>
          <w:p>
            <w:pPr>
              <w:spacing w:after="0" w:line="202"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Changes in Equity for the years ended December 31, 2017, 2016 and 2015</w:t>
              </w:r>
            </w:hyperlink>
          </w:p>
        </w:tc>
        <w:tc>
          <w:tcPr>
            <w:tcW w:w="2940" w:type="dxa"/>
            <w:vAlign w:val="bottom"/>
          </w:tcPr>
          <w:p>
            <w:pPr>
              <w:spacing w:after="0"/>
              <w:rPr>
                <w:sz w:val="17"/>
                <w:szCs w:val="17"/>
                <w:color w:val="auto"/>
              </w:rPr>
            </w:pPr>
          </w:p>
        </w:tc>
        <w:tc>
          <w:tcPr>
            <w:tcW w:w="380" w:type="dxa"/>
            <w:vAlign w:val="bottom"/>
            <w:gridSpan w:val="2"/>
          </w:tcPr>
          <w:p>
            <w:pPr>
              <w:jc w:val="right"/>
              <w:ind w:right="300"/>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5</w:t>
              </w:r>
            </w:hyperlink>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22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2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920" w:type="dxa"/>
            <w:vAlign w:val="bottom"/>
            <w:gridSpan w:val="4"/>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for the years ended December 31, 2017, 2016 and 2015</w:t>
              </w:r>
            </w:hyperlink>
          </w:p>
        </w:tc>
        <w:tc>
          <w:tcPr>
            <w:tcW w:w="3800" w:type="dxa"/>
            <w:vAlign w:val="bottom"/>
            <w:gridSpan w:val="3"/>
            <w:shd w:val="clear" w:color="auto" w:fill="CCEEFF"/>
          </w:tcPr>
          <w:p>
            <w:pPr>
              <w:spacing w:after="0"/>
              <w:rPr>
                <w:sz w:val="17"/>
                <w:szCs w:val="17"/>
                <w:color w:val="auto"/>
              </w:rPr>
            </w:pPr>
          </w:p>
        </w:tc>
        <w:tc>
          <w:tcPr>
            <w:tcW w:w="380" w:type="dxa"/>
            <w:vAlign w:val="bottom"/>
            <w:gridSpan w:val="2"/>
            <w:shd w:val="clear" w:color="auto" w:fill="CCEEFF"/>
          </w:tcPr>
          <w:p>
            <w:pPr>
              <w:jc w:val="right"/>
              <w:ind w:right="300"/>
              <w:spacing w:after="0"/>
              <w:rPr>
                <w:rFonts w:ascii="Arial" w:cs="Arial" w:eastAsia="Arial" w:hAnsi="Arial"/>
                <w:sz w:val="15"/>
                <w:szCs w:val="15"/>
                <w:color w:val="0000EE"/>
                <w:w w:val="71"/>
              </w:rPr>
            </w:pPr>
            <w:hyperlink w:anchor="page7">
              <w:r>
                <w:rPr>
                  <w:rFonts w:ascii="Arial" w:cs="Arial" w:eastAsia="Arial" w:hAnsi="Arial"/>
                  <w:sz w:val="15"/>
                  <w:szCs w:val="15"/>
                  <w:color w:val="0000EE"/>
                  <w:w w:val="71"/>
                </w:rPr>
                <w:t>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226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60" w:type="dxa"/>
            <w:vAlign w:val="bottom"/>
          </w:tcPr>
          <w:p>
            <w:pPr>
              <w:spacing w:after="0" w:line="202"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w:t>
              </w:r>
            </w:hyperlink>
          </w:p>
        </w:tc>
        <w:tc>
          <w:tcPr>
            <w:tcW w:w="3760" w:type="dxa"/>
            <w:vAlign w:val="bottom"/>
            <w:gridSpan w:val="3"/>
          </w:tcPr>
          <w:p>
            <w:pPr>
              <w:spacing w:after="0"/>
              <w:rPr>
                <w:sz w:val="17"/>
                <w:szCs w:val="17"/>
                <w:color w:val="auto"/>
              </w:rPr>
            </w:pPr>
          </w:p>
        </w:tc>
        <w:tc>
          <w:tcPr>
            <w:tcW w:w="3800" w:type="dxa"/>
            <w:vAlign w:val="bottom"/>
            <w:gridSpan w:val="3"/>
          </w:tcPr>
          <w:p>
            <w:pPr>
              <w:spacing w:after="0"/>
              <w:rPr>
                <w:sz w:val="17"/>
                <w:szCs w:val="17"/>
                <w:color w:val="auto"/>
              </w:rPr>
            </w:pPr>
          </w:p>
        </w:tc>
        <w:tc>
          <w:tcPr>
            <w:tcW w:w="380" w:type="dxa"/>
            <w:vAlign w:val="bottom"/>
            <w:gridSpan w:val="2"/>
          </w:tcPr>
          <w:p>
            <w:pPr>
              <w:jc w:val="right"/>
              <w:ind w:right="300"/>
              <w:spacing w:after="0"/>
              <w:rPr>
                <w:rFonts w:ascii="Arial" w:cs="Arial" w:eastAsia="Arial" w:hAnsi="Arial"/>
                <w:sz w:val="15"/>
                <w:szCs w:val="15"/>
                <w:color w:val="0000EE"/>
                <w:w w:val="71"/>
              </w:rPr>
            </w:pPr>
            <w:hyperlink w:anchor="page8">
              <w:r>
                <w:rPr>
                  <w:rFonts w:ascii="Arial" w:cs="Arial" w:eastAsia="Arial" w:hAnsi="Arial"/>
                  <w:sz w:val="15"/>
                  <w:szCs w:val="15"/>
                  <w:color w:val="0000EE"/>
                  <w:w w:val="71"/>
                </w:rPr>
                <w:t>7</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1060" w:hanging="174"/>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Exhibits </w:t>
      </w:r>
      <w:r>
        <w:rPr>
          <w:rFonts w:ascii="Arial" w:cs="Arial" w:eastAsia="Arial" w:hAnsi="Arial"/>
          <w:sz w:val="16"/>
          <w:szCs w:val="16"/>
          <w:color w:val="auto"/>
        </w:rPr>
        <w:t>– The exhibits listed in the Exhibit Index of the Original Form 10-K and this Amendment are filed with, or incorporated by reference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this report.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jc w:val="right"/>
              <w:ind w:right="1056"/>
              <w:spacing w:after="0"/>
              <w:rPr>
                <w:sz w:val="20"/>
                <w:szCs w:val="20"/>
                <w:color w:val="auto"/>
              </w:rPr>
            </w:pPr>
            <w:r>
              <w:rPr>
                <w:rFonts w:ascii="Arial" w:cs="Arial" w:eastAsia="Arial" w:hAnsi="Arial"/>
                <w:sz w:val="14"/>
                <w:szCs w:val="14"/>
                <w:b w:val="1"/>
                <w:bCs w:val="1"/>
                <w:color w:val="auto"/>
              </w:rPr>
              <w:t>Exhibit</w:t>
            </w:r>
          </w:p>
        </w:tc>
        <w:tc>
          <w:tcPr>
            <w:tcW w:w="18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54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40" w:type="dxa"/>
            <w:vAlign w:val="bottom"/>
          </w:tcPr>
          <w:p>
            <w:pPr>
              <w:jc w:val="right"/>
              <w:ind w:right="1016"/>
              <w:spacing w:after="0"/>
              <w:rPr>
                <w:sz w:val="20"/>
                <w:szCs w:val="20"/>
                <w:color w:val="auto"/>
              </w:rPr>
            </w:pPr>
            <w:r>
              <w:rPr>
                <w:rFonts w:ascii="Arial" w:cs="Arial" w:eastAsia="Arial" w:hAnsi="Arial"/>
                <w:sz w:val="14"/>
                <w:szCs w:val="14"/>
                <w:b w:val="1"/>
                <w:bCs w:val="1"/>
                <w:color w:val="auto"/>
                <w:w w:val="98"/>
              </w:rPr>
              <w:t>Number</w:t>
            </w:r>
          </w:p>
        </w:tc>
        <w:tc>
          <w:tcPr>
            <w:tcW w:w="18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64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rPr>
              <w:t>23.3</w:t>
            </w:r>
          </w:p>
        </w:tc>
        <w:tc>
          <w:tcPr>
            <w:tcW w:w="4240" w:type="dxa"/>
            <w:vAlign w:val="bottom"/>
            <w:tcBorders>
              <w:bottom w:val="single" w:sz="8" w:color="0000FF"/>
            </w:tcBorders>
            <w:gridSpan w:val="2"/>
            <w:shd w:val="clear" w:color="auto" w:fill="CCEEFF"/>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Consent of PricewaterhouseCoopers, S. C. (filed herewith)</w:t>
              </w:r>
            </w:hyperlink>
          </w:p>
        </w:tc>
        <w:tc>
          <w:tcPr>
            <w:tcW w:w="5540" w:type="dxa"/>
            <w:vAlign w:val="bottom"/>
            <w:tcBorders>
              <w:bottom w:val="single" w:sz="8" w:color="CCEEFF"/>
            </w:tcBorders>
            <w:gridSpan w:val="4"/>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40" w:type="dxa"/>
            <w:vAlign w:val="bottom"/>
          </w:tcPr>
          <w:p>
            <w:pPr>
              <w:jc w:val="right"/>
              <w:ind w:right="1076"/>
              <w:spacing w:after="0" w:line="202" w:lineRule="exact"/>
              <w:rPr>
                <w:sz w:val="20"/>
                <w:szCs w:val="20"/>
                <w:color w:val="auto"/>
              </w:rPr>
            </w:pPr>
            <w:r>
              <w:rPr>
                <w:rFonts w:ascii="Arial" w:cs="Arial" w:eastAsia="Arial" w:hAnsi="Arial"/>
                <w:sz w:val="18"/>
                <w:szCs w:val="18"/>
                <w:color w:val="auto"/>
              </w:rPr>
              <w:t>31.3</w:t>
            </w:r>
          </w:p>
        </w:tc>
        <w:tc>
          <w:tcPr>
            <w:tcW w:w="9780" w:type="dxa"/>
            <w:vAlign w:val="bottom"/>
            <w:tcBorders>
              <w:bottom w:val="single" w:sz="8" w:color="0000FF"/>
            </w:tcBorders>
            <w:gridSpan w:val="6"/>
          </w:tcPr>
          <w:p>
            <w:pPr>
              <w:spacing w:after="0" w:line="202" w:lineRule="exact"/>
              <w:rPr>
                <w:rFonts w:ascii="Arial" w:cs="Arial" w:eastAsia="Arial" w:hAnsi="Arial"/>
                <w:sz w:val="18"/>
                <w:szCs w:val="18"/>
                <w:color w:val="0000FF"/>
                <w:w w:val="95"/>
              </w:rPr>
            </w:pPr>
            <w:hyperlink w:anchor="page19">
              <w:r>
                <w:rPr>
                  <w:rFonts w:ascii="Arial" w:cs="Arial" w:eastAsia="Arial" w:hAnsi="Arial"/>
                  <w:sz w:val="18"/>
                  <w:szCs w:val="18"/>
                  <w:color w:val="0000FF"/>
                  <w:w w:val="95"/>
                </w:rPr>
                <w:t>Certification by the Principal Executive Officer pursuant to Rule 13a-14(a) and Rule 15d-14(a) of the Securities Exchange Act, as</w:t>
              </w:r>
            </w:hyperlink>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9780" w:type="dxa"/>
            <w:vAlign w:val="bottom"/>
            <w:gridSpan w:val="6"/>
          </w:tcPr>
          <w:p>
            <w:pPr>
              <w:spacing w:after="0" w:line="196" w:lineRule="exact"/>
              <w:rPr>
                <w:rFonts w:ascii="Arial" w:cs="Arial" w:eastAsia="Arial" w:hAnsi="Arial"/>
                <w:sz w:val="18"/>
                <w:szCs w:val="18"/>
                <w:color w:val="0000FF"/>
              </w:rPr>
            </w:pPr>
            <w:hyperlink w:anchor="page19">
              <w:r>
                <w:rPr>
                  <w:rFonts w:ascii="Arial" w:cs="Arial" w:eastAsia="Arial" w:hAnsi="Arial"/>
                  <w:sz w:val="18"/>
                  <w:szCs w:val="18"/>
                  <w:color w:val="0000FF"/>
                </w:rPr>
                <w:t>amended. (filed herewith)</w:t>
              </w:r>
            </w:hyperlink>
          </w:p>
        </w:tc>
        <w:tc>
          <w:tcPr>
            <w:tcW w:w="0" w:type="dxa"/>
            <w:vAlign w:val="bottom"/>
          </w:tcPr>
          <w:p>
            <w:pPr>
              <w:spacing w:after="0"/>
              <w:rPr>
                <w:sz w:val="1"/>
                <w:szCs w:val="1"/>
                <w:color w:val="auto"/>
              </w:rPr>
            </w:pPr>
          </w:p>
        </w:tc>
      </w:tr>
      <w:tr>
        <w:trPr>
          <w:trHeight w:val="48"/>
        </w:trPr>
        <w:tc>
          <w:tcPr>
            <w:tcW w:w="1640" w:type="dxa"/>
            <w:vAlign w:val="bottom"/>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2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40" w:type="dxa"/>
            <w:vAlign w:val="bottom"/>
            <w:tcBorders>
              <w:bottom w:val="single" w:sz="8" w:color="CCEEFF"/>
            </w:tcBorders>
            <w:shd w:val="clear" w:color="auto" w:fill="CCEEFF"/>
          </w:tcPr>
          <w:p>
            <w:pPr>
              <w:jc w:val="right"/>
              <w:ind w:right="1076"/>
              <w:spacing w:after="0" w:line="202" w:lineRule="exact"/>
              <w:rPr>
                <w:sz w:val="20"/>
                <w:szCs w:val="20"/>
                <w:color w:val="auto"/>
              </w:rPr>
            </w:pPr>
            <w:r>
              <w:rPr>
                <w:rFonts w:ascii="Arial" w:cs="Arial" w:eastAsia="Arial" w:hAnsi="Arial"/>
                <w:sz w:val="18"/>
                <w:szCs w:val="18"/>
                <w:color w:val="auto"/>
              </w:rPr>
              <w:t>31.4</w:t>
            </w:r>
          </w:p>
        </w:tc>
        <w:tc>
          <w:tcPr>
            <w:tcW w:w="976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5"/>
              </w:rPr>
            </w:pPr>
            <w:hyperlink w:anchor="page20">
              <w:r>
                <w:rPr>
                  <w:rFonts w:ascii="Arial" w:cs="Arial" w:eastAsia="Arial" w:hAnsi="Arial"/>
                  <w:sz w:val="18"/>
                  <w:szCs w:val="18"/>
                  <w:color w:val="0000FF"/>
                  <w:w w:val="95"/>
                </w:rPr>
                <w:t>Certification by the Principal Financial Officer pursuant to Rule 13a-14(a) and Rule 15d-14(a) of the Securities Exchange Act, as</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shd w:val="clear" w:color="auto" w:fill="CCEEFF"/>
          </w:tcPr>
          <w:p>
            <w:pPr>
              <w:spacing w:after="0"/>
              <w:rPr>
                <w:sz w:val="17"/>
                <w:szCs w:val="17"/>
                <w:color w:val="auto"/>
              </w:rPr>
            </w:pPr>
          </w:p>
        </w:tc>
        <w:tc>
          <w:tcPr>
            <w:tcW w:w="9780" w:type="dxa"/>
            <w:vAlign w:val="bottom"/>
            <w:gridSpan w:val="6"/>
            <w:shd w:val="clear" w:color="auto" w:fill="CCEEFF"/>
          </w:tcPr>
          <w:p>
            <w:pPr>
              <w:spacing w:after="0" w:line="196" w:lineRule="exact"/>
              <w:rPr>
                <w:rFonts w:ascii="Arial" w:cs="Arial" w:eastAsia="Arial" w:hAnsi="Arial"/>
                <w:sz w:val="18"/>
                <w:szCs w:val="18"/>
                <w:color w:val="0000FF"/>
              </w:rPr>
            </w:pPr>
            <w:hyperlink w:anchor="page20">
              <w:r>
                <w:rPr>
                  <w:rFonts w:ascii="Arial" w:cs="Arial" w:eastAsia="Arial" w:hAnsi="Arial"/>
                  <w:sz w:val="18"/>
                  <w:szCs w:val="18"/>
                  <w:color w:val="0000FF"/>
                </w:rPr>
                <w:t>amended. (filed herewith)</w:t>
              </w:r>
            </w:hyperlink>
          </w:p>
        </w:tc>
        <w:tc>
          <w:tcPr>
            <w:tcW w:w="0" w:type="dxa"/>
            <w:vAlign w:val="bottom"/>
          </w:tcPr>
          <w:p>
            <w:pPr>
              <w:spacing w:after="0"/>
              <w:rPr>
                <w:sz w:val="1"/>
                <w:szCs w:val="1"/>
                <w:color w:val="auto"/>
              </w:rPr>
            </w:pPr>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0000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4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40" w:type="dxa"/>
            <w:vAlign w:val="bottom"/>
          </w:tcPr>
          <w:p>
            <w:pPr>
              <w:jc w:val="right"/>
              <w:ind w:right="1076"/>
              <w:spacing w:after="0" w:line="202" w:lineRule="exact"/>
              <w:rPr>
                <w:sz w:val="20"/>
                <w:szCs w:val="20"/>
                <w:color w:val="auto"/>
              </w:rPr>
            </w:pPr>
            <w:r>
              <w:rPr>
                <w:rFonts w:ascii="Arial" w:cs="Arial" w:eastAsia="Arial" w:hAnsi="Arial"/>
                <w:sz w:val="18"/>
                <w:szCs w:val="18"/>
                <w:color w:val="auto"/>
              </w:rPr>
              <w:t>32.2</w:t>
            </w:r>
          </w:p>
        </w:tc>
        <w:tc>
          <w:tcPr>
            <w:tcW w:w="9780" w:type="dxa"/>
            <w:vAlign w:val="bottom"/>
            <w:gridSpan w:val="6"/>
          </w:tcPr>
          <w:p>
            <w:pPr>
              <w:spacing w:after="0" w:line="202" w:lineRule="exact"/>
              <w:rPr>
                <w:rFonts w:ascii="Arial" w:cs="Arial" w:eastAsia="Arial" w:hAnsi="Arial"/>
                <w:sz w:val="18"/>
                <w:szCs w:val="18"/>
                <w:color w:val="0000FF"/>
                <w:w w:val="98"/>
              </w:rPr>
            </w:pPr>
            <w:hyperlink w:anchor="page21">
              <w:r>
                <w:rPr>
                  <w:rFonts w:ascii="Arial" w:cs="Arial" w:eastAsia="Arial" w:hAnsi="Arial"/>
                  <w:sz w:val="18"/>
                  <w:szCs w:val="18"/>
                  <w:color w:val="0000FF"/>
                  <w:w w:val="98"/>
                </w:rPr>
                <w:t>Certification by the Principal Executive Officer and Principal Financial Officer pursuant to 18 U.S.C. Section 1350, as adopted</w:t>
              </w:r>
            </w:hyperlink>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974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21">
              <w:r>
                <w:rPr>
                  <w:rFonts w:ascii="Arial" w:cs="Arial" w:eastAsia="Arial" w:hAnsi="Arial"/>
                  <w:sz w:val="18"/>
                  <w:szCs w:val="18"/>
                  <w:color w:val="0000FF"/>
                </w:rPr>
                <w:t>pursuant to Section 906 of the Sarbanes-Oxley Act of 2002. (filed herewith)</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939"/>
        </w:trPr>
        <w:tc>
          <w:tcPr>
            <w:tcW w:w="1640" w:type="dxa"/>
            <w:vAlign w:val="bottom"/>
          </w:tcPr>
          <w:p>
            <w:pPr>
              <w:spacing w:after="0"/>
              <w:rPr>
                <w:sz w:val="24"/>
                <w:szCs w:val="24"/>
                <w:color w:val="auto"/>
              </w:rPr>
            </w:pPr>
          </w:p>
        </w:tc>
        <w:tc>
          <w:tcPr>
            <w:tcW w:w="4240" w:type="dxa"/>
            <w:vAlign w:val="bottom"/>
            <w:tcBorders>
              <w:top w:val="single" w:sz="8" w:color="0000FF"/>
            </w:tcBorders>
            <w:gridSpan w:val="2"/>
          </w:tcPr>
          <w:p>
            <w:pPr>
              <w:ind w:left="4020"/>
              <w:spacing w:after="0"/>
              <w:rPr>
                <w:sz w:val="20"/>
                <w:szCs w:val="20"/>
                <w:color w:val="auto"/>
              </w:rPr>
            </w:pPr>
            <w:r>
              <w:rPr>
                <w:rFonts w:ascii="Arial" w:cs="Arial" w:eastAsia="Arial" w:hAnsi="Arial"/>
                <w:sz w:val="18"/>
                <w:szCs w:val="18"/>
                <w:color w:val="auto"/>
              </w:rPr>
              <w:t>1</w:t>
            </w:r>
          </w:p>
        </w:tc>
        <w:tc>
          <w:tcPr>
            <w:tcW w:w="1240" w:type="dxa"/>
            <w:vAlign w:val="bottom"/>
            <w:tcBorders>
              <w:top w:val="single" w:sz="8" w:color="0000FF"/>
            </w:tcBorders>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Mantenimiento Express Marítimo, S. A. P. I. de C. V.</w:t>
      </w:r>
    </w:p>
    <w:p>
      <w:pPr>
        <w:spacing w:after="0" w:line="200" w:lineRule="exact"/>
        <w:rPr>
          <w:sz w:val="20"/>
          <w:szCs w:val="20"/>
          <w:color w:val="auto"/>
        </w:rPr>
      </w:pPr>
    </w:p>
    <w:p>
      <w:pPr>
        <w:spacing w:after="0" w:line="2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our opinion, the statements of comprehensive income, changes in equity and of cash flow for the year ended December 31, 2015 present fairly, in all material respects, the results of operations and cash flows of Mantenimiento Express Marítimo, S.A.P. I. de C. V. for the year ended December 31, 2015,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accompanying consolidated balance sheets of Mantenimiento Express Marítimo, S. A. P. I. de C. V. as of December 31, 2017 and 2016, and the related consolidated statements of comprehensive income, changes in equity and cash flows for the years ended December 31, 2017 and 2016 are presented for purposes of complying with Rule 3-09 of SEC Regulation S-X; however, Rule 3-09 does not require the 2017 and 2016 financial statements to be audited and they are therefore not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Mexico City, 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MANTENIMIENTO EXPRESS MARITIMO S.A.P.I. de C.V.</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12/31/2017</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12/31/2016</w:t>
            </w:r>
            <w:r>
              <w:rPr>
                <w:rFonts w:ascii="Arial" w:cs="Arial" w:eastAsia="Arial" w:hAnsi="Arial"/>
                <w:sz w:val="8"/>
                <w:szCs w:val="8"/>
                <w:b w:val="1"/>
                <w:bCs w:val="1"/>
                <w:color w:val="auto"/>
              </w:rPr>
              <w:t>(1)</w:t>
            </w:r>
          </w:p>
        </w:tc>
      </w:tr>
      <w:tr>
        <w:trPr>
          <w:trHeight w:val="250"/>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9,204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6,419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Trade, net of allowance for doubtful accounts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29,097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29,644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71,990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50,996</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Historical cost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259,089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258,324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(49,737)</w:t>
            </w:r>
          </w:p>
        </w:tc>
      </w:tr>
      <w:tr>
        <w:trPr>
          <w:trHeight w:val="237"/>
        </w:trPr>
        <w:tc>
          <w:tcPr>
            <w:tcW w:w="8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193,375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208,587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property and equipment</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193,842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209,478</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266,980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260,802</w:t>
            </w:r>
          </w:p>
        </w:tc>
      </w:tr>
      <w:tr>
        <w:trPr>
          <w:trHeight w:val="237"/>
        </w:trPr>
        <w:tc>
          <w:tcPr>
            <w:tcW w:w="8340" w:type="dxa"/>
            <w:vAlign w:val="bottom"/>
            <w:tcBorders>
              <w:bottom w:val="single" w:sz="8" w:color="CCEEFF"/>
            </w:tcBorders>
            <w:shd w:val="clear" w:color="auto" w:fill="CCEEFF"/>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3,431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 due to SEACOR Marine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due to Proyectos</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1,788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taxes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3,036</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23,089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95,261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91,799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from SEACOR Marine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Advances from Proyectos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14,331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21,981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16,616</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170,974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174,604</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Common stock, stated value, 10,000 shares authorized and issued in 2017 and 2016</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23,479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65,823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56,590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income,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96,006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86,198</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266,980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260,802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Not covered by the auditor's report.</w:t>
      </w: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 and should be read in conjunction herewith.</w:t>
      </w:r>
    </w:p>
    <w:p>
      <w:pPr>
        <w:sectPr>
          <w:pgSz w:w="11900" w:h="16838" w:orient="portrait"/>
          <w:cols w:equalWidth="0" w:num="1">
            <w:col w:w="11420"/>
          </w:cols>
          <w:pgMar w:left="240" w:top="850" w:right="239" w:bottom="57"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850" w:right="239" w:bottom="57" w:gutter="0" w:footer="0" w:header="0"/>
          <w:type w:val="continuous"/>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MANTENIMIENTO EXPRESS MARITIMO S.A.P.I. de C.V. CONSOLIDATED STATEMENTS OF COMPREHENSIVE INCOME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right"/>
              <w:ind w:right="571"/>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73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r>
      <w:tr>
        <w:trPr>
          <w:trHeight w:val="27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78,363</w:t>
            </w:r>
          </w:p>
        </w:tc>
      </w:tr>
      <w:tr>
        <w:trPr>
          <w:trHeight w:val="223"/>
        </w:trPr>
        <w:tc>
          <w:tcPr>
            <w:tcW w:w="73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41"/>
        </w:trPr>
        <w:tc>
          <w:tcPr>
            <w:tcW w:w="7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38,211</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Administrative and general</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2,826</w:t>
            </w:r>
          </w:p>
        </w:tc>
      </w:tr>
      <w:tr>
        <w:trPr>
          <w:trHeight w:val="27"/>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SEACOR Marine management fees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Proyectos management fees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13,089</w:t>
            </w:r>
          </w:p>
        </w:tc>
      </w:tr>
      <w:tr>
        <w:trPr>
          <w:trHeight w:val="237"/>
        </w:trPr>
        <w:tc>
          <w:tcPr>
            <w:tcW w:w="7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45,382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51,571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54,926</w:t>
            </w:r>
          </w:p>
        </w:tc>
      </w:tr>
      <w:tr>
        <w:trPr>
          <w:trHeight w:val="27"/>
        </w:trPr>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23,437</w:t>
            </w:r>
          </w:p>
        </w:tc>
      </w:tr>
      <w:tr>
        <w:trPr>
          <w:trHeight w:val="223"/>
        </w:trPr>
        <w:tc>
          <w:tcPr>
            <w:tcW w:w="73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41"/>
        </w:trPr>
        <w:tc>
          <w:tcPr>
            <w:tcW w:w="7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(6,107)</w:t>
            </w:r>
          </w:p>
        </w:tc>
      </w:tr>
      <w:tr>
        <w:trPr>
          <w:trHeight w:val="27"/>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on secured notes from SEACOR Marine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Derivative losses, net</w:t>
            </w:r>
          </w:p>
        </w:tc>
        <w:tc>
          <w:tcPr>
            <w:tcW w:w="2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7"/>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gains (losses), net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43"/>
        </w:trPr>
        <w:tc>
          <w:tcPr>
            <w:tcW w:w="730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7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(7,402)</w:t>
            </w:r>
          </w:p>
        </w:tc>
      </w:tr>
      <w:tr>
        <w:trPr>
          <w:trHeight w:val="237"/>
        </w:trPr>
        <w:tc>
          <w:tcPr>
            <w:tcW w:w="730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12,265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16,035</w:t>
            </w:r>
          </w:p>
        </w:tc>
      </w:tr>
      <w:tr>
        <w:trPr>
          <w:trHeight w:val="27"/>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r>
      <w:tr>
        <w:trPr>
          <w:trHeight w:val="237"/>
        </w:trPr>
        <w:tc>
          <w:tcPr>
            <w:tcW w:w="73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6,476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15,638</w:t>
            </w:r>
          </w:p>
        </w:tc>
      </w:tr>
      <w:tr>
        <w:trPr>
          <w:trHeight w:val="27"/>
        </w:trPr>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Derivative gains (losses) on cash flow hedges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(1,626)</w:t>
            </w:r>
          </w:p>
        </w:tc>
      </w:tr>
      <w:tr>
        <w:trPr>
          <w:trHeight w:val="27"/>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derivative losses on cash flow hedges to 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w:t>
            </w:r>
          </w:p>
        </w:tc>
      </w:tr>
      <w:tr>
        <w:trPr>
          <w:trHeight w:val="237"/>
        </w:trPr>
        <w:tc>
          <w:tcPr>
            <w:tcW w:w="7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37"/>
        </w:trPr>
        <w:tc>
          <w:tcPr>
            <w:tcW w:w="7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15,472</w:t>
            </w:r>
          </w:p>
        </w:tc>
      </w:tr>
      <w:tr>
        <w:trPr>
          <w:trHeight w:val="20"/>
        </w:trPr>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Not covered by the auditor's report.</w:t>
      </w: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 and should be read in conjunction herewith.</w:t>
      </w:r>
    </w:p>
    <w:p>
      <w:pPr>
        <w:sectPr>
          <w:pgSz w:w="11900" w:h="16838" w:orient="portrait"/>
          <w:cols w:equalWidth="0" w:num="1">
            <w:col w:w="10720"/>
          </w:cols>
          <w:pgMar w:left="240" w:top="769" w:right="939" w:bottom="1440" w:gutter="0" w:footer="0" w:header="0"/>
        </w:sectPr>
      </w:pP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720"/>
          </w:cols>
          <w:pgMar w:left="240" w:top="769" w:right="939" w:bottom="1440" w:gutter="0" w:footer="0" w:header="0"/>
          <w:type w:val="continuous"/>
        </w:sectPr>
      </w:pPr>
    </w:p>
    <w:bookmarkStart w:id="5" w:name="page6"/>
    <w:bookmarkEnd w:id="5"/>
    <w:p>
      <w:pPr>
        <w:ind w:left="3340"/>
        <w:spacing w:after="0"/>
        <w:rPr>
          <w:sz w:val="20"/>
          <w:szCs w:val="20"/>
          <w:color w:val="auto"/>
        </w:rPr>
      </w:pPr>
      <w:r>
        <w:rPr>
          <w:rFonts w:ascii="Arial" w:cs="Arial" w:eastAsia="Arial" w:hAnsi="Arial"/>
          <w:sz w:val="18"/>
          <w:szCs w:val="18"/>
          <w:b w:val="1"/>
          <w:bCs w:val="1"/>
          <w:color w:val="auto"/>
        </w:rPr>
        <w:t>MANTENIMIENTO EXPRESS MARITIMO S.A.P.I. de C.V.</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Accumulated Other</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Additional Paid-in</w:t>
            </w: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82"/>
        </w:trPr>
        <w:tc>
          <w:tcPr>
            <w:tcW w:w="47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Common Stock</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2"/>
              </w:rPr>
              <w:t>Retained Earnings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7"/>
              </w:rPr>
              <w:t>Total Equity</w:t>
            </w: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7"/>
                <w:szCs w:val="17"/>
                <w:color w:val="auto"/>
              </w:rPr>
              <w:t>Year ended December 31, 2014</w:t>
            </w:r>
            <w:r>
              <w:rPr>
                <w:rFonts w:ascii="Arial" w:cs="Arial" w:eastAsia="Arial" w:hAnsi="Arial"/>
                <w:sz w:val="28"/>
                <w:szCs w:val="28"/>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23,479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5,900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34,476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63,855</w:t>
            </w:r>
          </w:p>
        </w:tc>
      </w:tr>
      <w:tr>
        <w:trPr>
          <w:trHeight w:val="239"/>
        </w:trPr>
        <w:tc>
          <w:tcPr>
            <w:tcW w:w="470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15,638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15,638</w:t>
            </w:r>
          </w:p>
        </w:tc>
      </w:tr>
      <w:tr>
        <w:trPr>
          <w:trHeight w:val="31"/>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19"/>
        </w:trPr>
        <w:tc>
          <w:tcPr>
            <w:tcW w:w="4700" w:type="dxa"/>
            <w:vAlign w:val="bottom"/>
          </w:tcPr>
          <w:p>
            <w:pPr>
              <w:ind w:left="40"/>
              <w:spacing w:after="0"/>
              <w:rPr>
                <w:sz w:val="20"/>
                <w:szCs w:val="20"/>
                <w:color w:val="auto"/>
              </w:rPr>
            </w:pPr>
            <w:r>
              <w:rPr>
                <w:rFonts w:ascii="Arial" w:cs="Arial" w:eastAsia="Arial" w:hAnsi="Arial"/>
                <w:sz w:val="17"/>
                <w:szCs w:val="17"/>
                <w:color w:val="auto"/>
              </w:rPr>
              <w:t>Year ended December 31, 2015</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23,479</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5,900</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50,114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79,327</w:t>
            </w:r>
          </w:p>
        </w:tc>
      </w:tr>
      <w:tr>
        <w:trPr>
          <w:trHeight w:val="31"/>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6,476</w:t>
            </w:r>
          </w:p>
        </w:tc>
      </w:tr>
      <w:tr>
        <w:trPr>
          <w:trHeight w:val="239"/>
        </w:trPr>
        <w:tc>
          <w:tcPr>
            <w:tcW w:w="4700" w:type="dxa"/>
            <w:vAlign w:val="bottom"/>
          </w:tcPr>
          <w:p>
            <w:pPr>
              <w:ind w:left="180"/>
              <w:spacing w:after="0"/>
              <w:rPr>
                <w:sz w:val="20"/>
                <w:szCs w:val="20"/>
                <w:color w:val="auto"/>
              </w:rPr>
            </w:pPr>
            <w:r>
              <w:rPr>
                <w:rFonts w:ascii="Arial" w:cs="Arial" w:eastAsia="Arial" w:hAnsi="Arial"/>
                <w:sz w:val="17"/>
                <w:szCs w:val="17"/>
                <w:color w:val="auto"/>
              </w:rPr>
              <w:t>Other comprehensive income</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395</w:t>
            </w:r>
          </w:p>
        </w:tc>
      </w:tr>
      <w:tr>
        <w:trPr>
          <w:trHeight w:val="31"/>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700" w:type="dxa"/>
            <w:vAlign w:val="bottom"/>
            <w:shd w:val="clear" w:color="auto" w:fill="CCEEFF"/>
          </w:tcPr>
          <w:p>
            <w:pPr>
              <w:ind w:left="40"/>
              <w:spacing w:after="0" w:line="250" w:lineRule="exact"/>
              <w:rPr>
                <w:sz w:val="20"/>
                <w:szCs w:val="20"/>
                <w:color w:val="auto"/>
              </w:rPr>
            </w:pPr>
            <w:r>
              <w:rPr>
                <w:rFonts w:ascii="Arial" w:cs="Arial" w:eastAsia="Arial" w:hAnsi="Arial"/>
                <w:sz w:val="17"/>
                <w:szCs w:val="17"/>
                <w:color w:val="auto"/>
              </w:rPr>
              <w:t>Year ended December 31, 2016</w:t>
            </w:r>
            <w:r>
              <w:rPr>
                <w:rFonts w:ascii="Arial" w:cs="Arial" w:eastAsia="Arial" w:hAnsi="Arial"/>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23,479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5,900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56,590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86,198</w:t>
            </w:r>
          </w:p>
        </w:tc>
      </w:tr>
      <w:tr>
        <w:trPr>
          <w:trHeight w:val="243"/>
        </w:trPr>
        <w:tc>
          <w:tcPr>
            <w:tcW w:w="4700" w:type="dxa"/>
            <w:vAlign w:val="bottom"/>
          </w:tcPr>
          <w:p>
            <w:pPr>
              <w:ind w:left="120"/>
              <w:spacing w:after="0"/>
              <w:rPr>
                <w:sz w:val="20"/>
                <w:szCs w:val="20"/>
                <w:color w:val="auto"/>
              </w:rPr>
            </w:pPr>
            <w:r>
              <w:rPr>
                <w:rFonts w:ascii="Arial" w:cs="Arial" w:eastAsia="Arial" w:hAnsi="Arial"/>
                <w:sz w:val="17"/>
                <w:szCs w:val="17"/>
                <w:color w:val="auto"/>
              </w:rPr>
              <w:t>Net income</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9,233</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575</w:t>
            </w:r>
          </w:p>
        </w:tc>
      </w:tr>
      <w:tr>
        <w:trPr>
          <w:trHeight w:val="250"/>
        </w:trPr>
        <w:tc>
          <w:tcPr>
            <w:tcW w:w="4700" w:type="dxa"/>
            <w:vAlign w:val="bottom"/>
          </w:tcPr>
          <w:p>
            <w:pPr>
              <w:ind w:left="40"/>
              <w:spacing w:after="0" w:line="250" w:lineRule="exact"/>
              <w:rPr>
                <w:sz w:val="20"/>
                <w:szCs w:val="20"/>
                <w:color w:val="auto"/>
              </w:rPr>
            </w:pPr>
            <w:r>
              <w:rPr>
                <w:rFonts w:ascii="Arial" w:cs="Arial" w:eastAsia="Arial" w:hAnsi="Arial"/>
                <w:sz w:val="17"/>
                <w:szCs w:val="17"/>
                <w:color w:val="auto"/>
              </w:rPr>
              <w:t>Year ended December 31, 2017</w:t>
            </w:r>
            <w:r>
              <w:rPr>
                <w:rFonts w:ascii="Arial" w:cs="Arial" w:eastAsia="Arial" w:hAnsi="Arial"/>
                <w:sz w:val="28"/>
                <w:szCs w:val="28"/>
                <w:color w:val="auto"/>
                <w:vertAlign w:val="superscript"/>
              </w:rPr>
              <w:t>(1)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23,479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5,900</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65,823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804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96,006</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Not covered by the auditor's report.</w:t>
      </w: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 and should be read in conjunction herewith.</w:t>
      </w:r>
    </w:p>
    <w:p>
      <w:pPr>
        <w:sectPr>
          <w:pgSz w:w="11900" w:h="16838" w:orient="portrait"/>
          <w:cols w:equalWidth="0" w:num="1">
            <w:col w:w="11420"/>
          </w:cols>
          <w:pgMar w:left="240" w:top="769"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6" w:name="page7"/>
    <w:bookmarkEnd w:id="6"/>
    <w:p>
      <w:pPr>
        <w:jc w:val="center"/>
        <w:ind w:right="-491"/>
        <w:spacing w:after="0"/>
        <w:rPr>
          <w:sz w:val="20"/>
          <w:szCs w:val="20"/>
          <w:color w:val="auto"/>
        </w:rPr>
      </w:pPr>
      <w:r>
        <w:rPr>
          <w:rFonts w:ascii="Arial" w:cs="Arial" w:eastAsia="Arial" w:hAnsi="Arial"/>
          <w:sz w:val="18"/>
          <w:szCs w:val="18"/>
          <w:b w:val="1"/>
          <w:bCs w:val="1"/>
          <w:color w:val="auto"/>
        </w:rPr>
        <w:t>MANTENIMIENTO EXPRESS MARITIMO S.A.P.I. de C.V.</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91"/>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512"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7"/>
          </w:tcPr>
          <w:p>
            <w:pPr>
              <w:jc w:val="right"/>
              <w:ind w:right="575"/>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6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2015</w:t>
            </w: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9"/>
        </w:trPr>
        <w:tc>
          <w:tcPr>
            <w:tcW w:w="6960" w:type="dxa"/>
            <w:vAlign w:val="bottom"/>
          </w:tcPr>
          <w:p>
            <w:pPr>
              <w:ind w:left="260"/>
              <w:spacing w:after="0"/>
              <w:rPr>
                <w:sz w:val="20"/>
                <w:szCs w:val="20"/>
                <w:color w:val="auto"/>
              </w:rPr>
            </w:pPr>
            <w:r>
              <w:rPr>
                <w:rFonts w:ascii="Arial" w:cs="Arial" w:eastAsia="Arial" w:hAnsi="Arial"/>
                <w:sz w:val="17"/>
                <w:szCs w:val="17"/>
                <w:color w:val="auto"/>
              </w:rPr>
              <w:t>Net Income</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9,233</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6,476</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15,638</w:t>
            </w:r>
          </w:p>
        </w:tc>
      </w:tr>
      <w:tr>
        <w:trPr>
          <w:trHeight w:val="31"/>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9"/>
        </w:trPr>
        <w:tc>
          <w:tcPr>
            <w:tcW w:w="6960" w:type="dxa"/>
            <w:vAlign w:val="bottom"/>
          </w:tcPr>
          <w:p>
            <w:pPr>
              <w:ind w:left="480"/>
              <w:spacing w:after="0"/>
              <w:rPr>
                <w:sz w:val="20"/>
                <w:szCs w:val="20"/>
                <w:color w:val="auto"/>
              </w:rPr>
            </w:pPr>
            <w:r>
              <w:rPr>
                <w:rFonts w:ascii="Arial" w:cs="Arial" w:eastAsia="Arial" w:hAnsi="Arial"/>
                <w:sz w:val="17"/>
                <w:szCs w:val="17"/>
                <w:color w:val="auto"/>
              </w:rPr>
              <w:t>Depreciation</w:t>
            </w:r>
          </w:p>
        </w:tc>
        <w:tc>
          <w:tcPr>
            <w:tcW w:w="20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15,977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13,958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13,089</w:t>
            </w:r>
          </w:p>
        </w:tc>
      </w:tr>
      <w:tr>
        <w:trPr>
          <w:trHeight w:val="31"/>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Debt issuance cost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667</w:t>
            </w:r>
          </w:p>
        </w:tc>
      </w:tr>
      <w:tr>
        <w:trPr>
          <w:trHeight w:val="239"/>
        </w:trPr>
        <w:tc>
          <w:tcPr>
            <w:tcW w:w="6960" w:type="dxa"/>
            <w:vAlign w:val="bottom"/>
          </w:tcPr>
          <w:p>
            <w:pPr>
              <w:ind w:left="480"/>
              <w:spacing w:after="0"/>
              <w:rPr>
                <w:sz w:val="20"/>
                <w:szCs w:val="20"/>
                <w:color w:val="auto"/>
              </w:rPr>
            </w:pPr>
            <w:r>
              <w:rPr>
                <w:rFonts w:ascii="Arial" w:cs="Arial" w:eastAsia="Arial" w:hAnsi="Arial"/>
                <w:sz w:val="17"/>
                <w:szCs w:val="17"/>
                <w:color w:val="auto"/>
              </w:rPr>
              <w:t>Derivative losses, net</w:t>
            </w: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898</w:t>
            </w:r>
          </w:p>
        </w:tc>
      </w:tr>
      <w:tr>
        <w:trPr>
          <w:trHeight w:val="31"/>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Cash settlement on derivative transactions, net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w:t>
            </w:r>
          </w:p>
        </w:tc>
      </w:tr>
      <w:tr>
        <w:trPr>
          <w:trHeight w:val="239"/>
        </w:trPr>
        <w:tc>
          <w:tcPr>
            <w:tcW w:w="6960" w:type="dxa"/>
            <w:vAlign w:val="bottom"/>
          </w:tcPr>
          <w:p>
            <w:pPr>
              <w:ind w:left="480"/>
              <w:spacing w:after="0"/>
              <w:rPr>
                <w:sz w:val="20"/>
                <w:szCs w:val="20"/>
                <w:color w:val="auto"/>
              </w:rPr>
            </w:pPr>
            <w:r>
              <w:rPr>
                <w:rFonts w:ascii="Arial" w:cs="Arial" w:eastAsia="Arial" w:hAnsi="Arial"/>
                <w:sz w:val="17"/>
                <w:szCs w:val="17"/>
                <w:color w:val="auto"/>
              </w:rPr>
              <w:t>Foreign currency (gains) losses, net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602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520</w:t>
            </w:r>
          </w:p>
        </w:tc>
      </w:tr>
      <w:tr>
        <w:trPr>
          <w:trHeight w:val="31"/>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Deferred 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397</w:t>
            </w:r>
          </w:p>
        </w:tc>
      </w:tr>
      <w:tr>
        <w:trPr>
          <w:trHeight w:val="239"/>
        </w:trPr>
        <w:tc>
          <w:tcPr>
            <w:tcW w:w="6960" w:type="dxa"/>
            <w:vAlign w:val="bottom"/>
          </w:tcPr>
          <w:p>
            <w:pPr>
              <w:ind w:left="480"/>
              <w:spacing w:after="0"/>
              <w:rPr>
                <w:sz w:val="20"/>
                <w:szCs w:val="20"/>
                <w:color w:val="auto"/>
              </w:rPr>
            </w:pPr>
            <w:r>
              <w:rPr>
                <w:rFonts w:ascii="Arial" w:cs="Arial" w:eastAsia="Arial" w:hAnsi="Arial"/>
                <w:sz w:val="17"/>
                <w:szCs w:val="17"/>
                <w:color w:val="auto"/>
              </w:rPr>
              <w:t>Changes in operating assets and liabilities: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7"/>
                <w:szCs w:val="17"/>
                <w:color w:val="auto"/>
              </w:rPr>
              <w:t>Increase (decrease) in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8,101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(11,886)</w:t>
            </w:r>
          </w:p>
        </w:tc>
      </w:tr>
      <w:tr>
        <w:trPr>
          <w:trHeight w:val="239"/>
        </w:trPr>
        <w:tc>
          <w:tcPr>
            <w:tcW w:w="6960" w:type="dxa"/>
            <w:vAlign w:val="bottom"/>
          </w:tcPr>
          <w:p>
            <w:pPr>
              <w:ind w:left="700"/>
              <w:spacing w:after="0"/>
              <w:rPr>
                <w:sz w:val="20"/>
                <w:szCs w:val="20"/>
                <w:color w:val="auto"/>
              </w:rPr>
            </w:pPr>
            <w:r>
              <w:rPr>
                <w:rFonts w:ascii="Arial" w:cs="Arial" w:eastAsia="Arial" w:hAnsi="Arial"/>
                <w:sz w:val="17"/>
                <w:szCs w:val="17"/>
                <w:color w:val="auto"/>
              </w:rPr>
              <w:t>(Increase) decrease in inventories and prepaid expenses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581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31"/>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7"/>
                <w:szCs w:val="17"/>
                <w:color w:val="auto"/>
              </w:rPr>
              <w:t>Increase (decrease) in accounts payable, accrued expenses and 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(7,529)</w:t>
            </w:r>
          </w:p>
        </w:tc>
      </w:tr>
      <w:tr>
        <w:trPr>
          <w:trHeight w:val="219"/>
        </w:trPr>
        <w:tc>
          <w:tcPr>
            <w:tcW w:w="6960" w:type="dxa"/>
            <w:vAlign w:val="bottom"/>
          </w:tcPr>
          <w:p>
            <w:pPr>
              <w:ind w:left="920"/>
              <w:spacing w:after="0"/>
              <w:rPr>
                <w:sz w:val="20"/>
                <w:szCs w:val="20"/>
                <w:color w:val="auto"/>
              </w:rPr>
            </w:pPr>
            <w:r>
              <w:rPr>
                <w:rFonts w:ascii="Arial" w:cs="Arial" w:eastAsia="Arial" w:hAnsi="Arial"/>
                <w:sz w:val="17"/>
                <w:szCs w:val="17"/>
                <w:color w:val="auto"/>
              </w:rPr>
              <w:t>Net cash provided by operating activities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31,896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36,557</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11,562</w:t>
            </w:r>
          </w:p>
        </w:tc>
      </w:tr>
      <w:tr>
        <w:trPr>
          <w:trHeight w:val="31"/>
        </w:trPr>
        <w:tc>
          <w:tcPr>
            <w:tcW w:w="6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9"/>
        </w:trPr>
        <w:tc>
          <w:tcPr>
            <w:tcW w:w="6960" w:type="dxa"/>
            <w:vAlign w:val="bottom"/>
          </w:tcPr>
          <w:p>
            <w:pPr>
              <w:ind w:left="260"/>
              <w:spacing w:after="0"/>
              <w:rPr>
                <w:sz w:val="20"/>
                <w:szCs w:val="20"/>
                <w:color w:val="auto"/>
              </w:rPr>
            </w:pPr>
            <w:r>
              <w:rPr>
                <w:rFonts w:ascii="Arial" w:cs="Arial" w:eastAsia="Arial" w:hAnsi="Arial"/>
                <w:sz w:val="17"/>
                <w:szCs w:val="17"/>
                <w:color w:val="auto"/>
              </w:rPr>
              <w:t>Purchases of property and equipment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(34,827)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(56,737)</w:t>
            </w:r>
          </w:p>
        </w:tc>
      </w:tr>
      <w:tr>
        <w:trPr>
          <w:trHeight w:val="31"/>
        </w:trPr>
        <w:tc>
          <w:tcPr>
            <w:tcW w:w="6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7"/>
                <w:szCs w:val="17"/>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(34,827)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(56,737)</w:t>
            </w:r>
          </w:p>
        </w:tc>
      </w:tr>
      <w:tr>
        <w:trPr>
          <w:trHeight w:val="233"/>
        </w:trPr>
        <w:tc>
          <w:tcPr>
            <w:tcW w:w="696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1"/>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Payments on secured notes with SEACOR Marine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(14,953)</w:t>
            </w:r>
          </w:p>
        </w:tc>
      </w:tr>
      <w:tr>
        <w:trPr>
          <w:trHeight w:val="239"/>
        </w:trPr>
        <w:tc>
          <w:tcPr>
            <w:tcW w:w="6960" w:type="dxa"/>
            <w:vAlign w:val="bottom"/>
          </w:tcPr>
          <w:p>
            <w:pPr>
              <w:ind w:left="260"/>
              <w:spacing w:after="0"/>
              <w:rPr>
                <w:sz w:val="20"/>
                <w:szCs w:val="20"/>
                <w:color w:val="auto"/>
              </w:rPr>
            </w:pPr>
            <w:r>
              <w:rPr>
                <w:rFonts w:ascii="Arial" w:cs="Arial" w:eastAsia="Arial" w:hAnsi="Arial"/>
                <w:sz w:val="17"/>
                <w:szCs w:val="17"/>
                <w:color w:val="auto"/>
              </w:rPr>
              <w:t>Payments on long-term debt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(13,435)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(12,298)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(69,334)</w:t>
            </w:r>
          </w:p>
        </w:tc>
      </w:tr>
      <w:tr>
        <w:trPr>
          <w:trHeight w:val="31"/>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Proceeds from issuance of long-term debt, net of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124,710</w:t>
            </w:r>
          </w:p>
        </w:tc>
      </w:tr>
      <w:tr>
        <w:trPr>
          <w:trHeight w:val="239"/>
        </w:trPr>
        <w:tc>
          <w:tcPr>
            <w:tcW w:w="6960" w:type="dxa"/>
            <w:vAlign w:val="bottom"/>
          </w:tcPr>
          <w:p>
            <w:pPr>
              <w:ind w:left="260"/>
              <w:spacing w:after="0"/>
              <w:rPr>
                <w:sz w:val="20"/>
                <w:szCs w:val="20"/>
                <w:color w:val="auto"/>
              </w:rPr>
            </w:pPr>
            <w:r>
              <w:rPr>
                <w:rFonts w:ascii="Arial" w:cs="Arial" w:eastAsia="Arial" w:hAnsi="Arial"/>
                <w:sz w:val="17"/>
                <w:szCs w:val="17"/>
                <w:color w:val="auto"/>
              </w:rPr>
              <w:t>Increase in restricted cash</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(2,198)</w:t>
            </w:r>
          </w:p>
        </w:tc>
      </w:tr>
      <w:tr>
        <w:trPr>
          <w:trHeight w:val="31"/>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Advances (returned) received from shareholders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16,100</w:t>
            </w:r>
          </w:p>
        </w:tc>
      </w:tr>
      <w:tr>
        <w:trPr>
          <w:trHeight w:val="219"/>
        </w:trPr>
        <w:tc>
          <w:tcPr>
            <w:tcW w:w="6960" w:type="dxa"/>
            <w:vAlign w:val="bottom"/>
          </w:tcPr>
          <w:p>
            <w:pPr>
              <w:ind w:left="920"/>
              <w:spacing w:after="0"/>
              <w:rPr>
                <w:sz w:val="20"/>
                <w:szCs w:val="20"/>
                <w:color w:val="auto"/>
              </w:rPr>
            </w:pPr>
            <w:r>
              <w:rPr>
                <w:rFonts w:ascii="Arial" w:cs="Arial" w:eastAsia="Arial" w:hAnsi="Arial"/>
                <w:sz w:val="17"/>
                <w:szCs w:val="17"/>
                <w:color w:val="auto"/>
              </w:rPr>
              <w:t>Net cash provided by (used in) financing activities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(13,234)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1,995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54,325</w:t>
            </w:r>
          </w:p>
        </w:tc>
      </w:tr>
      <w:tr>
        <w:trPr>
          <w:trHeight w:val="31"/>
        </w:trPr>
        <w:tc>
          <w:tcPr>
            <w:tcW w:w="6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Effects of Exchange Rate Changes on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(520)</w:t>
            </w:r>
          </w:p>
        </w:tc>
      </w:tr>
      <w:tr>
        <w:trPr>
          <w:trHeight w:val="219"/>
        </w:trPr>
        <w:tc>
          <w:tcPr>
            <w:tcW w:w="6960" w:type="dxa"/>
            <w:vAlign w:val="bottom"/>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18,424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3,123</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8,630</w:t>
            </w:r>
          </w:p>
        </w:tc>
      </w:tr>
      <w:tr>
        <w:trPr>
          <w:trHeight w:val="31"/>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Year</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12,194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9,071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441</w:t>
            </w:r>
          </w:p>
        </w:tc>
      </w:tr>
      <w:tr>
        <w:trPr>
          <w:trHeight w:val="284"/>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End of Year</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30,618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12,194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9,071</w:t>
            </w:r>
          </w:p>
        </w:tc>
      </w:tr>
      <w:tr>
        <w:trPr>
          <w:trHeight w:val="237"/>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Supplemental Information:</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696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5,513</w:t>
            </w:r>
          </w:p>
        </w:tc>
        <w:tc>
          <w:tcPr>
            <w:tcW w:w="100" w:type="dxa"/>
            <w:vAlign w:val="bottom"/>
          </w:tcPr>
          <w:p>
            <w:pPr>
              <w:spacing w:after="0"/>
              <w:rPr>
                <w:sz w:val="21"/>
                <w:szCs w:val="21"/>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4,275</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4,769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 w:hanging="152"/>
        <w:spacing w:after="0"/>
        <w:tabs>
          <w:tab w:leader="none" w:pos="15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Not covered by the auditor's report.</w:t>
      </w:r>
    </w:p>
    <w:p>
      <w:pPr>
        <w:ind w:left="1452"/>
        <w:spacing w:after="0"/>
        <w:rPr>
          <w:sz w:val="20"/>
          <w:szCs w:val="20"/>
          <w:color w:val="auto"/>
        </w:rPr>
      </w:pPr>
      <w:r>
        <w:rPr>
          <w:rFonts w:ascii="Arial" w:cs="Arial" w:eastAsia="Arial" w:hAnsi="Arial"/>
          <w:sz w:val="16"/>
          <w:szCs w:val="16"/>
          <w:color w:val="auto"/>
        </w:rPr>
        <w:t>The accompanying notes are an integral part of these consolidated financial statements and should be read in conjunction herewith.</w:t>
      </w:r>
    </w:p>
    <w:p>
      <w:pPr>
        <w:sectPr>
          <w:pgSz w:w="11900" w:h="16838" w:orient="portrait"/>
          <w:cols w:equalWidth="0" w:num="1">
            <w:col w:w="10912"/>
          </w:cols>
          <w:pgMar w:left="248" w:top="769" w:right="739" w:bottom="1440" w:gutter="0" w:footer="0" w:header="0"/>
        </w:sectPr>
      </w:pPr>
    </w:p>
    <w:p>
      <w:pPr>
        <w:spacing w:after="0" w:line="230" w:lineRule="exact"/>
        <w:rPr>
          <w:sz w:val="20"/>
          <w:szCs w:val="20"/>
          <w:color w:val="auto"/>
        </w:rPr>
      </w:pPr>
    </w:p>
    <w:p>
      <w:pPr>
        <w:jc w:val="center"/>
        <w:ind w:right="-491"/>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12"/>
          </w:cols>
          <w:pgMar w:left="248" w:top="769" w:right="7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MANTENIMIENTO EXPRESS MARITIMO S.A.P.I. de C.V.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December 31, 2017 (not covered by the auditor's report), December 31, 2016 (not covered by the auditor's report), and December 31, 2015 (covered by the auditor's report).</w:t>
      </w:r>
    </w:p>
    <w:p>
      <w:pPr>
        <w:spacing w:after="0" w:line="16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ACCOUNTING POLICIES</w:t>
      </w:r>
    </w:p>
    <w:p>
      <w:pPr>
        <w:spacing w:after="0" w:line="1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Nature of Operations. </w:t>
      </w:r>
      <w:r>
        <w:rPr>
          <w:rFonts w:ascii="Arial" w:cs="Arial" w:eastAsia="Arial" w:hAnsi="Arial"/>
          <w:sz w:val="17"/>
          <w:szCs w:val="17"/>
          <w:color w:val="auto"/>
        </w:rPr>
        <w:t>Mantenimiento Express Maritimo S.A.P.I. de C.V. (“MexMar” or the “Company”) was incorporated on August 12, 2003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Mexico City. The Company operates a diverse fleet of offshore support vessels primarily servicing offshore oil and natural gas exploration, development and production facilities in the Republic of Mexico. These vessels deliver cargo and personnel to offshore installations, handle anchors and mooring equipment required to tether rigs to the seabed; tow rigs and assist in placing them on location and moving them between regions; and carry and launch equipment such as remote operated vehicles or “ROVs” used underwater in drilling and well installation, maintenance and repair.</w:t>
      </w:r>
    </w:p>
    <w:p>
      <w:pPr>
        <w:spacing w:after="0" w:line="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reliant upon its primary customer, Petroleos Mexicanos (“Pemex”), an oil company owned by the United Mexican States. During the years ended December 31, 2017, 2016 and 2015, $63.8 million, $69.8 million and $77.8 million, respectively, of the Company’s operating revenues were derived from services provided to Pemex. The loss of Pemex as a customer or a decline in services provided to Pemex could have a material adverse effect on MexMar’s results of operations.</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Related Parties. </w:t>
      </w:r>
      <w:r>
        <w:rPr>
          <w:rFonts w:ascii="Arial" w:cs="Arial" w:eastAsia="Arial" w:hAnsi="Arial"/>
          <w:sz w:val="18"/>
          <w:szCs w:val="18"/>
          <w:color w:val="auto"/>
        </w:rPr>
        <w:t>The Company’s common stock is held by two shareholders. Proyectos Globales de Energia y Servicios CME, S.A. de C.V.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two wholly-owned subsidiaries (collectively “Proyectos”) owns 51% and SEACOR Marine Holdings Inc. through an indirectly owned subsidiary (along with its other majority-owned subsidiaries collectively referred to as “SEACOR Marine”) owns 49%.</w:t>
      </w:r>
    </w:p>
    <w:p>
      <w:pPr>
        <w:spacing w:after="0" w:line="71"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w:t>
      </w:r>
      <w:r>
        <w:rPr>
          <w:rFonts w:ascii="Arial" w:cs="Arial" w:eastAsia="Arial" w:hAnsi="Arial"/>
          <w:sz w:val="19"/>
          <w:szCs w:val="19"/>
          <w:color w:val="auto"/>
        </w:rPr>
        <w:t>h</w:t>
      </w:r>
      <w:r>
        <w:rPr>
          <w:rFonts w:ascii="Arial" w:cs="Arial" w:eastAsia="Arial" w:hAnsi="Arial"/>
          <w:sz w:val="18"/>
          <w:szCs w:val="18"/>
          <w:color w:val="auto"/>
        </w:rPr>
        <w:t>e accompanying financial statements are expressed in U.S dollars and are prepared in accordance with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principles generally accepted in the United States of America (GAAP).</w:t>
      </w:r>
    </w:p>
    <w:p>
      <w:pPr>
        <w:spacing w:after="0" w:line="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i w:val="1"/>
          <w:iCs w:val="1"/>
          <w:color w:val="auto"/>
        </w:rPr>
        <w:t>Basis of Consolidation</w:t>
      </w:r>
      <w:r>
        <w:rPr>
          <w:rFonts w:ascii="Arial" w:cs="Arial" w:eastAsia="Arial" w:hAnsi="Arial"/>
          <w:sz w:val="19"/>
          <w:szCs w:val="19"/>
          <w:color w:val="auto"/>
        </w:rPr>
        <w:t>.</w:t>
      </w:r>
      <w:r>
        <w:rPr>
          <w:rFonts w:ascii="Arial" w:cs="Arial" w:eastAsia="Arial" w:hAnsi="Arial"/>
          <w:sz w:val="18"/>
          <w:szCs w:val="18"/>
          <w:b w:val="1"/>
          <w:bCs w:val="1"/>
          <w:i w:val="1"/>
          <w:iCs w:val="1"/>
          <w:color w:val="auto"/>
        </w:rPr>
        <w:t xml:space="preserve"> </w:t>
      </w:r>
      <w:r>
        <w:rPr>
          <w:rFonts w:ascii="Arial" w:cs="Arial" w:eastAsia="Arial" w:hAnsi="Arial"/>
          <w:sz w:val="16"/>
          <w:szCs w:val="16"/>
          <w:color w:val="auto"/>
        </w:rPr>
        <w:t>T</w:t>
      </w:r>
      <w:r>
        <w:rPr>
          <w:rFonts w:ascii="Arial" w:cs="Arial" w:eastAsia="Arial" w:hAnsi="Arial"/>
          <w:sz w:val="18"/>
          <w:szCs w:val="18"/>
          <w:color w:val="auto"/>
        </w:rPr>
        <w:t>he Company consolidates entities in which it holds a controlling financial interest. For voting interest entities,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is considered to hold a controlling financial interest when it is able to exercise control over the investees’ operating and financial decisions. For variable interest entities (VIEs), the determination of which is based on the amount and characteristics of the entity’s equity, the Company is considered to hold a controlling financial interest when it is determined to be the primary beneficiary. A primary beneficiary is the party that has both: (1) the power to direct the activities that most significantly impact that VIE’s economic performance, and (2) the obligation to absorb losses of, or the right to receive benefits from, the VIE that could potentially be significant to the VIE.</w:t>
      </w:r>
    </w:p>
    <w:p>
      <w:pPr>
        <w:spacing w:after="0" w:line="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Entities in which the Company’s voting interest in common equity does not provide it with control, but allows the Company to exert significant influence over the operating and financial decisions, are accounted for under the equity method. All other investments in equity securities, to the extent they are not considered marketable securities, are accounted for under the cost method.</w:t>
      </w:r>
    </w:p>
    <w:p>
      <w:pPr>
        <w:spacing w:after="0" w:line="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United States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 of assets and liabilities and disclosure of contingent assets and liabilities at the date of the financial statements and the reported amounts of revenues and expenses during the reporting period. Such estimates include those related to deferred revenues, allowance for doubtful accounts, useful lives of property and equipment, impairments, income tax provisions, and certain accrued liabilities. Actual results could differ from estimates and those differences may be material.</w:t>
      </w:r>
    </w:p>
    <w:p>
      <w:pPr>
        <w:spacing w:after="0" w:line="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Subsequent Events. </w:t>
      </w:r>
      <w:r>
        <w:rPr>
          <w:rFonts w:ascii="Arial" w:cs="Arial" w:eastAsia="Arial" w:hAnsi="Arial"/>
          <w:sz w:val="18"/>
          <w:szCs w:val="18"/>
          <w:color w:val="auto"/>
        </w:rPr>
        <w:t>The Company has performed an evaluation of subsequent events through April, 11 2018, the date the consolidated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were available to be issued (see Note 12).</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The Company recognizes revenue when it is realized or realizable and earned. Revenue is realized or realizable and earned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persuasive evidence of an arrangement exists, delivery has occurred or services have been rendered, the price to the buyer is fixed or determinable, and collectability is reasonably assured. Revenue that does not meet these criteria is deferred until the criteria is met. As of December 31, 2017, 2016 and 2015, the Company has no deferred revenue.</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earns and recognizes revenues primarily from the time charter of vessels to customers based upon daily rates of hire. Under a time charter, the Company provides a vessel to a customer and is responsible for all operating expenses, typically excluding fuel. Vessel charters may range from several days to several years. Revenues from time charters are recognized as services are provided. In Mexico, time charter durations and rates are typically established in the context service agreements.</w:t>
      </w:r>
    </w:p>
    <w:p>
      <w:pPr>
        <w:spacing w:after="0" w:line="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The Company considers all highly liquid investments with an original maturity of three months or less, when purchased,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equivalents. Cash equivalents primarily consist of overnight investments.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The Company’s restricted cash balances were established in conjunction with the DVB Credit Facility (see Note 4). Restricted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used to repay outstanding balances under the DVB Credit Facility and to provide for scheduled drydocking expenses for the Company’s offshore support vessels.</w:t>
      </w:r>
    </w:p>
    <w:p>
      <w:pPr>
        <w:spacing w:after="0" w:line="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Trade and Other Receivables. </w:t>
      </w:r>
      <w:r>
        <w:rPr>
          <w:rFonts w:ascii="Arial" w:cs="Arial" w:eastAsia="Arial" w:hAnsi="Arial"/>
          <w:sz w:val="16"/>
          <w:szCs w:val="16"/>
          <w:color w:val="auto"/>
        </w:rPr>
        <w:t>Pemex and any other trade customers are granted credit on a short-term basis and related credit risks are considered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minimal. Other receivables consist primarily of insurance and other miscellaneous receivables. The Company routinely reviews its receivables and makes provisions for probable doubtful accounts; however, those provisions are estimates and actual results could differ from estimates and those differences may be material. Trade receivables are deemed uncollectible and removed from accounts receivable and the allowance for doubtful accounts when collection efforts have been exhausted. As of December 31, 2017, the Company had an allowance for doubtful accounts of $0.7 million, (2016 - nil).</w:t>
      </w:r>
    </w:p>
    <w:p>
      <w:pPr>
        <w:spacing w:after="0" w:line="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The Company accounts for derivatives through the use of a fair value concept whereby all of the Company’s derivative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positions are stated at fair value in the accompanying balance sheets. Realized and unrealized gains and losses on derivatives not designated as hedges are reported in the accompanying statements of income as derivative gains (losses), net. Realized and unrealized gains and losses on derivatives designated as cash flow hedges are reported as a component of other comprehensive income or loss in the accompanying statements of comprehensive income to the extent they are effective and reclassified into earnings on the same line item associated with the hedged transaction and in the same period the hedged transaction affects earnings.</w:t>
      </w:r>
    </w:p>
    <w:p>
      <w:pPr>
        <w:spacing w:after="0" w:line="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The Company is exposed to concentrations of credit risk associated with its cash and cash equivalents, restricted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derivative instruments. The Company minimizes its credit risk relating to these positions by monitoring the financial condition of the financial institutions and counterparties involved and by primarily conducting business with large, well-established financial institutions and diversifying its counterparties. The Company does not currently anticipate nonperformance by any of its significant counterparties. The Company is also exposed to concentrations of credit risk relating to its receivables due from customers described above, primarily Pemex. The Company does not generally require collateral or other security to support its outstanding receivables. The Company minimizes its credit risk relating to receivables by performing ongoing credit evaluations and, to date, credit losses have not been material.</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which consist of fuel on its offshore support vessels are stated at the lower of cost (using the first-in, first-out method)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The Company records write-downs, as needed, to adjust the carrying amount of inventories to the lower of cost or market. There were no inventory write-downs during the years ended December 31, 2017, 2016 and 2015.</w:t>
      </w:r>
    </w:p>
    <w:p>
      <w:pPr>
        <w:spacing w:after="0" w:line="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Equipment, stated at cost, is depreciated using the straight-line method over the estimated useful life of the asset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salvage value. With respect to offshore support vessels, the estimated useful life is typically based upon a newly built vessel being placed into service and represents the point at which it is typically not justifiable for the Company to continue to operate the vessel in the same or similar manner. From time to time, the Company may acquire older vessels that have already exceeded the Company’s useful life policy, in which case the Company depreciates such vessels based on its best estimate of remaining useful life, typically the next regulatory survey or certification date.</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2017, the estimated useful life (in years) of each of the Company’s major categories of new equipment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Offshore support vessels</w:t>
            </w:r>
          </w:p>
        </w:tc>
        <w:tc>
          <w:tcPr>
            <w:tcW w:w="51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r>
      <w:tr>
        <w:trPr>
          <w:trHeight w:val="256"/>
        </w:trPr>
        <w:tc>
          <w:tcPr>
            <w:tcW w:w="6320" w:type="dxa"/>
            <w:vAlign w:val="bottom"/>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(1)</w:t>
            </w:r>
          </w:p>
        </w:tc>
        <w:tc>
          <w:tcPr>
            <w:tcW w:w="5100" w:type="dxa"/>
            <w:vAlign w:val="bottom"/>
          </w:tcPr>
          <w:p>
            <w:pPr>
              <w:jc w:val="right"/>
              <w:ind w:right="350"/>
              <w:spacing w:after="0"/>
              <w:rPr>
                <w:sz w:val="20"/>
                <w:szCs w:val="20"/>
                <w:color w:val="auto"/>
              </w:rPr>
            </w:pPr>
            <w:r>
              <w:rPr>
                <w:rFonts w:ascii="Arial" w:cs="Arial" w:eastAsia="Arial" w:hAnsi="Arial"/>
                <w:sz w:val="18"/>
                <w:szCs w:val="18"/>
                <w:color w:val="auto"/>
              </w:rPr>
              <w:t>3-5</w:t>
            </w:r>
          </w:p>
        </w:tc>
      </w:tr>
      <w:tr>
        <w:trPr>
          <w:trHeight w:val="224"/>
        </w:trPr>
        <w:tc>
          <w:tcPr>
            <w:tcW w:w="6320" w:type="dxa"/>
            <w:vAlign w:val="bottom"/>
          </w:tcPr>
          <w:p>
            <w:pPr>
              <w:jc w:val="right"/>
              <w:ind w:right="4330"/>
              <w:spacing w:after="0"/>
              <w:rPr>
                <w:sz w:val="20"/>
                <w:szCs w:val="20"/>
                <w:color w:val="auto"/>
              </w:rPr>
            </w:pPr>
            <w:r>
              <w:rPr>
                <w:rFonts w:ascii="Arial" w:cs="Arial" w:eastAsia="Arial" w:hAnsi="Arial"/>
                <w:sz w:val="18"/>
                <w:szCs w:val="18"/>
                <w:color w:val="auto"/>
                <w:w w:val="89"/>
              </w:rPr>
              <w:t>_____________________</w:t>
            </w:r>
          </w:p>
        </w:tc>
        <w:tc>
          <w:tcPr>
            <w:tcW w:w="5100" w:type="dxa"/>
            <w:vAlign w:val="bottom"/>
          </w:tcPr>
          <w:p>
            <w:pPr>
              <w:spacing w:after="0"/>
              <w:rPr>
                <w:sz w:val="19"/>
                <w:szCs w:val="19"/>
                <w:color w:val="auto"/>
              </w:rPr>
            </w:pPr>
          </w:p>
        </w:tc>
      </w:tr>
    </w:tbl>
    <w:p>
      <w:pPr>
        <w:ind w:left="500" w:hanging="492"/>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4"/>
          <w:szCs w:val="14"/>
          <w:color w:val="auto"/>
        </w:rPr>
        <w:t>Includes leasehold improvements, vehicles and other property and equipment.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The Company’s property and equipment as of December 31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Historical Cost</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27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Depreciation</w:t>
            </w: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720" w:type="dxa"/>
            <w:vAlign w:val="bottom"/>
            <w:tcBorders>
              <w:top w:val="single" w:sz="8" w:color="CCEEFF"/>
              <w:bottom w:val="single" w:sz="8" w:color="CCEEFF"/>
            </w:tcBorders>
            <w:shd w:val="clear" w:color="auto" w:fill="CCEEFF"/>
          </w:tcPr>
          <w:p>
            <w:pPr>
              <w:spacing w:after="0"/>
              <w:rPr>
                <w:sz w:val="23"/>
                <w:szCs w:val="23"/>
                <w:color w:val="auto"/>
              </w:rPr>
            </w:pPr>
          </w:p>
        </w:tc>
        <w:tc>
          <w:tcPr>
            <w:tcW w:w="4720" w:type="dxa"/>
            <w:vAlign w:val="bottom"/>
            <w:tcBorders>
              <w:top w:val="single" w:sz="8" w:color="CCEEFF"/>
              <w:bottom w:val="single" w:sz="8" w:color="CCEEFF"/>
            </w:tcBorders>
            <w:shd w:val="clear" w:color="auto" w:fill="CCEEFF"/>
          </w:tcPr>
          <w:p>
            <w:pPr>
              <w:jc w:val="right"/>
              <w:ind w:right="34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Offshore support vessels</w:t>
            </w:r>
          </w:p>
        </w:tc>
        <w:tc>
          <w:tcPr>
            <w:tcW w:w="4720" w:type="dxa"/>
            <w:vAlign w:val="bottom"/>
            <w:tcBorders>
              <w:top w:val="single" w:sz="8" w:color="auto"/>
            </w:tcBorders>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258,748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(65,414)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193,334</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(1)</w:t>
            </w:r>
          </w:p>
        </w:tc>
        <w:tc>
          <w:tcPr>
            <w:tcW w:w="47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259,089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(65,714)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193,375</w:t>
            </w:r>
          </w:p>
        </w:tc>
        <w:tc>
          <w:tcPr>
            <w:tcW w:w="0" w:type="dxa"/>
            <w:vAlign w:val="bottom"/>
          </w:tcPr>
          <w:p>
            <w:pPr>
              <w:spacing w:after="0"/>
              <w:rPr>
                <w:sz w:val="1"/>
                <w:szCs w:val="1"/>
                <w:color w:val="auto"/>
              </w:rPr>
            </w:pPr>
          </w:p>
        </w:tc>
      </w:tr>
      <w:tr>
        <w:trPr>
          <w:trHeight w:val="67"/>
        </w:trPr>
        <w:tc>
          <w:tcPr>
            <w:tcW w:w="2720" w:type="dxa"/>
            <w:vAlign w:val="bottom"/>
            <w:tcBorders>
              <w:bottom w:val="single" w:sz="8" w:color="CCEEFF"/>
            </w:tcBorders>
          </w:tcPr>
          <w:p>
            <w:pPr>
              <w:spacing w:after="0"/>
              <w:rPr>
                <w:sz w:val="5"/>
                <w:szCs w:val="5"/>
                <w:color w:val="auto"/>
              </w:rPr>
            </w:pPr>
          </w:p>
        </w:tc>
        <w:tc>
          <w:tcPr>
            <w:tcW w:w="47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7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jc w:val="right"/>
              <w:ind w:right="3450"/>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Offshore support vessels</w:t>
            </w:r>
          </w:p>
        </w:tc>
        <w:tc>
          <w:tcPr>
            <w:tcW w:w="4720" w:type="dxa"/>
            <w:vAlign w:val="bottom"/>
            <w:tcBorders>
              <w:top w:val="single" w:sz="8" w:color="auto"/>
            </w:tcBorders>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257,983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(49,492)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208,491</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47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258,324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(49,737)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208,587</w:t>
            </w:r>
          </w:p>
        </w:tc>
        <w:tc>
          <w:tcPr>
            <w:tcW w:w="0" w:type="dxa"/>
            <w:vAlign w:val="bottom"/>
          </w:tcPr>
          <w:p>
            <w:pPr>
              <w:spacing w:after="0"/>
              <w:rPr>
                <w:sz w:val="1"/>
                <w:szCs w:val="1"/>
                <w:color w:val="auto"/>
              </w:rPr>
            </w:pPr>
          </w:p>
        </w:tc>
      </w:tr>
      <w:tr>
        <w:trPr>
          <w:trHeight w:val="27"/>
        </w:trPr>
        <w:tc>
          <w:tcPr>
            <w:tcW w:w="272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4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20" w:type="dxa"/>
            <w:vAlign w:val="bottom"/>
            <w:vMerge w:val="continu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4"/>
          <w:szCs w:val="14"/>
          <w:color w:val="auto"/>
        </w:rPr>
        <w:t>Includes leasehold improvements, vehicles and other property and equipment.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jc w:val="both"/>
        <w:ind w:firstLine="648"/>
        <w:spacing w:after="0" w:line="264" w:lineRule="auto"/>
        <w:rPr>
          <w:sz w:val="20"/>
          <w:szCs w:val="20"/>
          <w:color w:val="auto"/>
        </w:rPr>
      </w:pPr>
      <w:r>
        <w:rPr>
          <w:rFonts w:ascii="Arial" w:cs="Arial" w:eastAsia="Arial" w:hAnsi="Arial"/>
          <w:sz w:val="18"/>
          <w:szCs w:val="18"/>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vessels, as well as major renewals and improvements to other properties, are capitalized.</w:t>
      </w:r>
    </w:p>
    <w:p>
      <w:pPr>
        <w:spacing w:after="0" w:line="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Impairment of Long-Lived Assets. </w:t>
      </w:r>
      <w:r>
        <w:rPr>
          <w:rFonts w:ascii="Arial" w:cs="Arial" w:eastAsia="Arial" w:hAnsi="Arial"/>
          <w:sz w:val="17"/>
          <w:szCs w:val="17"/>
          <w:color w:val="auto"/>
        </w:rPr>
        <w:t>The Company performs an impairment analysis of long-lived assets used in operations, when indicators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 of the assets is not recoverable, as determined by the estimated undiscounted cash flows, the carrying value of the assets is reduced to fair value, if lower. Generally, fair value is determined using valuation techniques, such as expected discounted cash flows or appraisals, as appropriate. During the years ended December 31, 2017, 2016 and 2015, the Company did not identify indicators of impairment nor recognize any impairment charges related to long-lived assets held for use.</w:t>
      </w:r>
    </w:p>
    <w:p>
      <w:pPr>
        <w:spacing w:after="0" w:line="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Debt Issuance Costs. </w:t>
      </w:r>
      <w:r>
        <w:rPr>
          <w:rFonts w:ascii="Arial" w:cs="Arial" w:eastAsia="Arial" w:hAnsi="Arial"/>
          <w:sz w:val="18"/>
          <w:szCs w:val="18"/>
          <w:color w:val="auto"/>
        </w:rPr>
        <w:t>Debt issuance costs incurred in connection with the issuance of debt are amortized over the life of the related debt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interest rate method and is included in interest expense in the accompanying statements of income.</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Self-insurance Liabilities. </w:t>
      </w:r>
      <w:r>
        <w:rPr>
          <w:rFonts w:ascii="Arial" w:cs="Arial" w:eastAsia="Arial" w:hAnsi="Arial"/>
          <w:sz w:val="18"/>
          <w:szCs w:val="18"/>
          <w:color w:val="auto"/>
        </w:rPr>
        <w:t>The Company maintains marine hull, liability and war risk, general liability and other insurance customary in the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which it operates. Both the marine hull and liability policies have per incident deductibles. Certain insurance coverage is obtained through SEACOR Marine's sponsored programs. The Company’s insurance premiums for these policies could differ if it were not part of SEACOR Marine's sponsored programs. To the extent that estimated self-insurance losses differ from actual losses realized, the Company’s insurance reserves could differ significantly and may result in either higher or lower insurance expense in future periods.</w:t>
      </w:r>
    </w:p>
    <w:p>
      <w:pPr>
        <w:spacing w:after="0" w:line="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Deferred income tax assets and liabilities have been provided in recognition of the income tax effect attributable to the book and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basis differences of assets and liabilities reported in the accompanying financial statements. Deferred tax assets or liabilities are provided using the enacted tax rates expected to apply to taxable income in the periods in which they are expected to be settled or realized. The Company’s deferred tax assets and liabilities are calculated in accordance with Mexican tax regulations and denominated in Mexican pesos reflecting the jurisdiction in which the taxes will be settled. Gains and losses on the translation of deferred tax assets and liabilities into U.S. dollars are included in deferred income tax expense in the accompanying statements of comprehensive income. Interest and penalties relating to uncertain tax positions are recognized in interest expense and administrative and general, respectively, in the accompanying statements of comprehensive income. The Company records a valuation allowance to reduce its deferred tax assets if it is more likely than not that some portion or all of the deferred tax assets will not be realized.</w:t>
      </w:r>
    </w:p>
    <w:p>
      <w:pPr>
        <w:spacing w:after="0" w:line="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normal course of business, the Company may be subject to challenges from tax authorities regarding the amount of taxes due for the Company. These challenges may alter the timing or amount of taxable income or deductions. As part of the calculation of income tax expense, the Company determines whether the benefits of its tax positions are at least more likely than not of being sustained based on the technical merits of the tax position. For tax positions that are more likely than not of being sustained, the Company accrues the largest amount of the tax benefit that is more likely than not of being sustained. Such accruals require management to make estimates and judgments with respect to the ultimate outcome of its tax benefits and actual results could vary materially from these estimates.</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Foreign Currency Transactions. </w:t>
      </w:r>
      <w:r>
        <w:rPr>
          <w:rFonts w:ascii="Arial" w:cs="Arial" w:eastAsia="Arial" w:hAnsi="Arial"/>
          <w:sz w:val="18"/>
          <w:szCs w:val="18"/>
          <w:color w:val="auto"/>
        </w:rPr>
        <w:t>The Company enters into transactions denominated in currencies other than its functional currency, the U.S. dollar.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Gains and losses resulting from changes in currency exchange rates between the functional currency and the currency in which a transaction is denominated are included in foreign currency gains (losses), net in the accompanying consolidated statements of comprehensive income in the period in which the currency exchange rates change.</w:t>
      </w:r>
    </w:p>
    <w:p>
      <w:pPr>
        <w:spacing w:after="0" w:line="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New Accounting Pronouncements. </w:t>
      </w:r>
      <w:r>
        <w:rPr>
          <w:rFonts w:ascii="Arial" w:cs="Arial" w:eastAsia="Arial" w:hAnsi="Arial"/>
          <w:sz w:val="16"/>
          <w:szCs w:val="16"/>
          <w:color w:val="auto"/>
        </w:rPr>
        <w:t>On May 28, 2014, the Financial Accounting Standards Board (“FASB”) issued a comprehensive new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recognition standard that will supersede nearly all existing revenue recognition guidance under generally accepted accounting principles in the United States. The core principal of the new standard is that a company will recognize revenue when it transfers promised goods or services to customers in an amount that reflects the consideration to which the company expects to be entitled in exchange for those goods or services. The Company will adopt the new standard on January 1, 2018 and expects to use the modified retrospective approach upon adoption. The Company has determined that adopting the new accounting standard will not have a material impact on its consolidated financial position, results of operations or cash flows for any of its revenue streams.</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25, 2016, the FASB issued a comprehensive new leasing standard, which improves transparency and comparability among companies by requiring lessees to recognize a lease liability and a corresponding lease asset for virtually all lease contracts. It also requires additional disclosures about leasing arrangements. The Company will adopt the new standard 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January 1, 2019 and will use the modified retrospective approach upon adoption. The Company expects the adoption of the new standard will not have a material impact on its consolidated financial position, results of operations and cash flows.</w:t>
      </w:r>
    </w:p>
    <w:p>
      <w:pPr>
        <w:spacing w:after="0" w:line="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August 26, 2016, the FASB issued an amendment to the accounting standard which amends or clarifies guidance on classification of certain transactions in the statement of cash flows, including classification of proceeds from the settlement of insurance claims, debt prepayments, debt extinguishment costs and contingent consideration payments after a business combination. The Company will adopt the new standard on January 1, 2018 and does not expect the adoption of the new standard will have a material impact on its consolidated financial position, results of operations or cash flows.</w:t>
      </w:r>
    </w:p>
    <w:p>
      <w:pPr>
        <w:spacing w:after="0" w:line="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17, 2016, the FASB issued an amendment to the accounting standard which requires that restricted cash and restricted cash equivalents be included with cash and cash equivalents when reconciling the beginning-of-period and end-of-period total cash amounts shown on the statement of cash flows. The new standard is effective for fiscal years beginning after December 15, 2018. Early adoption is permitted.</w:t>
      </w:r>
    </w:p>
    <w:p>
      <w:pPr>
        <w:spacing w:after="0" w:line="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5, 2017, the FASB issued an amendment to the accounting standard which clarifies the definition of a business and assists entities with evaluating whether transactions should be accounted for as acquisitions (or disposals) of assets or businesses. The Company will adopt the new standard on January 1, 2018 and does not expect the impact of the adoption of the new standard to have a material impact on its consolidated financial position, results of operations or cash flows.</w:t>
      </w:r>
    </w:p>
    <w:p>
      <w:pPr>
        <w:spacing w:after="0" w:line="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February 22, 2017, the FASB issued an amendment to the accounting standard which clarifies the scope of guidance on nonfinancial asset derecognition and the accounting for partial sales of nonfinancial assets. The new guidance also conforms the derecognition guidance for nonfinancial assets with the model in the new revenue standard. The Company will adopt the new standard on January 1, 2018 and does not expect the impact of the adoption of the new standard to have a material impact on its consolidated financial position, results of operations or cash flows.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OTHER RECEIVABLES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other receivables are primarily hull and machinery insurance claims. During the years ended December 31, 2017 and 2016, the insurance claim receivable net of deductible was $2.5 million and $2.3 million, respectively.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EQUIPMENT ACQUISITIONS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Equipment Additions. </w:t>
      </w:r>
      <w:r>
        <w:rPr>
          <w:rFonts w:ascii="Arial" w:cs="Arial" w:eastAsia="Arial" w:hAnsi="Arial"/>
          <w:sz w:val="18"/>
          <w:szCs w:val="18"/>
          <w:color w:val="auto"/>
        </w:rPr>
        <w:t>During the years ended December 31, 2017, 2016 and 2015, the Company’s capital expenditures were $0.3 million, $34.8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$56.7 million, respectively. During each of the years ended December 31, 2016 and 2015, the Company took delivery of two supply vessels. The two vessels delivered in 2016 were acquired from SEACOR Marine (See Note 10).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4.</w:t>
            </w:r>
          </w:p>
        </w:tc>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8280" w:type="dxa"/>
            <w:vAlign w:val="bottom"/>
          </w:tcPr>
          <w:p>
            <w:pPr>
              <w:ind w:left="140"/>
              <w:spacing w:after="0"/>
              <w:rPr>
                <w:sz w:val="20"/>
                <w:szCs w:val="20"/>
                <w:color w:val="auto"/>
              </w:rPr>
            </w:pPr>
            <w:r>
              <w:rPr>
                <w:rFonts w:ascii="Arial" w:cs="Arial" w:eastAsia="Arial" w:hAnsi="Arial"/>
                <w:sz w:val="18"/>
                <w:szCs w:val="18"/>
                <w:color w:val="auto"/>
              </w:rPr>
              <w:t>The Company’s long-term debt obligations as of December 31 were as follows (in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0" w:type="dxa"/>
            <w:vAlign w:val="bottom"/>
            <w:tcBorders>
              <w:bottom w:val="single" w:sz="8" w:color="CCEEFF"/>
            </w:tcBorders>
          </w:tcPr>
          <w:p>
            <w:pPr>
              <w:spacing w:after="0"/>
              <w:rPr>
                <w:sz w:val="24"/>
                <w:szCs w:val="24"/>
                <w:color w:val="auto"/>
              </w:rPr>
            </w:pPr>
          </w:p>
        </w:tc>
        <w:tc>
          <w:tcPr>
            <w:tcW w:w="82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DVB Credit Facility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110,818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106,054</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Portion due within one year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(12,298)</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Issuance costs related to DVB Credit Facility</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95,261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91,799</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280" w:type="dxa"/>
            <w:vAlign w:val="bottom"/>
            <w:vMerge w:val="restart"/>
          </w:tcPr>
          <w:p>
            <w:pPr>
              <w:ind w:left="140"/>
              <w:spacing w:after="0"/>
              <w:rPr>
                <w:sz w:val="20"/>
                <w:szCs w:val="20"/>
                <w:color w:val="auto"/>
              </w:rPr>
            </w:pPr>
            <w:r>
              <w:rPr>
                <w:rFonts w:ascii="Arial" w:cs="Arial" w:eastAsia="Arial" w:hAnsi="Arial"/>
                <w:sz w:val="18"/>
                <w:szCs w:val="18"/>
                <w:color w:val="auto"/>
                <w:w w:val="94"/>
              </w:rPr>
              <w:t>The Company’s long-term debt maturities for the years ended December 31 were as follows (in thousands):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tcPr>
          <w:p>
            <w:pPr>
              <w:spacing w:after="0"/>
              <w:rPr>
                <w:sz w:val="24"/>
                <w:szCs w:val="24"/>
                <w:color w:val="auto"/>
              </w:rPr>
            </w:pPr>
          </w:p>
        </w:tc>
        <w:tc>
          <w:tcPr>
            <w:tcW w:w="8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13,815</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rPr>
              <w:t>2019</w:t>
            </w:r>
          </w:p>
        </w:tc>
        <w:tc>
          <w:tcPr>
            <w:tcW w:w="8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13,815</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13,815</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rPr>
              <w:t>2021</w:t>
            </w:r>
          </w:p>
        </w:tc>
        <w:tc>
          <w:tcPr>
            <w:tcW w:w="8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11,314</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Years subsequent to 2022</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47,578</w:t>
            </w:r>
          </w:p>
        </w:tc>
        <w:tc>
          <w:tcPr>
            <w:tcW w:w="0" w:type="dxa"/>
            <w:vAlign w:val="bottom"/>
          </w:tcPr>
          <w:p>
            <w:pPr>
              <w:spacing w:after="0"/>
              <w:rPr>
                <w:sz w:val="1"/>
                <w:szCs w:val="1"/>
                <w:color w:val="auto"/>
              </w:rPr>
            </w:pPr>
          </w:p>
        </w:tc>
      </w:tr>
      <w:tr>
        <w:trPr>
          <w:trHeight w:val="27"/>
        </w:trPr>
        <w:tc>
          <w:tcPr>
            <w:tcW w:w="520" w:type="dxa"/>
            <w:vAlign w:val="bottom"/>
            <w:tcBorders>
              <w:bottom w:val="single" w:sz="8" w:color="CCEEFF"/>
            </w:tcBorders>
          </w:tcPr>
          <w:p>
            <w:pPr>
              <w:spacing w:after="0"/>
              <w:rPr>
                <w:sz w:val="2"/>
                <w:szCs w:val="2"/>
                <w:color w:val="auto"/>
              </w:rPr>
            </w:pPr>
          </w:p>
        </w:tc>
        <w:tc>
          <w:tcPr>
            <w:tcW w:w="8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0" w:type="dxa"/>
            <w:vAlign w:val="bottom"/>
            <w:tcBorders>
              <w:bottom w:val="single" w:sz="8" w:color="CCEEFF"/>
            </w:tcBorders>
            <w:shd w:val="clear" w:color="auto" w:fill="CCEEFF"/>
          </w:tcPr>
          <w:p>
            <w:pPr>
              <w:spacing w:after="0"/>
              <w:rPr>
                <w:sz w:val="22"/>
                <w:szCs w:val="22"/>
                <w:color w:val="auto"/>
              </w:rPr>
            </w:pPr>
          </w:p>
        </w:tc>
        <w:tc>
          <w:tcPr>
            <w:tcW w:w="8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110,818</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DVB Credit Facility. </w:t>
      </w:r>
      <w:r>
        <w:rPr>
          <w:rFonts w:ascii="Arial" w:cs="Arial" w:eastAsia="Arial" w:hAnsi="Arial"/>
          <w:sz w:val="18"/>
          <w:szCs w:val="18"/>
          <w:color w:val="auto"/>
        </w:rPr>
        <w:t>During 2012, the Company and DVB Bank N.A. (“DVB Bank”) entered into a $50.0 million credit facility secured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offshore support vessel fleet. During 2013 and 2015, the Company and DVB Bank made various amendments to the DVB Credit Facility, primarily to increase the borrowing capacity up to $170.0 million (the “DVB Credit Facility”), the last of which occurred in June 2015. Draws on the DVB Credit Facility are limited to 65% of the fair market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value of the Company’s offshore support vessels that are subject to a time charter or bareboat charter in excess of one year. The DVB Credit Facility contains certain financial covenants such as a minimum debt service coverage ratio, cash balances and asset maintenance levels, as defined. The minimum cash balances, as defined, includes the restricted cash balances for quarterly principal and interest payments and reserves for future budgeted drydocking costs (see Note 1). There are no events of default or covenants breached as of December 31, 2017 and 2016, and all other terms within the agreement are usual and customary.</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January 2017, the Company made the final draw of $18.2 million on the the facility to finance the purchase of two vessels in December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this last draw, the credit facility has been fully utilized.</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DVB Credit Facility bears interest at a variable rate determined by reference to the three month London Interbank Offered rate (“LIBOR”) plus a margin of 2.9%. For the years ended December 31, 2017, 2016 and 2015 the LIBOR inclusive rate ranged from 3.8% to 4.4%, 3.2% to 3.8% and 3.2% to 3.4%, respectively. The effective interest rate for the years ended December 31, 2017, 2016 and 2015 was 5.3%, 5.2% and 5.2%, respectively. The DVB Credit Facility requires quarterly principal and interest payments and a quarterly fee payable on the unused portion of the facility equal to 1% per annum. During the years ended December 31, 2017 and 2015, the Company incurred $0.2 million and $2.9 million, respectively, of issuance costs related to amending the DVB Credit Facility.</w:t>
      </w:r>
    </w:p>
    <w:p>
      <w:pPr>
        <w:spacing w:after="0" w:line="18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ADVANCES FROM SHAREHOLDERS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the Company’s shareholders provide advances to the Company for various uses, primarily for the acquisition of offshore support vessels and other working capital purposes. These advances are non-interest bearing and have no set repayment terms. During the year ended December 31, 2017, the Company returned $15.0 million of advances. During the years ended December 31, 2016 and 2015, the Company advanced $15.0 million and $16.1 million, respectively, for the acquisition of supply vessels.</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INCOME TAXES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reconciles the difference between the statutory federal income tax rate for the Company and the effective income tax rate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rate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Exchange gains (losses) on statutory tax regulations</w:t>
            </w:r>
          </w:p>
        </w:tc>
        <w:tc>
          <w:tcPr>
            <w:tcW w:w="1120" w:type="dxa"/>
            <w:vAlign w:val="bottom"/>
          </w:tcPr>
          <w:p>
            <w:pPr>
              <w:jc w:val="right"/>
              <w:spacing w:after="0"/>
              <w:rPr>
                <w:sz w:val="20"/>
                <w:szCs w:val="20"/>
                <w:color w:val="auto"/>
              </w:rPr>
            </w:pPr>
            <w:r>
              <w:rPr>
                <w:rFonts w:ascii="Arial" w:cs="Arial" w:eastAsia="Arial" w:hAnsi="Arial"/>
                <w:sz w:val="18"/>
                <w:szCs w:val="18"/>
                <w:color w:val="auto"/>
              </w:rPr>
              <w:t>14.5 %</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gains on net operating loss carryforwards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Non-deductible expenses</w:t>
            </w:r>
          </w:p>
        </w:tc>
        <w:tc>
          <w:tcPr>
            <w:tcW w:w="1120" w:type="dxa"/>
            <w:vAlign w:val="bottom"/>
          </w:tcPr>
          <w:p>
            <w:pPr>
              <w:jc w:val="right"/>
              <w:spacing w:after="0"/>
              <w:rPr>
                <w:sz w:val="20"/>
                <w:szCs w:val="20"/>
                <w:color w:val="auto"/>
              </w:rPr>
            </w:pPr>
            <w:r>
              <w:rPr>
                <w:rFonts w:ascii="Arial" w:cs="Arial" w:eastAsia="Arial" w:hAnsi="Arial"/>
                <w:sz w:val="18"/>
                <w:szCs w:val="18"/>
                <w:color w:val="auto"/>
              </w:rPr>
              <w:t>1.1 %</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Inflation adjustment on statutorily defined monetary items</w:t>
            </w:r>
            <w:r>
              <w:rPr>
                <w:rFonts w:ascii="Arial" w:cs="Arial" w:eastAsia="Arial" w:hAnsi="Arial"/>
                <w:sz w:val="21"/>
                <w:szCs w:val="21"/>
                <w:color w:val="auto"/>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0"/>
        </w:trPr>
        <w:tc>
          <w:tcPr>
            <w:tcW w:w="7700" w:type="dxa"/>
            <w:vAlign w:val="bottom"/>
          </w:tcPr>
          <w:p>
            <w:pPr>
              <w:ind w:left="40"/>
              <w:spacing w:after="0"/>
              <w:rPr>
                <w:sz w:val="20"/>
                <w:szCs w:val="20"/>
                <w:color w:val="auto"/>
              </w:rPr>
            </w:pPr>
            <w:r>
              <w:rPr>
                <w:rFonts w:ascii="Arial" w:cs="Arial" w:eastAsia="Arial" w:hAnsi="Arial"/>
                <w:sz w:val="18"/>
                <w:szCs w:val="18"/>
                <w:color w:val="auto"/>
              </w:rPr>
              <w:t>Inflation adjustment on net operating loss carryforwards</w:t>
            </w:r>
            <w:r>
              <w:rPr>
                <w:rFonts w:ascii="Arial" w:cs="Arial" w:eastAsia="Arial" w:hAnsi="Arial"/>
                <w:sz w:val="21"/>
                <w:szCs w:val="21"/>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77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42.5 %</w:t>
            </w:r>
          </w:p>
        </w:tc>
        <w:tc>
          <w:tcPr>
            <w:tcW w:w="2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47.2 %</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77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00" w:type="dxa"/>
            <w:vAlign w:val="bottom"/>
            <w:vMerge w:val="continue"/>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0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right="20" w:hanging="492"/>
        <w:spacing w:after="0" w:line="255" w:lineRule="auto"/>
        <w:tabs>
          <w:tab w:leader="none" w:pos="500" w:val="left"/>
        </w:tabs>
        <w:numPr>
          <w:ilvl w:val="0"/>
          <w:numId w:val="12"/>
        </w:numPr>
        <w:rPr>
          <w:rFonts w:ascii="Arial" w:cs="Arial" w:eastAsia="Arial" w:hAnsi="Arial"/>
          <w:sz w:val="13"/>
          <w:szCs w:val="13"/>
          <w:color w:val="auto"/>
        </w:rPr>
      </w:pPr>
      <w:r>
        <w:rPr>
          <w:rFonts w:ascii="Arial" w:cs="Arial" w:eastAsia="Arial" w:hAnsi="Arial"/>
          <w:sz w:val="14"/>
          <w:szCs w:val="14"/>
          <w:color w:val="auto"/>
        </w:rPr>
        <w:t>The Company files income tax returns in Mexico in accordance with Mexican tax regulations and its tax liabilities are denominated in Mexican Pesos. Mexican tax regulations provide for certain expenses and net operating loss carryforwards to be adjusted based on a statutorily defined inflation rate.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deferred income tax liabilities as of December 31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17,389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17,897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Intercompany sales lease back</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25,990</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Derivative instruments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44,572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27,186</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770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27,956</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23,682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16,616</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4" w:right="239" w:bottom="1440" w:gutter="0" w:footer="0" w:header="0"/>
          <w:type w:val="continuous"/>
        </w:sectPr>
      </w:pPr>
    </w:p>
    <w:bookmarkStart w:id="13" w:name="page14"/>
    <w:bookmarkEnd w:id="13"/>
    <w:p>
      <w:pPr>
        <w:jc w:val="both"/>
        <w:ind w:right="20" w:firstLine="648"/>
        <w:spacing w:after="0" w:line="277" w:lineRule="auto"/>
        <w:rPr>
          <w:sz w:val="20"/>
          <w:szCs w:val="20"/>
          <w:color w:val="auto"/>
        </w:rPr>
      </w:pPr>
      <w:r>
        <w:rPr>
          <w:rFonts w:ascii="Arial" w:cs="Arial" w:eastAsia="Arial" w:hAnsi="Arial"/>
          <w:sz w:val="18"/>
          <w:szCs w:val="18"/>
          <w:color w:val="auto"/>
        </w:rPr>
        <w:t>The Company’s income tax returns for tax years 2013 through 2017 are still subject to audit by the Mexican tax authorities. As of December 31, 2017, the Company had $56.9 million of net operating loss carryforwards which will expire in 2026.</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year ended December 31, 2016, the Company sold four vessels to its wholly owned subsidiary in a sale/lease back transaction worth $84.8 million. The transaction allowed the Company to claim the unrealized depreciation of the vessels in 2016. The Company determined based on their own analysis that the benefits from the transaction was more likely than not of being sustained based on the technical merits of the tax position.</w:t>
      </w:r>
    </w:p>
    <w:p>
      <w:pPr>
        <w:spacing w:after="0" w:line="162"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shareholders’ equity consists of two classes of common stock; Series “A” Class I and Series “B” Class II. As of December 31, 2017, 5,100 shares of Series “A” Class I shares are held by Proyectos and 4,900 shares of Series “B” Class II are held by SEACOR Marine. The are no differences in the rights and ownership of the Series “A” Class I and Series “B” Class II shares other than Series “B” Class II reflecting ownership in the Company by a foreign person.</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income for each period is subject to a Mexican legal provision requiring at least 5% of the net income for each period to be maintained as retained earnings until an amount equal to 20% of the common stock has been reserved.</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income tax law (the “Law”) sets a tax of 10% on the net income earned in 2014 and subsequent years and paid to foreign residents and Mexican citizens. For income earned in years prior to 2014, net income is taxed based on the income tax law in effect at the time. Dividends paid are not subject to income tax if they are paid from accumulated net profits generated prior to 2014. Any dividends paid in excess of these accumulated net profits are subject to a tax rate of up to 42.896% in certain circumstances. The current tax is payable by the Company and may be credited against the Company’s income in the period paid or the following two years. Dividends paid from net income previously taxed are not subject to tax withholding or additional tax payment. During the years ended December 31, 2017, 2016 and 2015, the Company made no dividend payments to its shareholders.</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DERIVATIVE INSTRUMENTS AND HEDGING STRATEGIES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Derivative instruments are classified as either assets or liabilities based on their individual fair values. The fair values of the Company’s derivative instruments as of December 31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2017</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1040" w:type="dxa"/>
            <w:vAlign w:val="bottom"/>
            <w:tcBorders>
              <w:bottom w:val="single" w:sz="8" w:color="auto"/>
            </w:tcBorders>
          </w:tcPr>
          <w:p>
            <w:pPr>
              <w:spacing w:after="0"/>
              <w:rPr>
                <w:sz w:val="16"/>
                <w:szCs w:val="16"/>
                <w:color w:val="auto"/>
              </w:rPr>
            </w:pPr>
          </w:p>
        </w:tc>
      </w:tr>
      <w:tr>
        <w:trPr>
          <w:trHeight w:val="152"/>
        </w:trPr>
        <w:tc>
          <w:tcPr>
            <w:tcW w:w="6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540"/>
              <w:spacing w:after="0" w:line="153" w:lineRule="exact"/>
              <w:rPr>
                <w:sz w:val="20"/>
                <w:szCs w:val="20"/>
                <w:color w:val="auto"/>
              </w:rPr>
            </w:pPr>
            <w:r>
              <w:rPr>
                <w:rFonts w:ascii="Arial" w:cs="Arial" w:eastAsia="Arial" w:hAnsi="Arial"/>
                <w:sz w:val="14"/>
                <w:szCs w:val="14"/>
                <w:b w:val="1"/>
                <w:bCs w:val="1"/>
                <w:color w:val="auto"/>
                <w:w w:val="95"/>
              </w:rPr>
              <w:t>Derivative</w:t>
            </w:r>
          </w:p>
        </w:tc>
        <w:tc>
          <w:tcPr>
            <w:tcW w:w="94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5"/>
              </w:rPr>
              <w:t>Derivative</w:t>
            </w:r>
          </w:p>
        </w:tc>
      </w:tr>
      <w:tr>
        <w:trPr>
          <w:trHeight w:val="192"/>
        </w:trPr>
        <w:tc>
          <w:tcPr>
            <w:tcW w:w="6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42"/>
              <w:spacing w:after="0"/>
              <w:rPr>
                <w:sz w:val="20"/>
                <w:szCs w:val="20"/>
                <w:color w:val="auto"/>
              </w:rPr>
            </w:pPr>
            <w:r>
              <w:rPr>
                <w:rFonts w:ascii="Arial" w:cs="Arial" w:eastAsia="Arial" w:hAnsi="Arial"/>
                <w:sz w:val="14"/>
                <w:szCs w:val="14"/>
                <w:b w:val="1"/>
                <w:bCs w:val="1"/>
                <w:color w:val="auto"/>
                <w:w w:val="83"/>
              </w:rPr>
              <w:t>Asset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8"/>
              </w:rPr>
              <w:t>Liability</w:t>
            </w:r>
          </w:p>
        </w:tc>
        <w:tc>
          <w:tcPr>
            <w:tcW w:w="9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Asset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42"/>
              <w:spacing w:after="0"/>
              <w:rPr>
                <w:sz w:val="20"/>
                <w:szCs w:val="20"/>
                <w:color w:val="auto"/>
              </w:rPr>
            </w:pPr>
            <w:r>
              <w:rPr>
                <w:rFonts w:ascii="Arial" w:cs="Arial" w:eastAsia="Arial" w:hAnsi="Arial"/>
                <w:sz w:val="14"/>
                <w:szCs w:val="14"/>
                <w:b w:val="1"/>
                <w:bCs w:val="1"/>
                <w:color w:val="auto"/>
              </w:rPr>
              <w:t>Liability</w:t>
            </w: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rate swap agreements (cash flow hedges)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1,148</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328</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Cash Flow Hedges. </w:t>
      </w:r>
      <w:r>
        <w:rPr>
          <w:rFonts w:ascii="Arial" w:cs="Arial" w:eastAsia="Arial" w:hAnsi="Arial"/>
          <w:sz w:val="18"/>
          <w:szCs w:val="18"/>
          <w:color w:val="auto"/>
        </w:rPr>
        <w:t>As of December 31, 2017 and 2016, the Company had five interest rate swap agreements with maturities in 2023 that call for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pay a fixed rate of interest ranging from 1.71% to 2.10% on the aggregate amortized notional value of $110.8 million and $105.5 million, respectively, and receive a variable interest rate based on LIBOR on the aggregate amortized notional value.</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FAIR VALUE MEASUREMENTS</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the fair value. </w:t>
      </w:r>
      <w:r>
        <w:rPr>
          <w:rFonts w:ascii="Arial" w:cs="Arial" w:eastAsia="Arial" w:hAnsi="Arial"/>
          <w:sz w:val="17"/>
          <w:szCs w:val="17"/>
          <w:i w:val="1"/>
          <w:iCs w:val="1"/>
          <w:color w:val="auto"/>
        </w:rPr>
        <w:t>Level 1</w:t>
      </w:r>
      <w:r>
        <w:rPr>
          <w:rFonts w:ascii="Arial" w:cs="Arial" w:eastAsia="Arial" w:hAnsi="Arial"/>
          <w:sz w:val="17"/>
          <w:szCs w:val="17"/>
          <w:color w:val="auto"/>
        </w:rPr>
        <w:t xml:space="preserve"> inputs are quoted prices in active markets for identical assets or liabilities. </w:t>
      </w:r>
      <w:r>
        <w:rPr>
          <w:rFonts w:ascii="Arial" w:cs="Arial" w:eastAsia="Arial" w:hAnsi="Arial"/>
          <w:sz w:val="17"/>
          <w:szCs w:val="17"/>
          <w:i w:val="1"/>
          <w:iCs w:val="1"/>
          <w:color w:val="auto"/>
        </w:rPr>
        <w:t>Level 2</w:t>
      </w:r>
      <w:r>
        <w:rPr>
          <w:rFonts w:ascii="Arial" w:cs="Arial" w:eastAsia="Arial" w:hAnsi="Arial"/>
          <w:sz w:val="17"/>
          <w:szCs w:val="17"/>
          <w:color w:val="auto"/>
        </w:rPr>
        <w:t xml:space="preserve"> inputs are observable inputs other than quoted prices included in </w:t>
      </w:r>
      <w:r>
        <w:rPr>
          <w:rFonts w:ascii="Arial" w:cs="Arial" w:eastAsia="Arial" w:hAnsi="Arial"/>
          <w:sz w:val="17"/>
          <w:szCs w:val="17"/>
          <w:i w:val="1"/>
          <w:iCs w:val="1"/>
          <w:color w:val="auto"/>
        </w:rPr>
        <w:t>Level 1</w:t>
      </w:r>
      <w:r>
        <w:rPr>
          <w:rFonts w:ascii="Arial" w:cs="Arial" w:eastAsia="Arial" w:hAnsi="Arial"/>
          <w:sz w:val="17"/>
          <w:szCs w:val="17"/>
          <w:color w:val="auto"/>
        </w:rPr>
        <w:t xml:space="preserve">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17"/>
          <w:szCs w:val="17"/>
          <w:i w:val="1"/>
          <w:iCs w:val="1"/>
          <w:color w:val="auto"/>
        </w:rPr>
        <w:t>Level 3</w:t>
      </w:r>
      <w:r>
        <w:rPr>
          <w:rFonts w:ascii="Arial" w:cs="Arial" w:eastAsia="Arial" w:hAnsi="Arial"/>
          <w:sz w:val="17"/>
          <w:szCs w:val="17"/>
          <w:color w:val="auto"/>
        </w:rPr>
        <w:t xml:space="preserve"> inputs are unobservable inputs that are supported by little or no market activity and are significant to the fair value of the assets or liabilities.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6"/>
          <w:szCs w:val="16"/>
          <w:color w:val="auto"/>
        </w:rPr>
        <w:t>The Company’s financial assets and liabilities as of December 31 that are measured at fair value on a recurring basis were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70"/>
        </w:trPr>
        <w:tc>
          <w:tcPr>
            <w:tcW w:w="2500" w:type="dxa"/>
            <w:vAlign w:val="bottom"/>
            <w:tcBorders>
              <w:top w:val="single" w:sz="8" w:color="CCEEFF"/>
              <w:bottom w:val="single" w:sz="8" w:color="CCEEFF"/>
            </w:tcBorders>
            <w:shd w:val="clear" w:color="auto" w:fill="CCEEFF"/>
          </w:tcPr>
          <w:p>
            <w:pPr>
              <w:spacing w:after="0"/>
              <w:rPr>
                <w:sz w:val="23"/>
                <w:szCs w:val="23"/>
                <w:color w:val="auto"/>
              </w:rPr>
            </w:pPr>
          </w:p>
        </w:tc>
        <w:tc>
          <w:tcPr>
            <w:tcW w:w="4940" w:type="dxa"/>
            <w:vAlign w:val="bottom"/>
            <w:tcBorders>
              <w:top w:val="single" w:sz="8" w:color="CCEEFF"/>
              <w:bottom w:val="single" w:sz="8" w:color="CCEEFF"/>
            </w:tcBorders>
            <w:shd w:val="clear" w:color="auto" w:fill="CCEEFF"/>
          </w:tcPr>
          <w:p>
            <w:pPr>
              <w:jc w:val="right"/>
              <w:ind w:right="345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49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5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4940" w:type="dxa"/>
            <w:vAlign w:val="bottom"/>
          </w:tcPr>
          <w:p>
            <w:pPr>
              <w:jc w:val="right"/>
              <w:ind w:right="345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52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36"/>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520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 of the Company’s other financial assets and liabilities as of December 31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4"/>
              </w:rPr>
              <w:t>Estimated Fair Value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Amount</w:t>
            </w:r>
          </w:p>
        </w:tc>
        <w:tc>
          <w:tcPr>
            <w:tcW w:w="200" w:type="dxa"/>
            <w:vAlign w:val="bottom"/>
          </w:tcPr>
          <w:p>
            <w:pPr>
              <w:spacing w:after="0"/>
              <w:rPr>
                <w:sz w:val="20"/>
                <w:szCs w:val="20"/>
                <w:color w:val="auto"/>
              </w:rPr>
            </w:pPr>
          </w:p>
        </w:tc>
        <w:tc>
          <w:tcPr>
            <w:tcW w:w="1060" w:type="dxa"/>
            <w:vAlign w:val="bottom"/>
          </w:tcPr>
          <w:p>
            <w:pPr>
              <w:jc w:val="right"/>
              <w:ind w:right="291"/>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2"/>
              </w:rPr>
              <w:t>Level 2</w:t>
            </w:r>
          </w:p>
        </w:tc>
        <w:tc>
          <w:tcPr>
            <w:tcW w:w="240" w:type="dxa"/>
            <w:vAlign w:val="bottom"/>
          </w:tcPr>
          <w:p>
            <w:pPr>
              <w:spacing w:after="0"/>
              <w:rPr>
                <w:sz w:val="20"/>
                <w:szCs w:val="20"/>
                <w:color w:val="auto"/>
              </w:rPr>
            </w:pPr>
          </w:p>
        </w:tc>
        <w:tc>
          <w:tcPr>
            <w:tcW w:w="1000" w:type="dxa"/>
            <w:vAlign w:val="bottom"/>
          </w:tcPr>
          <w:p>
            <w:pPr>
              <w:ind w:left="1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286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39,822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110,818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Advances from SEACOR Marine</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13,769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91"/>
              <w:spacing w:after="0"/>
              <w:rPr>
                <w:sz w:val="20"/>
                <w:szCs w:val="20"/>
                <w:color w:val="auto"/>
              </w:rPr>
            </w:pPr>
            <w:r>
              <w:rPr>
                <w:rFonts w:ascii="Arial" w:cs="Arial" w:eastAsia="Arial" w:hAnsi="Arial"/>
                <w:sz w:val="18"/>
                <w:szCs w:val="18"/>
                <w:i w:val="1"/>
                <w:iCs w:val="1"/>
                <w:color w:val="auto"/>
                <w:w w:val="93"/>
              </w:rPr>
              <w:t>see below</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from Proyectos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i w:val="1"/>
                <w:iCs w:val="1"/>
                <w:color w:val="auto"/>
                <w:w w:val="93"/>
              </w:rPr>
              <w:t>see below</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6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18,613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18,613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106,054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92,872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from SEACOR Marine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i w:val="1"/>
                <w:iCs w:val="1"/>
                <w:color w:val="auto"/>
                <w:w w:val="93"/>
              </w:rPr>
              <w:t>see below</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Advances from Proyectos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21,981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91"/>
              <w:spacing w:after="0"/>
              <w:rPr>
                <w:sz w:val="20"/>
                <w:szCs w:val="20"/>
                <w:color w:val="auto"/>
              </w:rPr>
            </w:pPr>
            <w:r>
              <w:rPr>
                <w:rFonts w:ascii="Arial" w:cs="Arial" w:eastAsia="Arial" w:hAnsi="Arial"/>
                <w:sz w:val="18"/>
                <w:szCs w:val="18"/>
                <w:i w:val="1"/>
                <w:iCs w:val="1"/>
                <w:color w:val="auto"/>
                <w:w w:val="93"/>
              </w:rPr>
              <w:t>see below</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carrying value of cash, cash equivalents and restricted cash approximates fair value. The fair value of the Company’s long-term debt as of December 31, 2017 and 2016 was estimated by using discounted cash flow analyses based on estimated current rates for similar types of arrangements. It was not practicable to estimate the fair values of the Company’s advances from SEACOR Marine and Proyectos because the timing of settlement of these instruments is not certain and the inability to estimate fair value without incurring excessive costs. The estimates presented herein are not necessarily indicative of the amounts that the Company could realize in a current market exchange.</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RELATED-PARTY TRANSACTIONS</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year ended December 31, 2017, the Company entered into a back-to-back time charter with SEACOR Marine for a liftboat project in Mexico. The agreement calls for the Company to charter the vessel to a third party and to charter-in the vessel from SEACOR Marine at a discounted rate equivalent to a management fee. All operational costs are re-billed to SEACOR Marine and the Company has no operational nor financial risk related to this project. For the year ended December 31, 2017, the Company’s net revenue from this project was $0.1million.</w:t>
      </w:r>
    </w:p>
    <w:p>
      <w:pPr>
        <w:spacing w:after="0" w:line="6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years ended December 31, 2016 and 2015, the Company charted four other vessels from SEACOR Marine for $5.1 million and $11.6 million, respectively. One of the charters was terminated in May 2016, and three were terminated in August 2016.</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2016, the Company purchased two supply vessels from SEACOR Marine for $34.0 million (see Notes 3 and 4).</w:t>
      </w:r>
    </w:p>
    <w:p>
      <w:pPr>
        <w:spacing w:after="0" w:line="14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pays management fees to SEACOR Marine primarily for commercial and technical support for its offshore support vessels. The management fees are fixed at $0.3 million per annum and are included in SEACOR Marine management fees in the accompanying statements of comprehensive income.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5" w:name="page16"/>
    <w:bookmarkEnd w:id="15"/>
    <w:p>
      <w:pPr>
        <w:jc w:val="both"/>
        <w:ind w:firstLine="648"/>
        <w:spacing w:after="0" w:line="264" w:lineRule="auto"/>
        <w:rPr>
          <w:sz w:val="20"/>
          <w:szCs w:val="20"/>
          <w:color w:val="auto"/>
        </w:rPr>
      </w:pPr>
      <w:r>
        <w:rPr>
          <w:rFonts w:ascii="Arial" w:cs="Arial" w:eastAsia="Arial" w:hAnsi="Arial"/>
          <w:sz w:val="18"/>
          <w:szCs w:val="18"/>
          <w:color w:val="auto"/>
        </w:rPr>
        <w:t>The Company also pays management fees to Proyectos primarily for administrative management, contract support and for use of certain office space and technology infrastructure. The management fees are fixed at $0.5 million per annum and are included in Proyectos management fees in the accompanying statements of comprehensive income.</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SEACOR Marine, in conjunction with providing technical and commercial support, procures certain equipment and services related to the Company’s offshore support vessels on behalf of and at the direction of the Company. Certain of the equipment and services may be paid for directly by SEACOR Marine and reimbursed by the Company.</w:t>
      </w:r>
    </w:p>
    <w:p>
      <w:pPr>
        <w:spacing w:after="0" w:line="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COMMITMENTS AND CONTINGENCIES</w:t>
      </w:r>
    </w:p>
    <w:p>
      <w:pPr>
        <w:spacing w:after="0" w:line="12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 is committed to upgrade four platform supply vessels to a hybrid power storage system. The total commitment amount is for $6.8 million, of which $0.3 million has been paid as of December 31, 2017. The remaining commitments for the upgrades are scheduled to be paid in 2018.</w:t>
      </w:r>
    </w:p>
    <w:p>
      <w:pPr>
        <w:spacing w:after="0" w:line="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normal course of its business, the Company becomes involved in various other litigation matters, including, among other things, claims by third parties for alleged property damages and personal injuries. Management may use estimates in determining the Company’s potential exposure to these matters and record reserves in its financial statements related thereto where appropriate. It is possible that a change in the Company’s estimates of that exposure could occur, but the Company does not expect that such changes in estimated costs would have a material effect on the Company’s financial position, its results of operations or cash flows.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SUBSEQUENT EVENTS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December 31, 2017, the Company received $2.0 million from insurance claims.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6" w:name="page17"/>
    <w:bookmarkEnd w:id="16"/>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117475</wp:posOffset>
            </wp:positionV>
            <wp:extent cx="316420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64205" cy="171450"/>
                    </a:xfrm>
                    <a:prstGeom prst="rect">
                      <a:avLst/>
                    </a:prstGeom>
                    <a:noFill/>
                  </pic:spPr>
                </pic:pic>
              </a:graphicData>
            </a:graphic>
          </wp:anchor>
        </w:drawing>
      </w:r>
    </w:p>
    <w:p>
      <w:pPr>
        <w:spacing w:after="0" w:line="177"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11, 2018</w:t>
      </w:r>
    </w:p>
    <w:p>
      <w:pPr>
        <w:spacing w:after="0" w:line="33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JESUS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27305</wp:posOffset>
            </wp:positionV>
            <wp:extent cx="3644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2"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Jesus Llorca</w:t>
      </w:r>
    </w:p>
    <w:p>
      <w:pPr>
        <w:spacing w:after="0" w:line="63"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240" w:top="661" w:right="71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333-221680) of SEACOR Marine Holdings, Inc. of our report dated December 8, 2016 relating to the financial statements of Mantenimiento Express Marítimo, S. A. P. I. de C. V., which appears in this Form 10-K/A.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Ciudad de Mexico, 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11, 2018</w:t>
      </w:r>
    </w:p>
    <w:p>
      <w:pPr>
        <w:sectPr>
          <w:pgSz w:w="11900" w:h="16838" w:orient="portrait"/>
          <w:cols w:equalWidth="0" w:num="1">
            <w:col w:w="11420"/>
          </w:cols>
          <w:pgMar w:left="240" w:top="580"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OF THE SECURITIES EXCHANGE ACT,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171"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SEACOR Marine Holdings Inc.;</w:t>
      </w:r>
    </w:p>
    <w:p>
      <w:pPr>
        <w:spacing w:after="0" w:line="171"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27" w:lineRule="exact"/>
        <w:rPr>
          <w:rFonts w:ascii="Arial" w:cs="Arial" w:eastAsia="Arial" w:hAnsi="Arial"/>
          <w:sz w:val="18"/>
          <w:szCs w:val="18"/>
          <w:color w:val="auto"/>
        </w:rPr>
      </w:pPr>
    </w:p>
    <w:p>
      <w:pPr>
        <w:ind w:left="980" w:right="20" w:hanging="648"/>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3"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11, 2018</w:t>
      </w:r>
    </w:p>
    <w:p>
      <w:pPr>
        <w:spacing w:after="0" w:line="33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6"/>
          <w:szCs w:val="16"/>
          <w:color w:val="auto"/>
        </w:rPr>
        <w:t>JOHN GELLERT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27305</wp:posOffset>
            </wp:positionV>
            <wp:extent cx="3644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0"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Gellert</w:t>
      </w:r>
    </w:p>
    <w:p>
      <w:pPr>
        <w:spacing w:after="0" w:line="63"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Chief Executive Officer and Director</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OF THE SECURITIES EXCHANGE ACT,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Jesus Llorca, certify that:</w:t>
      </w:r>
    </w:p>
    <w:p>
      <w:pPr>
        <w:spacing w:after="0" w:line="171"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SEACOR Marine Holdings Inc.;</w:t>
      </w:r>
    </w:p>
    <w:p>
      <w:pPr>
        <w:spacing w:after="0" w:line="171"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27" w:lineRule="exact"/>
        <w:rPr>
          <w:rFonts w:ascii="Arial" w:cs="Arial" w:eastAsia="Arial" w:hAnsi="Arial"/>
          <w:sz w:val="18"/>
          <w:szCs w:val="18"/>
          <w:color w:val="auto"/>
        </w:rPr>
      </w:pPr>
    </w:p>
    <w:p>
      <w:pPr>
        <w:ind w:left="980" w:right="20" w:hanging="648"/>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3"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11, 2018</w:t>
      </w:r>
    </w:p>
    <w:p>
      <w:pPr>
        <w:spacing w:after="0" w:line="33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Jesus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27305</wp:posOffset>
            </wp:positionV>
            <wp:extent cx="3644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2"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Jesus Llorca</w:t>
      </w:r>
    </w:p>
    <w:p>
      <w:pPr>
        <w:spacing w:after="0" w:line="63"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PRINCIPAL EXECUTIVE OFFICER AND PRINCIPAL FINANCIAL OFFICER PURSUANT TO 18 U.S.C. SECTION 1350, AS ADOPTED PURSUANT TO SECTION 906 OF THE SARBANES-OXLEY ACT OF 2002</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his knowledge and belief, that the Annual Report on Form 10-K/A of the Company for the year ended December 31, 2017 (the “Annual Report”) accompanying this certification fully complies with the requirements of Section 13(a) or 15(d) of the Securities Exchange Act of 1934, as amended, and that the information contained in the Annual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355"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11, 2018</w:t>
      </w:r>
    </w:p>
    <w:p>
      <w:pPr>
        <w:spacing w:after="0" w:line="33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6"/>
          <w:szCs w:val="16"/>
          <w:color w:val="auto"/>
        </w:rPr>
        <w:t>JOHN GELLERT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27305</wp:posOffset>
            </wp:positionV>
            <wp:extent cx="3644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0"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Gellert</w:t>
      </w:r>
    </w:p>
    <w:p>
      <w:pPr>
        <w:spacing w:after="0" w:line="63"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Chief Executive Officer and Director</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13"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11, 2018</w:t>
      </w:r>
    </w:p>
    <w:p>
      <w:pPr>
        <w:spacing w:after="0" w:line="33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Jesus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27305</wp:posOffset>
            </wp:positionV>
            <wp:extent cx="3644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2"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Jesus Llorca</w:t>
      </w:r>
    </w:p>
    <w:p>
      <w:pPr>
        <w:spacing w:after="0" w:line="63" w:lineRule="exact"/>
        <w:rPr>
          <w:sz w:val="20"/>
          <w:szCs w:val="20"/>
          <w:color w:val="auto"/>
        </w:rPr>
      </w:pPr>
    </w:p>
    <w:p>
      <w:pPr>
        <w:ind w:left="570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lowerLetter"/>
      <w:start w:val="1"/>
    </w:lvl>
    <w:lvl w:ilvl="1">
      <w:lvlJc w:val="left"/>
      <w:lvlText w:val="%2."/>
      <w:numFmt w:val="decimal"/>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7"/>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2019-12-28T23:38:47Z</dcterms:created>
  <dcterms:modified xsi:type="dcterms:W3CDTF">2019-12-28T23:38:47Z</dcterms:modified>
</cp:coreProperties>
</file>