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October 28, 2026</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38"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001-37966</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47-2564547</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40" w:space="720"/>
            <w:col w:w="2540"/>
          </w:cols>
          <w:pgMar w:left="320" w:top="738" w:right="339" w:bottom="1440" w:gutter="0" w:footer="0" w:header="0"/>
          <w:type w:val="continuous"/>
        </w:sectPr>
      </w:pPr>
    </w:p>
    <w:p>
      <w:pPr>
        <w:spacing w:after="0" w:line="21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12121 Wickchester Lane, Suite 500, Houston, TX</w:t>
      </w:r>
    </w:p>
    <w:p>
      <w:pPr>
        <w:spacing w:after="0" w:line="4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77079</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738" w:right="339" w:bottom="1440" w:gutter="0" w:footer="0" w:header="0"/>
          <w:type w:val="continuous"/>
        </w:sectPr>
      </w:pP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(346) 980-1700</w:t>
      </w:r>
    </w:p>
    <w:p>
      <w:pPr>
        <w:spacing w:after="0" w:line="204" w:lineRule="exact"/>
        <w:rPr>
          <w:sz w:val="24"/>
          <w:szCs w:val="24"/>
          <w:color w:val="auto"/>
        </w:rPr>
      </w:pPr>
    </w:p>
    <w:p>
      <w:pPr>
        <w:sectPr>
          <w:pgSz w:w="11900" w:h="16838" w:orient="portrait"/>
          <w:cols w:equalWidth="0" w:num="2">
            <w:col w:w="7660" w:space="720"/>
            <w:col w:w="2860"/>
          </w:cols>
          <w:pgMar w:left="320" w:top="738" w:right="339" w:bottom="1440" w:gutter="0" w:footer="0" w:header="0"/>
          <w:type w:val="continuous"/>
        </w:sect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33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tcPr>
          <w:p>
            <w:pPr>
              <w:spacing w:after="0"/>
              <w:rPr>
                <w:sz w:val="18"/>
                <w:szCs w:val="18"/>
                <w:color w:val="auto"/>
              </w:rPr>
            </w:pP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6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SMHI</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New York Stock Exchange (“NYSE”)</w:t>
            </w:r>
          </w:p>
        </w:tc>
      </w:tr>
    </w:tbl>
    <w:p>
      <w:pPr>
        <w:spacing w:after="0" w:line="30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set forth in (and incorporated by reference into) this Item 2.02 shall not be deemed “filed” for purposes of Section 18 of the Securities Exchange Act of 1934, as amended (the “Exchange Act”) or otherwise subject to the liabilities of that Section. The information set forth in (and incorporated by reference into) this Item 2.02 shall not be incorporated by reference into any filing under the Securities Act of 1933, as amended (the “Securities Act”), or the Exchange Act, except as shall be expressly set forth by specific reference in such a filing.</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October 28, 2026, SEACOR Marine Holdings Inc. issued a press release setting forth its earnings for the three and nine months ended September 30, 2026 (the “Earnings Release”).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copy of the Earnings Release is attached hereto as Exhibit 99.1 and hereby incorporated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32"/>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SEACOR Marine Holdings Inc. dated October 28, 2026</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8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7"/>
        </w:trPr>
        <w:tc>
          <w:tcPr>
            <w:tcW w:w="14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23" w:lineRule="exact"/>
        <w:rPr>
          <w:sz w:val="20"/>
          <w:szCs w:val="20"/>
          <w:color w:val="auto"/>
        </w:rPr>
      </w:pPr>
    </w:p>
    <w:p>
      <w:pPr>
        <w:ind w:left="20"/>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John Gellert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62877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ANNOUNCES THIRD QUARTER 2026 RESULTS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 IMMEDIATE RELEASE - </w:t>
      </w:r>
      <w:r>
        <w:rPr>
          <w:rFonts w:ascii="Times New Roman" w:cs="Times New Roman" w:eastAsia="Times New Roman" w:hAnsi="Times New Roman"/>
          <w:sz w:val="18"/>
          <w:szCs w:val="18"/>
          <w:color w:val="auto"/>
        </w:rPr>
        <w:t>SEACOR Marine Holdings Inc. (NYSE: SMHI) (the “Company” or “SEACOR Marine”), a leading provider of marine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support transportation services to offshore energy facilities worldwide, today announced results for its third quarter ended September 30,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SEACOR Marine’s consolidated operating revenues for the third quarter of 2026 were $57.3 million, operating loss was $1.4 million, and direct vessel profit (“DVP”)</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was $18.9 million. This compares to consolidated operating revenues of $59.2 million, operating income of $18.1 million, and DVP of $11.5 million in the third quarter of 2025, and consolidated operating revenues of $54.6 million, operating income of $16.0 million, and DVP of $7.9 million in the second quarter of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Notable third quarter items include:</w:t>
      </w:r>
    </w:p>
    <w:p>
      <w:pPr>
        <w:spacing w:after="0" w:line="27"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day rates of $21,100, compared to $19,490 in the third quarter of 2025 and $20,227 in the second quarter of 2026.</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utilization, compared to 66% in the third quarter of 2025 and 68% in the second quarter of 2026.</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DVP margin of 33.1%, compared to 19.4% in the third quarter of 2025 and 14.5% in the second quarter of 2026.</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decrease in revenues from the third quarter of 2025 and 4.8% increase from the second quarter of 2026.</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improved significantly; adjusting for all vessels sold during or after the third quarter of 2025, revenues increased by 25.6% from the third quarter of 2025 and 6.2% from the second quarter of 2026, and DVP increased by 110.9% from the third quarter of 2025 and 120.8% from the second quarter of 2026.</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2026, net loss was $9.5 million ($0.36 loss per basic and diluted share). This compares to a net income for the third quarter of 2025 of $9.0 million ($0.35 earnings per basic and diluted share). Sequentially, the third quarter of 2026 results compare to a net income of $3.3 million ($0.13 earnings per basic share and $0.12 earnings per diluted share) in the second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John Gellert commented: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quarter results reflect improved utilization, day rates and margins led by the performance of our platform supply vessel (“PSV”) fleet. These positive trends were partially offset by the ongoing maintenance for our two premium liftboats and lower utilization in our fast support vessel (“FSV”) fleet, especially in the Middle East. This reflects a softening market in the Middle East primarily due to delays in both construction and drilling projects in the region as a result of current operating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look forward to taking delivery of our two newbuild PSVs in the coming months and remain confident in their charter prospects. We remain focused on operational execution and continue to implement our strategy of improving term coverage in less volatile markets.”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Separately, as previously announced on July 29, 2026, SEACOR Marine’s Board is continuing with its evaluation of strategic alternatives to maximize shareholder value with the assistance of independent financial advisors. The Board and management team remain fully committed to acting in the best interests of the Company and its stakeholders throughout this evaluation process. There can be no assurance that the strategic review process will result in any transaction or other strategic outcome. The Company has not established a timetable for completion of the review process and does not intend to disclose developments related to the review unless and until SEACOR Marine executes a definitive agreement with respect thereto, or the Board otherwise determines that further disclosure is appropriate or required.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jc w:val="both"/>
        <w:ind w:left="580" w:right="340" w:hanging="568"/>
        <w:spacing w:after="0" w:line="25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vessel profit (defined as operating revenues less operating costs and expenses,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 vessels). DVP is also useful when comparing the Company’s global fleet performance against those of our competitors who may have differing fleet financing structures. DVP has material limitations as an analytical tool in that it does not reflect all of the costs associated with the ownership and operation of our fleet, and it should not be considered in isolation or used as a substitute for our results as reported under GAAP. See page 4 for reconciliation of DVP to GAAP Operating Income (Loss), its most comparable GAAP measure.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SEACOR Marine provides global marine and support transportation services to offshore energy facilities worldwide. SEACOR Marine operates and manages a diverse fleet of offshore support vessels that deliver cargo and personnel to offshore installations, including offshore wind farms; assist offshore operations for production and storage facilities; provide construction, well work-over, offshore wind farm installation and decommissioning support; and carry and launch equipment used underwater in drilling and well installation, maintenance, inspection and repair. Additionally, SEACOR Marine’s vessels provide emergency response services and accommodations for technicians and specialists.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discussed in this release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including our announcement of the commencement of a strategic review of the business, business prospects, anticipated economic performance and financial condition and other similar matters. Forward-looking statements are inherently uncertain and subject to a variety of assumptions, risks and uncertainties that could cause actual results to differ materially from those anticipated or expected by the management of the Company. These statements are not guarantees of future performance and actual events or results may differ significantly from these statements. Achievement of these expectations and strategic objectives, including any increase to shareholder value from the strategic review, business prospects, anticipated economic performance and financial condition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beyond the Company’s control and are described in the Company’s filings with the SEC. It should be understood that it is not possible to predict or identify all such factors. Given these risk factors, investors and analysts should not place undue reliance on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Securities and Exchange Commission, including Annual Reports on Form 10-K, Quarterly Reports on Form 10-Q and Current Reports on Form 8-K (if any). These statements constitute the Company’s cautionary statements under the Private Securities Litigation Reform Act of 1995.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visit SEACOR Marine’s website at www.seacormarine.com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investors, contact: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563C1"/>
        </w:rPr>
        <w:t>InvestorRelations@seacormarine.com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media, contact: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H/Advisors – 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Dana Gorman / Amy Feng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563C1"/>
        </w:rPr>
        <w:t>dana.gorman@h-advisors.global / amy.feng@h-advisors.global</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57,251</w:t>
            </w:r>
          </w:p>
        </w:tc>
        <w:tc>
          <w:tcPr>
            <w:tcW w:w="1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59,194</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156,163</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175,503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38,317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47,684</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122,574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Administrative and general</w:t>
            </w: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58,642</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71,358</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186,760</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211,825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(Losses) Gains on Asset Dispositions and Impairments, Net</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30,230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38,791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55,202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(Loss) Income</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(1,395)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18,066</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8,194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(8,947)</w:t>
            </w:r>
          </w:p>
        </w:tc>
        <w:tc>
          <w:tcPr>
            <w:tcW w:w="2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(24,064)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(27,377)</w:t>
            </w: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gains, net</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gains (losses), net</w:t>
            </w: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Gains on insurance claim settlement</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(6,941)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(4,055)</w:t>
            </w: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(22,989)</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(24,780)</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9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Income Tax Expense and Equity in (Losses) Earnings of</w:t>
            </w:r>
          </w:p>
        </w:tc>
        <w:tc>
          <w:tcPr>
            <w:tcW w:w="220" w:type="dxa"/>
            <w:vAlign w:val="bottom"/>
          </w:tcPr>
          <w:p>
            <w:pPr>
              <w:spacing w:after="0"/>
              <w:rPr>
                <w:sz w:val="10"/>
                <w:szCs w:val="10"/>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(8,336)</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14,011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(14,795)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(5,900)</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50% or Less Owned Companies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7,233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8,822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Equity in (Losses) Earnings of 50% or Less Owned</w:t>
            </w:r>
          </w:p>
        </w:tc>
        <w:tc>
          <w:tcPr>
            <w:tcW w:w="220" w:type="dxa"/>
            <w:vAlign w:val="bottom"/>
          </w:tcPr>
          <w:p>
            <w:pPr>
              <w:spacing w:after="0"/>
              <w:rPr>
                <w:sz w:val="10"/>
                <w:szCs w:val="10"/>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(9,410)</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(22,028)</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(14,722)</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Companies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in (Losses) Earnings of 50% or Less Owned Companies</w:t>
            </w:r>
          </w:p>
        </w:tc>
        <w:tc>
          <w:tcPr>
            <w:tcW w:w="2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(9,464)</w:t>
            </w:r>
          </w:p>
        </w:tc>
        <w:tc>
          <w:tcPr>
            <w:tcW w:w="4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8,994</w:t>
            </w: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(21,976)</w:t>
            </w:r>
          </w:p>
        </w:tc>
        <w:tc>
          <w:tcPr>
            <w:tcW w:w="4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(13,222)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Earnings Per Share:</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4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4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4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48"/>
        </w:trPr>
        <w:tc>
          <w:tcPr>
            <w:tcW w:w="4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Stock Outstanding:</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26,157,107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25,657,809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26,006,085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26,409,312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26,157,107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25,887,710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26,006,085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26,409,312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-2931160</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-2931160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-2931160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-2348230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-2348230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-2348230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-2142490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-2142490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-2142490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-1370965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-1370965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-1370965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-1079500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-1079500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-788035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-788035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-788035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statistics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Time Charter Statistics:</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Average Rates Per Day</w:t>
            </w:r>
          </w:p>
        </w:tc>
        <w:tc>
          <w:tcPr>
            <w:tcW w:w="260" w:type="dxa"/>
            <w:vAlign w:val="bottom"/>
            <w:gridSpan w:val="2"/>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21,100</w:t>
            </w:r>
          </w:p>
        </w:tc>
        <w:tc>
          <w:tcPr>
            <w:tcW w:w="240" w:type="dxa"/>
            <w:vAlign w:val="bottom"/>
          </w:tcPr>
          <w:p>
            <w:pPr>
              <w:spacing w:after="0"/>
              <w:rPr>
                <w:sz w:val="10"/>
                <w:szCs w:val="10"/>
                <w:color w:val="auto"/>
              </w:rPr>
            </w:pPr>
          </w:p>
        </w:tc>
        <w:tc>
          <w:tcPr>
            <w:tcW w:w="160" w:type="dxa"/>
            <w:vAlign w:val="bottom"/>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20,227</w:t>
            </w:r>
          </w:p>
        </w:tc>
        <w:tc>
          <w:tcPr>
            <w:tcW w:w="180" w:type="dxa"/>
            <w:vAlign w:val="bottom"/>
          </w:tcPr>
          <w:p>
            <w:pPr>
              <w:spacing w:after="0"/>
              <w:rPr>
                <w:sz w:val="10"/>
                <w:szCs w:val="10"/>
                <w:color w:val="auto"/>
              </w:rPr>
            </w:pPr>
          </w:p>
        </w:tc>
        <w:tc>
          <w:tcPr>
            <w:tcW w:w="220" w:type="dxa"/>
            <w:vAlign w:val="bottom"/>
            <w:gridSpan w:val="2"/>
          </w:tcPr>
          <w:p>
            <w:pPr>
              <w:jc w:val="right"/>
              <w:ind w:right="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18,199</w:t>
            </w:r>
          </w:p>
        </w:tc>
        <w:tc>
          <w:tcPr>
            <w:tcW w:w="240" w:type="dxa"/>
            <w:vAlign w:val="bottom"/>
          </w:tcPr>
          <w:p>
            <w:pPr>
              <w:spacing w:after="0"/>
              <w:rPr>
                <w:sz w:val="10"/>
                <w:szCs w:val="10"/>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17,519</w:t>
            </w:r>
          </w:p>
        </w:tc>
        <w:tc>
          <w:tcPr>
            <w:tcW w:w="240" w:type="dxa"/>
            <w:vAlign w:val="bottom"/>
          </w:tcPr>
          <w:p>
            <w:pPr>
              <w:spacing w:after="0"/>
              <w:rPr>
                <w:sz w:val="10"/>
                <w:szCs w:val="10"/>
                <w:color w:val="auto"/>
              </w:rPr>
            </w:pPr>
          </w:p>
        </w:tc>
        <w:tc>
          <w:tcPr>
            <w:tcW w:w="160" w:type="dxa"/>
            <w:vAlign w:val="bottom"/>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19,490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Fleet Utilization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71%</w:t>
            </w: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69%</w:t>
            </w:r>
          </w:p>
        </w:tc>
        <w:tc>
          <w:tcPr>
            <w:tcW w:w="160" w:type="dxa"/>
            <w:vAlign w:val="bottom"/>
          </w:tcPr>
          <w:p>
            <w:pPr>
              <w:spacing w:after="0"/>
              <w:rPr>
                <w:sz w:val="12"/>
                <w:szCs w:val="12"/>
                <w:color w:val="auto"/>
              </w:rPr>
            </w:pPr>
          </w:p>
        </w:tc>
        <w:tc>
          <w:tcPr>
            <w:tcW w:w="126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3"/>
        </w:trPr>
        <w:tc>
          <w:tcPr>
            <w:tcW w:w="3620" w:type="dxa"/>
            <w:vAlign w:val="bottom"/>
          </w:tcPr>
          <w:p>
            <w:pPr>
              <w:ind w:left="80"/>
              <w:spacing w:after="0" w:line="203" w:lineRule="exact"/>
              <w:rPr>
                <w:sz w:val="20"/>
                <w:szCs w:val="20"/>
                <w:color w:val="auto"/>
              </w:rPr>
            </w:pPr>
            <w:r>
              <w:rPr>
                <w:rFonts w:ascii="Times New Roman" w:cs="Times New Roman" w:eastAsia="Times New Roman" w:hAnsi="Times New Roman"/>
                <w:sz w:val="14"/>
                <w:szCs w:val="14"/>
                <w:color w:val="auto"/>
              </w:rPr>
              <w:t xml:space="preserve">Fleet Available Days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52,163</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49,697</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49,817</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4,242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57,251</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54,630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52,329</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59,194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Costs and Expenses: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9,409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11,752</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6,159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38,317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46,684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37,573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42,667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47,684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18,934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7,946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6,709</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9,662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Administrative and general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10,718</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10,045</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20,325</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23,036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23,674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(Losses) Gains on Asset Dispositions and Impairments, Net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31,347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8,210</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30,230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(Loss)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(1,395)</w:t>
            </w: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15,966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(6,377)</w:t>
            </w: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(5,164)</w:t>
            </w: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(8,244)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(8,239)</w:t>
            </w:r>
          </w:p>
        </w:tc>
        <w:tc>
          <w:tcPr>
            <w:tcW w:w="14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(8,673)</w:t>
            </w: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(8,947)</w:t>
            </w: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Derivative (losses) gains, 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currency gains (losses), net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Gains on insurance claim settlement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(6,941)</w:t>
            </w:r>
          </w:p>
        </w:tc>
        <w:tc>
          <w:tcPr>
            <w:tcW w:w="16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(8,778)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(7,270)</w:t>
            </w: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(8,001)</w:t>
            </w: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(4,055)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Income Tax Expense and Equity in</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(8,336)</w:t>
            </w: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(13,647)</w:t>
            </w:r>
          </w:p>
        </w:tc>
        <w:tc>
          <w:tcPr>
            <w:tcW w:w="140" w:type="dxa"/>
            <w:vAlign w:val="bottom"/>
            <w:shd w:val="clear" w:color="auto" w:fill="CFF0FC"/>
          </w:tcPr>
          <w:p>
            <w:pPr>
              <w:spacing w:after="0"/>
              <w:rPr>
                <w:sz w:val="10"/>
                <w:szCs w:val="10"/>
                <w:color w:val="auto"/>
              </w:rPr>
            </w:pPr>
          </w:p>
        </w:tc>
        <w:tc>
          <w:tcPr>
            <w:tcW w:w="13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(13,165)</w:t>
            </w: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14,011</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(Losses) Earnings of 50% or Less Owned Companies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(Loss) Income Before Equity in (Losses) Earnings of 50% or</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(9,410)</w:t>
            </w: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(15,855)</w:t>
            </w:r>
          </w:p>
        </w:tc>
        <w:tc>
          <w:tcPr>
            <w:tcW w:w="140" w:type="dxa"/>
            <w:vAlign w:val="bottom"/>
            <w:shd w:val="clear" w:color="auto" w:fill="CFF0FC"/>
          </w:tcPr>
          <w:p>
            <w:pPr>
              <w:spacing w:after="0"/>
              <w:rPr>
                <w:sz w:val="10"/>
                <w:szCs w:val="10"/>
                <w:color w:val="auto"/>
              </w:rPr>
            </w:pPr>
          </w:p>
        </w:tc>
        <w:tc>
          <w:tcPr>
            <w:tcW w:w="138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(14,853)</w:t>
            </w:r>
          </w:p>
        </w:tc>
        <w:tc>
          <w:tcPr>
            <w:tcW w:w="1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Owned Companies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in (Losses) Earnings of 50% or Less Owned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Companies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(9,464)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3,293</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(15,805)</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(14,622)</w:t>
            </w:r>
          </w:p>
        </w:tc>
        <w:tc>
          <w:tcPr>
            <w:tcW w:w="240" w:type="dxa"/>
            <w:vAlign w:val="bottom"/>
            <w:tcBorders>
              <w:top w:val="single" w:sz="8" w:color="CFF0FC"/>
              <w:bottom w:val="single" w:sz="8" w:color="CFF0FC"/>
              <w:right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Earnings Per Share:</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Stock Outstanding: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Shares Outstanding at Period End</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26,952</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26,976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-3994150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-3994150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-3994150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-3994150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-3994150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-3230880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-3230880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-3230880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-3230880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-3230880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11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-2630805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-2630805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-2630805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-2630805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-2630805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-2425065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-2425065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-2425065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-2425065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-2425065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-1662430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-1662430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-1662430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-1662430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-779780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-762635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-882015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-779780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-762635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-882015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-779780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-762635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-779780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-762635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-762635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-882015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DIRECT VESSEL PROFIT (“DVP”)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60" w:type="dxa"/>
            <w:vAlign w:val="bottom"/>
          </w:tcPr>
          <w:p>
            <w:pPr>
              <w:spacing w:after="0"/>
              <w:rPr>
                <w:sz w:val="13"/>
                <w:szCs w:val="13"/>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Americas</w:t>
            </w: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31,003</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28,394</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20,546</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0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Fleet utilization</w:t>
            </w:r>
          </w:p>
        </w:tc>
        <w:tc>
          <w:tcPr>
            <w:tcW w:w="160" w:type="dxa"/>
            <w:vAlign w:val="bottom"/>
          </w:tcPr>
          <w:p>
            <w:pPr>
              <w:spacing w:after="0"/>
              <w:rPr>
                <w:sz w:val="10"/>
                <w:szCs w:val="10"/>
                <w:color w:val="auto"/>
              </w:rPr>
            </w:pPr>
          </w:p>
        </w:tc>
        <w:tc>
          <w:tcPr>
            <w:tcW w:w="13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0"/>
                <w:szCs w:val="10"/>
                <w:color w:val="auto"/>
              </w:rPr>
            </w:pPr>
          </w:p>
        </w:tc>
        <w:tc>
          <w:tcPr>
            <w:tcW w:w="12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3700" w:type="dxa"/>
            <w:vAlign w:val="bottom"/>
          </w:tcPr>
          <w:p>
            <w:pPr>
              <w:ind w:left="80"/>
              <w:spacing w:after="0" w:line="180" w:lineRule="exact"/>
              <w:rPr>
                <w:sz w:val="20"/>
                <w:szCs w:val="20"/>
                <w:color w:val="auto"/>
              </w:rPr>
            </w:pPr>
            <w:r>
              <w:rPr>
                <w:rFonts w:ascii="Times New Roman" w:cs="Times New Roman" w:eastAsia="Times New Roman" w:hAnsi="Times New Roman"/>
                <w:sz w:val="14"/>
                <w:szCs w:val="14"/>
                <w:color w:val="auto"/>
              </w:rPr>
              <w:t xml:space="preserve">Fleet available days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cold-stacked status</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18,029</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15,518</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9,843</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14,922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5,322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8,195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(Loss) </w:t>
            </w:r>
            <w:r>
              <w:rPr>
                <w:rFonts w:ascii="Times New Roman" w:cs="Times New Roman" w:eastAsia="Times New Roman" w:hAnsi="Times New Roman"/>
                <w:sz w:val="19"/>
                <w:szCs w:val="19"/>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10,973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775</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7,356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Other Costs and Expenses:</w:t>
            </w: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200" w:type="dxa"/>
            <w:vAlign w:val="bottom"/>
          </w:tcPr>
          <w:p>
            <w:pPr>
              <w:spacing w:after="0"/>
              <w:rPr>
                <w:sz w:val="12"/>
                <w:szCs w:val="12"/>
                <w:color w:val="auto"/>
              </w:rPr>
            </w:pPr>
          </w:p>
        </w:tc>
        <w:tc>
          <w:tcPr>
            <w:tcW w:w="2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6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8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Africa and Europe</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18,854</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18,877</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18,711</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17,095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16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26,295</w:t>
            </w:r>
          </w:p>
        </w:tc>
        <w:tc>
          <w:tcPr>
            <w:tcW w:w="200" w:type="dxa"/>
            <w:vAlign w:val="bottom"/>
          </w:tcPr>
          <w:p>
            <w:pPr>
              <w:spacing w:after="0"/>
              <w:rPr>
                <w:sz w:val="12"/>
                <w:szCs w:val="12"/>
                <w:color w:val="auto"/>
              </w:rPr>
            </w:pPr>
          </w:p>
        </w:tc>
        <w:tc>
          <w:tcPr>
            <w:tcW w:w="2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25,248</w:t>
            </w:r>
          </w:p>
        </w:tc>
        <w:tc>
          <w:tcPr>
            <w:tcW w:w="16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22,534</w:t>
            </w:r>
          </w:p>
        </w:tc>
        <w:tc>
          <w:tcPr>
            <w:tcW w:w="18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22,317</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27,853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26,289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3,573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Profit </w:t>
            </w:r>
            <w:r>
              <w:rPr>
                <w:rFonts w:ascii="Times New Roman" w:cs="Times New Roman" w:eastAsia="Times New Roman" w:hAnsi="Times New Roman"/>
                <w:sz w:val="19"/>
                <w:szCs w:val="19"/>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12,971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14,668</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13,561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8,229</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Other Costs and Expenses:</w:t>
            </w: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12"/>
                <w:szCs w:val="12"/>
                <w:color w:val="auto"/>
              </w:rPr>
            </w:pPr>
          </w:p>
        </w:tc>
        <w:tc>
          <w:tcPr>
            <w:tcW w:w="2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4,485</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111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-3805555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-3805555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-3805555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-3805555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-3805555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-1379220</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-1379220</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-1379220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-1379220</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-1379220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8"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DIRECT VESSEL PROFIT (“DVP”) BY SEGMENT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tbl>
      <w:tblPr>
        <w:tblLayout w:type="fixed"/>
        <w:tblInd w:w="0" w:type="dxa"/>
        <w:tblCellMar>
          <w:top w:w="0" w:type="dxa"/>
          <w:left w:w="0" w:type="dxa"/>
          <w:bottom w:w="0" w:type="dxa"/>
          <w:right w:w="0" w:type="dxa"/>
        </w:tblCellMar>
      </w:tblPr>
      <w:tr>
        <w:trPr>
          <w:trHeight w:val="133"/>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600" w:type="dxa"/>
            <w:vAlign w:val="bottom"/>
            <w:gridSpan w:val="4"/>
          </w:tcPr>
          <w:p>
            <w:pPr>
              <w:jc w:val="right"/>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Middle East and Asia</w:t>
            </w:r>
          </w:p>
        </w:tc>
        <w:tc>
          <w:tcPr>
            <w:tcW w:w="4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15,588</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17,587</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7,839</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8,931</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9,580</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13,940</w:t>
            </w:r>
          </w:p>
        </w:tc>
        <w:tc>
          <w:tcPr>
            <w:tcW w:w="18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1,705</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9,785</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Direct Vessel (Loss) Profit </w:t>
            </w:r>
            <w:r>
              <w:rPr>
                <w:rFonts w:ascii="Times New Roman" w:cs="Times New Roman" w:eastAsia="Times New Roman" w:hAnsi="Times New Roman"/>
                <w:sz w:val="19"/>
                <w:szCs w:val="19"/>
                <w:color w:val="auto"/>
                <w:vertAlign w:val="superscript"/>
              </w:rPr>
              <w:t>(1)</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13,629</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(2,349)</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w:t>
            </w:r>
          </w:p>
        </w:tc>
        <w:tc>
          <w:tcPr>
            <w:tcW w:w="24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5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spacing w:after="0"/>
              <w:rPr>
                <w:sz w:val="12"/>
                <w:szCs w:val="12"/>
                <w:color w:val="auto"/>
              </w:rPr>
            </w:pP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-1379220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-1379220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-1379220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-1379220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-1379220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full description of footnote above.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AHTS</w:t>
            </w: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FSV</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14,567</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14,411</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13,833</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14,114</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16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cold-stacked status</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18,448</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19,636</w:t>
            </w:r>
          </w:p>
        </w:tc>
        <w:tc>
          <w:tcPr>
            <w:tcW w:w="16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18,929</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20,546</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20,203</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21,455</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21,038</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19,697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4,960</w:t>
            </w:r>
          </w:p>
        </w:tc>
        <w:tc>
          <w:tcPr>
            <w:tcW w:w="200" w:type="dxa"/>
            <w:vAlign w:val="bottom"/>
          </w:tcPr>
          <w:p>
            <w:pPr>
              <w:spacing w:after="0"/>
              <w:rPr>
                <w:sz w:val="12"/>
                <w:szCs w:val="12"/>
                <w:color w:val="auto"/>
              </w:rPr>
            </w:pPr>
          </w:p>
        </w:tc>
        <w:tc>
          <w:tcPr>
            <w:tcW w:w="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5,416</w:t>
            </w:r>
          </w:p>
        </w:tc>
        <w:tc>
          <w:tcPr>
            <w:tcW w:w="16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5,166</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w:t>
            </w:r>
          </w:p>
        </w:tc>
        <w:tc>
          <w:tcPr>
            <w:tcW w:w="20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5,137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6,041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2,548</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2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2,889</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14,914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12,770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200" w:type="dxa"/>
            <w:vAlign w:val="bottom"/>
          </w:tcPr>
          <w:p>
            <w:pPr>
              <w:spacing w:after="0"/>
              <w:rPr>
                <w:sz w:val="16"/>
                <w:szCs w:val="16"/>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60" w:type="dxa"/>
            <w:vAlign w:val="bottom"/>
          </w:tcPr>
          <w:p>
            <w:pPr>
              <w:spacing w:after="0"/>
              <w:rPr>
                <w:sz w:val="16"/>
                <w:szCs w:val="16"/>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18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20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-3299460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-3299460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-3299460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-3299460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-3299460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-2527935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-2527935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-2527935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-2527935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-2527935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-1087755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-1087755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-1087755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-324485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-324485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-324485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-324485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-324485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tbl>
      <w:tblPr>
        <w:tblLayout w:type="fixed"/>
        <w:tblInd w:w="0" w:type="dxa"/>
        <w:tblCellMar>
          <w:top w:w="0" w:type="dxa"/>
          <w:left w:w="0" w:type="dxa"/>
          <w:bottom w:w="0" w:type="dxa"/>
          <w:right w:w="0" w:type="dxa"/>
        </w:tblCellMar>
      </w:tblPr>
      <w:tr>
        <w:trPr>
          <w:trHeight w:val="133"/>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600" w:type="dxa"/>
            <w:vAlign w:val="bottom"/>
            <w:gridSpan w:val="4"/>
          </w:tcPr>
          <w:p>
            <w:pPr>
              <w:jc w:val="right"/>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PSV</w:t>
            </w:r>
          </w:p>
        </w:tc>
        <w:tc>
          <w:tcPr>
            <w:tcW w:w="4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28,443</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20,118</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spacing w:after="0"/>
              <w:rPr>
                <w:sz w:val="10"/>
                <w:szCs w:val="10"/>
                <w:color w:val="auto"/>
              </w:rPr>
            </w:pPr>
          </w:p>
        </w:tc>
        <w:tc>
          <w:tcPr>
            <w:tcW w:w="13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0"/>
                <w:szCs w:val="10"/>
                <w:color w:val="auto"/>
              </w:rPr>
            </w:pPr>
          </w:p>
        </w:tc>
        <w:tc>
          <w:tcPr>
            <w:tcW w:w="13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0"/>
        </w:trPr>
        <w:tc>
          <w:tcPr>
            <w:tcW w:w="3300" w:type="dxa"/>
            <w:vAlign w:val="bottom"/>
          </w:tcPr>
          <w:p>
            <w:pPr>
              <w:ind w:left="80"/>
              <w:spacing w:after="0" w:line="180" w:lineRule="exact"/>
              <w:rPr>
                <w:sz w:val="20"/>
                <w:szCs w:val="20"/>
                <w:color w:val="auto"/>
              </w:rPr>
            </w:pPr>
            <w:r>
              <w:rPr>
                <w:rFonts w:ascii="Times New Roman" w:cs="Times New Roman" w:eastAsia="Times New Roman" w:hAnsi="Times New Roman"/>
                <w:sz w:val="14"/>
                <w:szCs w:val="14"/>
                <w:color w:val="auto"/>
              </w:rPr>
              <w:t xml:space="preserve">Fleet available days </w:t>
            </w:r>
            <w:r>
              <w:rPr>
                <w:rFonts w:ascii="Times New Roman" w:cs="Times New Roman" w:eastAsia="Times New Roman" w:hAnsi="Times New Roman"/>
                <w:sz w:val="19"/>
                <w:szCs w:val="19"/>
                <w:color w:val="auto"/>
                <w:vertAlign w:val="superscript"/>
              </w:rPr>
              <w:t>(1)</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28,622</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21,688</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23,801</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24,439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Bareboat charter</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33,539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30,915</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25,084</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8,241</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7,859</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8,322</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16,626</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15,223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2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8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240" w:type="dxa"/>
            <w:vAlign w:val="bottom"/>
          </w:tcPr>
          <w:p>
            <w:pPr>
              <w:spacing w:after="0"/>
              <w:rPr>
                <w:sz w:val="16"/>
                <w:szCs w:val="16"/>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18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-1867535</wp:posOffset>
            </wp:positionV>
            <wp:extent cx="7132320"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-1087755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-1087755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-1087755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-1087755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-324485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-324485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-324485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-324485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-324485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9512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available days for a bareboat charter for one PSV, which has been excluded from days worked and average day rates.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BY VESSEL CLASS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statistics)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6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Liftboats</w:t>
            </w:r>
          </w:p>
        </w:tc>
        <w:tc>
          <w:tcPr>
            <w:tcW w:w="4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Time Charter Statistics: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Average rates per day worked</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26,855</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16,417</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26,703</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33,566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utilization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Fleet available days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Out-of-service days for repairs, maintenance and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drydockings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5,470</w:t>
            </w:r>
          </w:p>
        </w:tc>
        <w:tc>
          <w:tcPr>
            <w:tcW w:w="18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5,209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Drydocking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6,610</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8,835</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9,759</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7,553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12,294</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Other Activity</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Revenues: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Time charter</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marine services</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378</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Direct Costs and Expenses: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Personnel</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Repairs and maintenance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Insurance and loss reserves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Fuel, lubes and supplies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Costs and Expenses:</w:t>
            </w:r>
          </w:p>
        </w:tc>
        <w:tc>
          <w:tcPr>
            <w:tcW w:w="4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5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-2836545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-2836545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-2836545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-2836545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-2836545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-1867535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-1867535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-1867535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-1867535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-1867535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-1087755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-1087755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-1087755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-1087755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-1087755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-316230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-316230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-316230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Mar. 31,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 31,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 30, 2025</w:t>
            </w:r>
          </w:p>
        </w:tc>
      </w:tr>
      <w:tr>
        <w:trPr>
          <w:trHeight w:val="142"/>
        </w:trPr>
        <w:tc>
          <w:tcPr>
            <w:tcW w:w="4620" w:type="dxa"/>
            <w:vAlign w:val="bottom"/>
            <w:shd w:val="clear" w:color="auto" w:fill="CFF0FC"/>
          </w:tcPr>
          <w:p>
            <w:pPr>
              <w:ind w:left="22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41,924</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55,397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38,721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68,934</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90,953</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17,255</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net of allowance for credit loss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62,788</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6,283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2,552</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6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156,837</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168,320</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171,658</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179,784</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194,304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Property and Equipment: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Historical cost</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747,581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754,369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752,640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776,833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797,381</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depreciation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(353,151)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(351,840)</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(341,790)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(348,812)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(344,899)</w:t>
            </w:r>
          </w:p>
        </w:tc>
      </w:tr>
      <w:tr>
        <w:trPr>
          <w:trHeight w:val="142"/>
        </w:trPr>
        <w:tc>
          <w:tcPr>
            <w:tcW w:w="46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394,430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402,529</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410,850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428,021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452,482</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Construction in progress</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61,485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56,594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47,002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40,394</w:t>
            </w:r>
          </w:p>
        </w:tc>
        <w:tc>
          <w:tcPr>
            <w:tcW w:w="120" w:type="dxa"/>
            <w:vAlign w:val="bottom"/>
          </w:tcPr>
          <w:p>
            <w:pPr>
              <w:spacing w:after="0"/>
              <w:rPr>
                <w:sz w:val="12"/>
                <w:szCs w:val="12"/>
                <w:color w:val="auto"/>
              </w:rPr>
            </w:pPr>
          </w:p>
        </w:tc>
      </w:tr>
      <w:tr>
        <w:trPr>
          <w:trHeight w:val="142"/>
        </w:trPr>
        <w:tc>
          <w:tcPr>
            <w:tcW w:w="462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property and equipment</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455,915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459,123</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463,279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475,023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492,876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Right-of-use asset - operating leases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 - finance leases</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equity, and advances to 50% or less owned companies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1,925</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616,515</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633,324</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640,747</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660,601</w:t>
            </w:r>
          </w:p>
        </w:tc>
        <w:tc>
          <w:tcPr>
            <w:tcW w:w="14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692,498</w:t>
            </w:r>
          </w:p>
        </w:tc>
        <w:tc>
          <w:tcPr>
            <w:tcW w:w="120" w:type="dxa"/>
            <w:vAlign w:val="bottom"/>
          </w:tcPr>
          <w:p>
            <w:pPr>
              <w:spacing w:after="0"/>
              <w:rPr>
                <w:sz w:val="12"/>
                <w:szCs w:val="12"/>
                <w:color w:val="auto"/>
              </w:rPr>
            </w:pPr>
          </w:p>
        </w:tc>
      </w:tr>
      <w:tr>
        <w:trPr>
          <w:trHeight w:val="20"/>
        </w:trPr>
        <w:tc>
          <w:tcPr>
            <w:tcW w:w="4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16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31,048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25,928</w:t>
            </w:r>
          </w:p>
        </w:tc>
        <w:tc>
          <w:tcPr>
            <w:tcW w:w="120" w:type="dxa"/>
            <w:vAlign w:val="bottom"/>
          </w:tcPr>
          <w:p>
            <w:pPr>
              <w:spacing w:after="0"/>
              <w:rPr>
                <w:sz w:val="12"/>
                <w:szCs w:val="12"/>
                <w:color w:val="auto"/>
              </w:rPr>
            </w:pPr>
          </w:p>
        </w:tc>
      </w:tr>
      <w:tr>
        <w:trPr>
          <w:trHeight w:val="149"/>
        </w:trPr>
        <w:tc>
          <w:tcPr>
            <w:tcW w:w="46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27,462</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25,279</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25,476</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19,044</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71,213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70,768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72,674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70,729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81,151</w:t>
            </w:r>
          </w:p>
        </w:tc>
        <w:tc>
          <w:tcPr>
            <w:tcW w:w="120" w:type="dxa"/>
            <w:vAlign w:val="bottom"/>
          </w:tcPr>
          <w:p>
            <w:pPr>
              <w:spacing w:after="0"/>
              <w:rPr>
                <w:sz w:val="12"/>
                <w:szCs w:val="12"/>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FF0FC"/>
          </w:tcPr>
          <w:p>
            <w:pPr>
              <w:spacing w:after="0"/>
              <w:rPr>
                <w:sz w:val="12"/>
                <w:szCs w:val="12"/>
                <w:color w:val="auto"/>
              </w:rPr>
            </w:pPr>
          </w:p>
        </w:tc>
      </w:tr>
      <w:tr>
        <w:trPr>
          <w:trHeight w:val="149"/>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finance lease liabilities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281,935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289,503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297,072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304,644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311,858</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20,609</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gains and other liabilities</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372,373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381,012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392,909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395,929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414,835</w:t>
            </w:r>
          </w:p>
        </w:tc>
        <w:tc>
          <w:tcPr>
            <w:tcW w:w="120" w:type="dxa"/>
            <w:vAlign w:val="bottom"/>
          </w:tcPr>
          <w:p>
            <w:pPr>
              <w:spacing w:after="0"/>
              <w:rPr>
                <w:sz w:val="12"/>
                <w:szCs w:val="12"/>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SEACOR Marine Holdings Inc. stockholders’ equity:</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FF0FC"/>
          </w:tcPr>
          <w:p>
            <w:pPr>
              <w:spacing w:after="0"/>
              <w:rPr>
                <w:sz w:val="12"/>
                <w:szCs w:val="12"/>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475,603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474,395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473,241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471,862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470,228</w:t>
            </w:r>
          </w:p>
        </w:tc>
        <w:tc>
          <w:tcPr>
            <w:tcW w:w="120" w:type="dxa"/>
            <w:vAlign w:val="bottom"/>
          </w:tcPr>
          <w:p>
            <w:pPr>
              <w:spacing w:after="0"/>
              <w:rPr>
                <w:sz w:val="12"/>
                <w:szCs w:val="12"/>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(230,420)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(220,956)</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(224,249)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(208,444)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(193,822)</w:t>
            </w: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Shares held in treasury</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(11,470)</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(9,639)</w:t>
            </w:r>
          </w:p>
        </w:tc>
      </w:tr>
      <w:tr>
        <w:trPr>
          <w:trHeight w:val="148"/>
        </w:trPr>
        <w:tc>
          <w:tcPr>
            <w:tcW w:w="462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net of tax</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9,823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9,738</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9,669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10,344</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10,294</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243,821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251,991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247,517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264,351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277,342</w:t>
            </w:r>
          </w:p>
        </w:tc>
        <w:tc>
          <w:tcPr>
            <w:tcW w:w="120" w:type="dxa"/>
            <w:vAlign w:val="bottom"/>
          </w:tcPr>
          <w:p>
            <w:pPr>
              <w:spacing w:after="0"/>
              <w:rPr>
                <w:sz w:val="12"/>
                <w:szCs w:val="12"/>
                <w:color w:val="auto"/>
              </w:rPr>
            </w:pPr>
          </w:p>
        </w:tc>
      </w:tr>
      <w:tr>
        <w:trPr>
          <w:trHeight w:val="148"/>
        </w:trPr>
        <w:tc>
          <w:tcPr>
            <w:tcW w:w="4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in subsidiaries</w:t>
            </w:r>
          </w:p>
        </w:tc>
        <w:tc>
          <w:tcPr>
            <w:tcW w:w="5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252,312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247,838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264,672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277,663</w:t>
            </w:r>
          </w:p>
        </w:tc>
        <w:tc>
          <w:tcPr>
            <w:tcW w:w="120" w:type="dxa"/>
            <w:vAlign w:val="bottom"/>
          </w:tcPr>
          <w:p>
            <w:pPr>
              <w:spacing w:after="0"/>
              <w:rPr>
                <w:sz w:val="12"/>
                <w:szCs w:val="12"/>
                <w:color w:val="auto"/>
              </w:rPr>
            </w:pPr>
          </w:p>
        </w:tc>
      </w:tr>
      <w:tr>
        <w:trPr>
          <w:trHeight w:val="162"/>
        </w:trPr>
        <w:tc>
          <w:tcPr>
            <w:tcW w:w="46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616,515</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633,324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640,747</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660,601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692,498</w:t>
            </w:r>
          </w:p>
        </w:tc>
        <w:tc>
          <w:tcPr>
            <w:tcW w:w="120" w:type="dxa"/>
            <w:vAlign w:val="bottom"/>
            <w:shd w:val="clear" w:color="auto" w:fill="CFF0FC"/>
          </w:tcPr>
          <w:p>
            <w:pPr>
              <w:spacing w:after="0"/>
              <w:rPr>
                <w:sz w:val="14"/>
                <w:szCs w:val="14"/>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-3548380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-3548380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-3548380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-3548380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-2957195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-2957195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-2957195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-2957195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-2957195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-2571115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-2571115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-2571115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-2571115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-1782445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-1782445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-1782445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-1199515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-1199515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-1199515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-427990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-427990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-427990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-427990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-231140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-231140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-231140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-231140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-231140</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 30, 2026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Dec. 31,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 30, 2025</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Jun. 30, 2026</w:t>
            </w:r>
          </w:p>
        </w:tc>
        <w:tc>
          <w:tcPr>
            <w:tcW w:w="10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 31, 2026</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(9,464)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w:t>
            </w:r>
          </w:p>
        </w:tc>
        <w:tc>
          <w:tcPr>
            <w:tcW w:w="140" w:type="dxa"/>
            <w:vAlign w:val="bottom"/>
          </w:tcPr>
          <w:p>
            <w:pPr>
              <w:spacing w:after="0"/>
              <w:rPr>
                <w:sz w:val="12"/>
                <w:szCs w:val="12"/>
                <w:color w:val="auto"/>
              </w:rPr>
            </w:pPr>
          </w:p>
        </w:tc>
        <w:tc>
          <w:tcPr>
            <w:tcW w:w="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(15,805)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(14,622)</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financing costs amortization</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Debt discount amortization</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Losses (gains) from equipment sales, retirements or impairments, net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(31,347)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(7,448)</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(8,210)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(30,230)</w:t>
            </w:r>
          </w:p>
        </w:tc>
        <w:tc>
          <w:tcPr>
            <w:tcW w:w="0" w:type="dxa"/>
            <w:vAlign w:val="bottom"/>
          </w:tcPr>
          <w:p>
            <w:pPr>
              <w:spacing w:after="0"/>
              <w:rPr>
                <w:sz w:val="1"/>
                <w:szCs w:val="1"/>
                <w:color w:val="auto"/>
              </w:rPr>
            </w:pPr>
          </w:p>
        </w:tc>
      </w:tr>
      <w:tr>
        <w:trPr>
          <w:trHeight w:val="149"/>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losses (gains)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on finance lease</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Settlements on derivative transactions,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Currency (gains) losses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losses (earnings)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received from equity investees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(5,045)</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(10,246)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(3,145)</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(13,178)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(15,133)</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(12,199)</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(10,659)</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(7,076)</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(6,429)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(6,088)</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(8,427)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(9,348)</w:t>
            </w:r>
          </w:p>
        </w:tc>
        <w:tc>
          <w:tcPr>
            <w:tcW w:w="0" w:type="dxa"/>
            <w:vAlign w:val="bottom"/>
          </w:tcPr>
          <w:p>
            <w:pPr>
              <w:spacing w:after="0"/>
              <w:rPr>
                <w:sz w:val="1"/>
                <w:szCs w:val="1"/>
                <w:color w:val="auto"/>
              </w:rPr>
            </w:pPr>
          </w:p>
        </w:tc>
      </w:tr>
      <w:tr>
        <w:trPr>
          <w:trHeight w:val="149"/>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and equipment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44,737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(6,875)</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 net of debt discount and issuance costs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finance leases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Excise tax on stock repurchase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withholdings on restricted stock vesting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020" w:type="dxa"/>
            <w:vAlign w:val="bottom"/>
            <w:tcBorders>
              <w:top w:val="single" w:sz="8" w:color="CFF0FC"/>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(7,428)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(7,524)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(9,240)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(7,556)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Effects of Exchange Rate Changes on Cash, Restricted Cash and Cash Equivalents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Restricted Cash and Cash Equivalents</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(17,450)</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17,608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(17,684)</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(15,092)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56,653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93,040</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93,116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75,590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93,040</w:t>
            </w:r>
          </w:p>
        </w:tc>
        <w:tc>
          <w:tcPr>
            <w:tcW w:w="14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93,116</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-1593850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-1593850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-1593850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-1199515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-1199515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-1199515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-1199515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-543560</wp:posOffset>
            </wp:positionV>
            <wp:extent cx="10287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-543560</wp:posOffset>
            </wp:positionV>
            <wp:extent cx="10287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-543560</wp:posOffset>
            </wp:positionV>
            <wp:extent cx="9398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-543560</wp:posOffset>
            </wp:positionV>
            <wp:extent cx="9398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-543560</wp:posOffset>
            </wp:positionV>
            <wp:extent cx="9398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-25400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FLEET COUNTS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20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1640" w:type="dxa"/>
            <w:vAlign w:val="bottom"/>
            <w:tcBorders>
              <w:bottom w:val="single" w:sz="8" w:color="auto"/>
            </w:tcBorders>
            <w:shd w:val="clear" w:color="auto" w:fill="CFF0FC"/>
          </w:tcPr>
          <w:p>
            <w:pPr>
              <w:spacing w:after="0"/>
              <w:rPr>
                <w:sz w:val="12"/>
                <w:szCs w:val="12"/>
                <w:color w:val="auto"/>
              </w:rPr>
            </w:pPr>
          </w:p>
        </w:tc>
        <w:tc>
          <w:tcPr>
            <w:tcW w:w="5060" w:type="dxa"/>
            <w:vAlign w:val="bottom"/>
            <w:tcBorders>
              <w:bottom w:val="single" w:sz="8" w:color="auto"/>
            </w:tcBorders>
            <w:shd w:val="clear" w:color="auto" w:fill="CFF0FC"/>
          </w:tcPr>
          <w:p>
            <w:pPr>
              <w:ind w:left="11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160" w:type="dxa"/>
            <w:vAlign w:val="bottom"/>
            <w:tcBorders>
              <w:bottom w:val="single" w:sz="8" w:color="CFF0FC"/>
            </w:tcBorders>
            <w:gridSpan w:val="2"/>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1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FSV</w:t>
            </w:r>
          </w:p>
        </w:tc>
        <w:tc>
          <w:tcPr>
            <w:tcW w:w="7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r>
      <w:tr>
        <w:trPr>
          <w:trHeight w:val="148"/>
        </w:trPr>
        <w:tc>
          <w:tcPr>
            <w:tcW w:w="1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PSV</w:t>
            </w:r>
          </w:p>
        </w:tc>
        <w:tc>
          <w:tcPr>
            <w:tcW w:w="72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2"/>
                <w:szCs w:val="12"/>
                <w:color w:val="auto"/>
              </w:rPr>
            </w:pPr>
          </w:p>
        </w:tc>
      </w:tr>
      <w:tr>
        <w:trPr>
          <w:trHeight w:val="148"/>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Liftboats</w:t>
            </w:r>
          </w:p>
        </w:tc>
        <w:tc>
          <w:tcPr>
            <w:tcW w:w="7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5200" w:type="dxa"/>
            <w:vAlign w:val="bottom"/>
            <w:gridSpan w:val="2"/>
          </w:tcPr>
          <w:p>
            <w:pPr>
              <w:spacing w:after="0"/>
              <w:rPr>
                <w:sz w:val="12"/>
                <w:szCs w:val="12"/>
                <w:color w:val="auto"/>
              </w:rPr>
            </w:pPr>
          </w:p>
        </w:tc>
        <w:tc>
          <w:tcPr>
            <w:tcW w:w="2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2"/>
                <w:szCs w:val="12"/>
                <w:color w:val="auto"/>
              </w:rPr>
            </w:pPr>
          </w:p>
        </w:tc>
        <w:tc>
          <w:tcPr>
            <w:tcW w:w="2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-401955</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164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ind w:left="1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1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FSV</w:t>
            </w:r>
          </w:p>
        </w:tc>
        <w:tc>
          <w:tcPr>
            <w:tcW w:w="72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2"/>
                <w:szCs w:val="12"/>
                <w:color w:val="auto"/>
              </w:rPr>
            </w:pPr>
          </w:p>
        </w:tc>
      </w:tr>
      <w:tr>
        <w:trPr>
          <w:trHeight w:val="149"/>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PSV</w:t>
            </w:r>
          </w:p>
        </w:tc>
        <w:tc>
          <w:tcPr>
            <w:tcW w:w="7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r>
      <w:tr>
        <w:trPr>
          <w:trHeight w:val="148"/>
        </w:trPr>
        <w:tc>
          <w:tcPr>
            <w:tcW w:w="16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Liftboats</w:t>
            </w:r>
          </w:p>
        </w:tc>
        <w:tc>
          <w:tcPr>
            <w:tcW w:w="5200" w:type="dxa"/>
            <w:vAlign w:val="bottom"/>
            <w:tcBorders>
              <w:bottom w:val="single" w:sz="8" w:color="CFF0FC"/>
            </w:tcBorders>
            <w:gridSpan w:val="2"/>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shd w:val="clear" w:color="auto" w:fill="CFF0FC"/>
          </w:tcPr>
          <w:p>
            <w:pPr>
              <w:spacing w:after="0"/>
              <w:rPr>
                <w:sz w:val="12"/>
                <w:szCs w:val="12"/>
                <w:color w:val="auto"/>
              </w:rPr>
            </w:pPr>
          </w:p>
        </w:tc>
        <w:tc>
          <w:tcPr>
            <w:tcW w:w="2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7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r>
      <w:tr>
        <w:trPr>
          <w:trHeight w:val="20"/>
        </w:trPr>
        <w:tc>
          <w:tcPr>
            <w:tcW w:w="1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-128270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2026-10-28T15:45:11Z</dcterms:created>
  <dcterms:modified xsi:type="dcterms:W3CDTF">2026-10-28T15:45:11Z</dcterms:modified>
</cp:coreProperties>
</file>