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0001705427</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7"/>
              </w:rPr>
              <w:t>SEACOR Marine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12121 Wickchester Lane</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77079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346-980-1700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Jesus Llorca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214"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gridSpan w:val="2"/>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gridSpan w:val="2"/>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740" w:type="dxa"/>
            <w:vAlign w:val="bottom"/>
          </w:tcPr>
          <w:p>
            <w:pPr>
              <w:spacing w:after="0"/>
              <w:rPr>
                <w:sz w:val="10"/>
                <w:szCs w:val="10"/>
                <w:color w:val="auto"/>
              </w:rPr>
            </w:pPr>
          </w:p>
        </w:tc>
        <w:tc>
          <w:tcPr>
            <w:tcW w:w="1660" w:type="dxa"/>
            <w:vAlign w:val="bottom"/>
            <w:vMerge w:val="restart"/>
          </w:tcPr>
          <w:p>
            <w:pPr>
              <w:jc w:val="center"/>
              <w:ind w:right="4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2100 Ross Ave</w:t>
            </w:r>
          </w:p>
        </w:tc>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309925</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6052529</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w:t>
            </w:r>
          </w:p>
        </w:tc>
        <w:tc>
          <w:tcPr>
            <w:tcW w:w="1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TX  75201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2100 Ross Ave</w:t>
            </w:r>
          </w:p>
        </w:tc>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w:t>
            </w:r>
          </w:p>
        </w:tc>
        <w:tc>
          <w:tcPr>
            <w:tcW w:w="1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TX  75201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27060000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NYSE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0</w:t>
      </w:r>
      <w:r>
        <w:rPr>
          <w:sz w:val="20"/>
          <w:szCs w:val="20"/>
          <w:color w:val="auto"/>
        </w:rPr>
        <w:tab/>
      </w:r>
      <w:r>
        <w:rPr>
          <w:rFonts w:ascii="Times New Roman" w:cs="Times New Roman" w:eastAsia="Times New Roman" w:hAnsi="Times New Roman"/>
          <w:sz w:val="22"/>
          <w:szCs w:val="22"/>
          <w:color w:val="auto"/>
        </w:rPr>
        <w:t>06/22/2026</w:t>
      </w:r>
      <w:r>
        <w:rPr>
          <w:sz w:val="20"/>
          <w:szCs w:val="20"/>
          <w:color w:val="auto"/>
        </w:rPr>
        <w:tab/>
      </w:r>
      <w:r>
        <w:rPr>
          <w:rFonts w:ascii="Times New Roman" w:cs="Times New Roman" w:eastAsia="Times New Roman" w:hAnsi="Times New Roman"/>
          <w:sz w:val="21"/>
          <w:szCs w:val="21"/>
          <w:color w:val="auto"/>
        </w:rPr>
        <w:t>NYSE</w:t>
      </w:r>
    </w:p>
    <w:p>
      <w:pPr>
        <w:spacing w:after="0" w:line="593" w:lineRule="exact"/>
        <w:rPr>
          <w:sz w:val="24"/>
          <w:szCs w:val="24"/>
          <w:color w:val="auto"/>
        </w:rPr>
      </w:pPr>
    </w:p>
    <w:p>
      <w:pPr>
        <w:sectPr>
          <w:pgSz w:w="11900" w:h="16838" w:orient="portrait"/>
          <w:cols w:equalWidth="0" w:num="2">
            <w:col w:w="7200" w:space="220"/>
            <w:col w:w="3820"/>
          </w:cols>
          <w:pgMar w:left="320" w:top="261" w:right="339" w:bottom="214"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214"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0860"/>
          </w:cols>
          <w:pgMar w:left="320" w:top="88" w:right="719" w:bottom="157" w:gutter="0" w:footer="0" w:header="0"/>
        </w:sect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w:t>
            </w:r>
          </w:p>
        </w:tc>
        <w:tc>
          <w:tcPr>
            <w:tcW w:w="104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700" w:type="dxa"/>
            <w:vAlign w:val="bottom"/>
            <w:vMerge w:val="continue"/>
          </w:tcPr>
          <w:p>
            <w:pPr>
              <w:spacing w:after="0"/>
              <w:rPr>
                <w:sz w:val="10"/>
                <w:szCs w:val="10"/>
                <w:color w:val="auto"/>
              </w:rPr>
            </w:pPr>
          </w:p>
        </w:tc>
        <w:tc>
          <w:tcPr>
            <w:tcW w:w="14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7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1"/>
        </w:trPr>
        <w:tc>
          <w:tcPr>
            <w:tcW w:w="1400" w:type="dxa"/>
            <w:vAlign w:val="bottom"/>
            <w:vMerge w:val="restart"/>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700" w:type="dxa"/>
            <w:vAlign w:val="bottom"/>
            <w:vMerge w:val="continue"/>
          </w:tcPr>
          <w:p>
            <w:pPr>
              <w:spacing w:after="0"/>
              <w:rPr>
                <w:sz w:val="10"/>
                <w:szCs w:val="10"/>
                <w:color w:val="auto"/>
              </w:rPr>
            </w:pPr>
          </w:p>
        </w:tc>
        <w:tc>
          <w:tcPr>
            <w:tcW w:w="14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Employment</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SEACOR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74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03/11/2022 related - restricted</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Marine</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27293</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stock award</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Holdings Inc.</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Employment</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SEACOR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74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03/08/2023 related - restricted</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Marine</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60627</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stock award</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Holdings Inc.</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Employment</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SEACOR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74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03/04/2024 related - restricted</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Marine</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72553</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stock award</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Holdings Inc.</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Employment</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SEACOR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74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03/12/2024 related - restricted</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Marine</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16745</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stock award</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Holdings Inc.</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Employment</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SEACOR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74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06/09/2020 related - restricted</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Marine</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18750</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stock award</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Holdings Inc.</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-2295525</wp:posOffset>
            </wp:positionV>
            <wp:extent cx="128905" cy="128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-1798320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-1301750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-804545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-307340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160"/>
        <w:spacing w:after="0"/>
        <w:tabs>
          <w:tab w:leader="none" w:pos="142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06/23/2026 </w:t>
      </w:r>
      <w:r>
        <w:rPr>
          <w:rFonts w:ascii="Times New Roman" w:cs="Times New Roman" w:eastAsia="Times New Roman" w:hAnsi="Times New Roman"/>
          <w:sz w:val="26"/>
          <w:szCs w:val="26"/>
          <w:color w:val="auto"/>
          <w:vertAlign w:val="superscript"/>
        </w:rPr>
        <w:t>Compensatory</w:t>
      </w:r>
      <w:r>
        <w:rPr>
          <w:rFonts w:ascii="Times New Roman" w:cs="Times New Roman" w:eastAsia="Times New Roman" w:hAnsi="Times New Roman"/>
          <w:sz w:val="26"/>
          <w:szCs w:val="26"/>
          <w:color w:val="auto"/>
          <w:vertAlign w:val="subscript"/>
        </w:rPr>
        <w:t>payment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06/23/2026 </w:t>
      </w:r>
      <w:r>
        <w:rPr>
          <w:rFonts w:ascii="Times New Roman" w:cs="Times New Roman" w:eastAsia="Times New Roman" w:hAnsi="Times New Roman"/>
          <w:sz w:val="26"/>
          <w:szCs w:val="26"/>
          <w:color w:val="auto"/>
          <w:vertAlign w:val="superscript"/>
        </w:rPr>
        <w:t>Compensatory</w:t>
      </w:r>
      <w:r>
        <w:rPr>
          <w:rFonts w:ascii="Times New Roman" w:cs="Times New Roman" w:eastAsia="Times New Roman" w:hAnsi="Times New Roman"/>
          <w:sz w:val="26"/>
          <w:szCs w:val="26"/>
          <w:color w:val="auto"/>
          <w:vertAlign w:val="subscript"/>
        </w:rPr>
        <w:t>payment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06/23/2026 </w:t>
      </w:r>
      <w:r>
        <w:rPr>
          <w:rFonts w:ascii="Times New Roman" w:cs="Times New Roman" w:eastAsia="Times New Roman" w:hAnsi="Times New Roman"/>
          <w:sz w:val="26"/>
          <w:szCs w:val="26"/>
          <w:color w:val="auto"/>
          <w:vertAlign w:val="superscript"/>
        </w:rPr>
        <w:t>Compensatory</w:t>
      </w:r>
      <w:r>
        <w:rPr>
          <w:rFonts w:ascii="Times New Roman" w:cs="Times New Roman" w:eastAsia="Times New Roman" w:hAnsi="Times New Roman"/>
          <w:sz w:val="26"/>
          <w:szCs w:val="26"/>
          <w:color w:val="auto"/>
          <w:vertAlign w:val="subscript"/>
        </w:rPr>
        <w:t>payment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06/23/2026 </w:t>
      </w:r>
      <w:r>
        <w:rPr>
          <w:rFonts w:ascii="Times New Roman" w:cs="Times New Roman" w:eastAsia="Times New Roman" w:hAnsi="Times New Roman"/>
          <w:sz w:val="26"/>
          <w:szCs w:val="26"/>
          <w:color w:val="auto"/>
          <w:vertAlign w:val="superscript"/>
        </w:rPr>
        <w:t>Compensatory</w:t>
      </w:r>
      <w:r>
        <w:rPr>
          <w:rFonts w:ascii="Times New Roman" w:cs="Times New Roman" w:eastAsia="Times New Roman" w:hAnsi="Times New Roman"/>
          <w:sz w:val="26"/>
          <w:szCs w:val="26"/>
          <w:color w:val="auto"/>
          <w:vertAlign w:val="subscript"/>
        </w:rPr>
        <w:t>payment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06/23/2026 </w:t>
      </w:r>
      <w:r>
        <w:rPr>
          <w:rFonts w:ascii="Times New Roman" w:cs="Times New Roman" w:eastAsia="Times New Roman" w:hAnsi="Times New Roman"/>
          <w:sz w:val="26"/>
          <w:szCs w:val="26"/>
          <w:color w:val="auto"/>
          <w:vertAlign w:val="superscript"/>
        </w:rPr>
        <w:t>Compensatory</w:t>
      </w:r>
      <w:r>
        <w:rPr>
          <w:rFonts w:ascii="Times New Roman" w:cs="Times New Roman" w:eastAsia="Times New Roman" w:hAnsi="Times New Roman"/>
          <w:sz w:val="26"/>
          <w:szCs w:val="26"/>
          <w:color w:val="auto"/>
          <w:vertAlign w:val="subscript"/>
        </w:rPr>
        <w:t>payment</w:t>
      </w:r>
    </w:p>
    <w:p>
      <w:pPr>
        <w:spacing w:after="0" w:line="408" w:lineRule="exact"/>
        <w:rPr>
          <w:sz w:val="20"/>
          <w:szCs w:val="20"/>
          <w:color w:val="auto"/>
        </w:rPr>
      </w:pPr>
    </w:p>
    <w:p>
      <w:pPr>
        <w:sectPr>
          <w:pgSz w:w="11900" w:h="16838" w:orient="portrait"/>
          <w:cols w:equalWidth="0" w:num="2">
            <w:col w:w="8300" w:space="180"/>
            <w:col w:w="2380"/>
          </w:cols>
          <w:pgMar w:left="320" w:top="88" w:right="719" w:bottom="157" w:gutter="0" w:footer="0" w:header="0"/>
          <w:type w:val="continuous"/>
        </w:sectPr>
      </w:pPr>
    </w:p>
    <w:p>
      <w:pPr>
        <w:ind w:left="2540"/>
        <w:spacing w:after="0"/>
        <w:rPr>
          <w:sz w:val="20"/>
          <w:szCs w:val="20"/>
          <w:color w:val="auto"/>
        </w:rPr>
      </w:pPr>
      <w:r>
        <w:rPr>
          <w:rFonts w:ascii="Times New Roman" w:cs="Times New Roman" w:eastAsia="Times New Roman" w:hAnsi="Times New Roman"/>
          <w:sz w:val="22"/>
          <w:szCs w:val="22"/>
          <w:color w:val="auto"/>
        </w:rPr>
        <w:t>Employment</w:t>
      </w:r>
    </w:p>
    <w:p>
      <w:pPr>
        <w:spacing w:after="0" w:line="14" w:lineRule="exact"/>
        <w:rPr>
          <w:sz w:val="20"/>
          <w:szCs w:val="20"/>
          <w:color w:val="auto"/>
        </w:rPr>
      </w:pPr>
    </w:p>
    <w:p>
      <w:pPr>
        <w:ind w:left="2540" w:hanging="2497"/>
        <w:spacing w:after="0" w:line="181" w:lineRule="auto"/>
        <w:rPr>
          <w:sz w:val="20"/>
          <w:szCs w:val="20"/>
          <w:color w:val="auto"/>
        </w:rPr>
      </w:pPr>
      <w:r>
        <w:rPr>
          <w:rFonts w:ascii="Times New Roman" w:cs="Times New Roman" w:eastAsia="Times New Roman" w:hAnsi="Times New Roman"/>
          <w:sz w:val="19"/>
          <w:szCs w:val="19"/>
          <w:color w:val="auto"/>
        </w:rPr>
        <w:t xml:space="preserve">Common stock 03/05/2020 </w:t>
      </w:r>
      <w:r>
        <w:rPr>
          <w:rFonts w:ascii="Times New Roman" w:cs="Times New Roman" w:eastAsia="Times New Roman" w:hAnsi="Times New Roman"/>
          <w:sz w:val="37"/>
          <w:szCs w:val="37"/>
          <w:color w:val="auto"/>
          <w:vertAlign w:val="superscript"/>
        </w:rPr>
        <w:t>related -</w:t>
      </w:r>
      <w:r>
        <w:rPr>
          <w:rFonts w:ascii="Times New Roman" w:cs="Times New Roman" w:eastAsia="Times New Roman" w:hAnsi="Times New Roman"/>
          <w:sz w:val="19"/>
          <w:szCs w:val="19"/>
          <w:color w:val="auto"/>
        </w:rPr>
        <w:t xml:space="preserve"> Nonqualified</w:t>
      </w:r>
    </w:p>
    <w:p>
      <w:pPr>
        <w:ind w:left="2540"/>
        <w:spacing w:after="0"/>
        <w:rPr>
          <w:sz w:val="20"/>
          <w:szCs w:val="20"/>
          <w:color w:val="auto"/>
        </w:rPr>
      </w:pPr>
      <w:r>
        <w:rPr>
          <w:rFonts w:ascii="Times New Roman" w:cs="Times New Roman" w:eastAsia="Times New Roman" w:hAnsi="Times New Roman"/>
          <w:sz w:val="22"/>
          <w:szCs w:val="22"/>
          <w:color w:val="auto"/>
        </w:rPr>
        <w:t>stock option</w:t>
      </w:r>
    </w:p>
    <w:p>
      <w:pPr>
        <w:spacing w:after="0" w:line="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Employment</w:t>
      </w:r>
    </w:p>
    <w:p>
      <w:pPr>
        <w:spacing w:after="0" w:line="14" w:lineRule="exact"/>
        <w:rPr>
          <w:sz w:val="20"/>
          <w:szCs w:val="20"/>
          <w:color w:val="auto"/>
        </w:rPr>
      </w:pPr>
    </w:p>
    <w:p>
      <w:pPr>
        <w:ind w:left="2540" w:hanging="2497"/>
        <w:spacing w:after="0" w:line="181" w:lineRule="auto"/>
        <w:rPr>
          <w:sz w:val="20"/>
          <w:szCs w:val="20"/>
          <w:color w:val="auto"/>
        </w:rPr>
      </w:pPr>
      <w:r>
        <w:rPr>
          <w:rFonts w:ascii="Times New Roman" w:cs="Times New Roman" w:eastAsia="Times New Roman" w:hAnsi="Times New Roman"/>
          <w:sz w:val="19"/>
          <w:szCs w:val="19"/>
          <w:color w:val="auto"/>
        </w:rPr>
        <w:t xml:space="preserve">Common stock 12/16/2019 </w:t>
      </w:r>
      <w:r>
        <w:rPr>
          <w:rFonts w:ascii="Times New Roman" w:cs="Times New Roman" w:eastAsia="Times New Roman" w:hAnsi="Times New Roman"/>
          <w:sz w:val="37"/>
          <w:szCs w:val="37"/>
          <w:color w:val="auto"/>
          <w:vertAlign w:val="superscript"/>
        </w:rPr>
        <w:t>related -</w:t>
      </w:r>
      <w:r>
        <w:rPr>
          <w:rFonts w:ascii="Times New Roman" w:cs="Times New Roman" w:eastAsia="Times New Roman" w:hAnsi="Times New Roman"/>
          <w:sz w:val="19"/>
          <w:szCs w:val="19"/>
          <w:color w:val="auto"/>
        </w:rPr>
        <w:t xml:space="preserve"> Nonqualified</w:t>
      </w:r>
    </w:p>
    <w:p>
      <w:pPr>
        <w:ind w:left="2540"/>
        <w:spacing w:after="0"/>
        <w:rPr>
          <w:sz w:val="20"/>
          <w:szCs w:val="20"/>
          <w:color w:val="auto"/>
        </w:rPr>
      </w:pPr>
      <w:r>
        <w:rPr>
          <w:rFonts w:ascii="Times New Roman" w:cs="Times New Roman" w:eastAsia="Times New Roman" w:hAnsi="Times New Roman"/>
          <w:sz w:val="22"/>
          <w:szCs w:val="22"/>
          <w:color w:val="auto"/>
        </w:rPr>
        <w:t>stock option</w:t>
      </w:r>
    </w:p>
    <w:p>
      <w:pPr>
        <w:spacing w:after="0" w:line="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Employment</w:t>
      </w:r>
    </w:p>
    <w:p>
      <w:pPr>
        <w:spacing w:after="0" w:line="14" w:lineRule="exact"/>
        <w:rPr>
          <w:sz w:val="20"/>
          <w:szCs w:val="20"/>
          <w:color w:val="auto"/>
        </w:rPr>
      </w:pPr>
    </w:p>
    <w:p>
      <w:pPr>
        <w:ind w:left="2540" w:hanging="2497"/>
        <w:spacing w:after="0" w:line="181" w:lineRule="auto"/>
        <w:rPr>
          <w:sz w:val="20"/>
          <w:szCs w:val="20"/>
          <w:color w:val="auto"/>
        </w:rPr>
      </w:pPr>
      <w:r>
        <w:rPr>
          <w:rFonts w:ascii="Times New Roman" w:cs="Times New Roman" w:eastAsia="Times New Roman" w:hAnsi="Times New Roman"/>
          <w:sz w:val="19"/>
          <w:szCs w:val="19"/>
          <w:color w:val="auto"/>
        </w:rPr>
        <w:t xml:space="preserve">Common stock 09/15/2019 </w:t>
      </w:r>
      <w:r>
        <w:rPr>
          <w:rFonts w:ascii="Times New Roman" w:cs="Times New Roman" w:eastAsia="Times New Roman" w:hAnsi="Times New Roman"/>
          <w:sz w:val="37"/>
          <w:szCs w:val="37"/>
          <w:color w:val="auto"/>
          <w:vertAlign w:val="superscript"/>
        </w:rPr>
        <w:t>related -</w:t>
      </w:r>
      <w:r>
        <w:rPr>
          <w:rFonts w:ascii="Times New Roman" w:cs="Times New Roman" w:eastAsia="Times New Roman" w:hAnsi="Times New Roman"/>
          <w:sz w:val="19"/>
          <w:szCs w:val="19"/>
          <w:color w:val="auto"/>
        </w:rPr>
        <w:t xml:space="preserve"> Nonqualified</w:t>
      </w:r>
    </w:p>
    <w:p>
      <w:pPr>
        <w:ind w:left="2540"/>
        <w:spacing w:after="0"/>
        <w:rPr>
          <w:sz w:val="20"/>
          <w:szCs w:val="20"/>
          <w:color w:val="auto"/>
        </w:rPr>
      </w:pPr>
      <w:r>
        <w:rPr>
          <w:rFonts w:ascii="Times New Roman" w:cs="Times New Roman" w:eastAsia="Times New Roman" w:hAnsi="Times New Roman"/>
          <w:sz w:val="22"/>
          <w:szCs w:val="22"/>
          <w:color w:val="auto"/>
        </w:rPr>
        <w:t>stock option</w:t>
      </w:r>
    </w:p>
    <w:p>
      <w:pPr>
        <w:spacing w:after="0" w:line="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Employment</w:t>
      </w:r>
    </w:p>
    <w:p>
      <w:pPr>
        <w:spacing w:after="0" w:line="14" w:lineRule="exact"/>
        <w:rPr>
          <w:sz w:val="20"/>
          <w:szCs w:val="20"/>
          <w:color w:val="auto"/>
        </w:rPr>
      </w:pPr>
    </w:p>
    <w:p>
      <w:pPr>
        <w:ind w:left="2540" w:hanging="2497"/>
        <w:spacing w:after="0" w:line="181" w:lineRule="auto"/>
        <w:rPr>
          <w:sz w:val="20"/>
          <w:szCs w:val="20"/>
          <w:color w:val="auto"/>
        </w:rPr>
      </w:pPr>
      <w:r>
        <w:rPr>
          <w:rFonts w:ascii="Times New Roman" w:cs="Times New Roman" w:eastAsia="Times New Roman" w:hAnsi="Times New Roman"/>
          <w:sz w:val="19"/>
          <w:szCs w:val="19"/>
          <w:color w:val="auto"/>
        </w:rPr>
        <w:t xml:space="preserve">Common stock 06/17/2019 </w:t>
      </w:r>
      <w:r>
        <w:rPr>
          <w:rFonts w:ascii="Times New Roman" w:cs="Times New Roman" w:eastAsia="Times New Roman" w:hAnsi="Times New Roman"/>
          <w:sz w:val="37"/>
          <w:szCs w:val="37"/>
          <w:color w:val="auto"/>
          <w:vertAlign w:val="superscript"/>
        </w:rPr>
        <w:t>related -</w:t>
      </w:r>
      <w:r>
        <w:rPr>
          <w:rFonts w:ascii="Times New Roman" w:cs="Times New Roman" w:eastAsia="Times New Roman" w:hAnsi="Times New Roman"/>
          <w:sz w:val="19"/>
          <w:szCs w:val="19"/>
          <w:color w:val="auto"/>
        </w:rPr>
        <w:t xml:space="preserve"> Nonqualified</w:t>
      </w:r>
    </w:p>
    <w:p>
      <w:pPr>
        <w:ind w:left="2540"/>
        <w:spacing w:after="0"/>
        <w:rPr>
          <w:sz w:val="20"/>
          <w:szCs w:val="20"/>
          <w:color w:val="auto"/>
        </w:rPr>
      </w:pPr>
      <w:r>
        <w:rPr>
          <w:rFonts w:ascii="Times New Roman" w:cs="Times New Roman" w:eastAsia="Times New Roman" w:hAnsi="Times New Roman"/>
          <w:sz w:val="22"/>
          <w:szCs w:val="22"/>
          <w:color w:val="auto"/>
        </w:rPr>
        <w:t>stock option</w:t>
      </w:r>
    </w:p>
    <w:p>
      <w:pPr>
        <w:spacing w:after="0" w:line="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Employment</w:t>
      </w:r>
    </w:p>
    <w:p>
      <w:pPr>
        <w:spacing w:after="0" w:line="14" w:lineRule="exact"/>
        <w:rPr>
          <w:sz w:val="20"/>
          <w:szCs w:val="20"/>
          <w:color w:val="auto"/>
        </w:rPr>
      </w:pPr>
    </w:p>
    <w:p>
      <w:pPr>
        <w:ind w:left="2540" w:hanging="2497"/>
        <w:spacing w:after="0" w:line="181" w:lineRule="auto"/>
        <w:rPr>
          <w:sz w:val="20"/>
          <w:szCs w:val="20"/>
          <w:color w:val="auto"/>
        </w:rPr>
      </w:pPr>
      <w:r>
        <w:rPr>
          <w:rFonts w:ascii="Times New Roman" w:cs="Times New Roman" w:eastAsia="Times New Roman" w:hAnsi="Times New Roman"/>
          <w:sz w:val="19"/>
          <w:szCs w:val="19"/>
          <w:color w:val="auto"/>
        </w:rPr>
        <w:t xml:space="preserve">Common stock 04/16/2019 </w:t>
      </w:r>
      <w:r>
        <w:rPr>
          <w:rFonts w:ascii="Times New Roman" w:cs="Times New Roman" w:eastAsia="Times New Roman" w:hAnsi="Times New Roman"/>
          <w:sz w:val="37"/>
          <w:szCs w:val="37"/>
          <w:color w:val="auto"/>
          <w:vertAlign w:val="superscript"/>
        </w:rPr>
        <w:t>related -</w:t>
      </w:r>
      <w:r>
        <w:rPr>
          <w:rFonts w:ascii="Times New Roman" w:cs="Times New Roman" w:eastAsia="Times New Roman" w:hAnsi="Times New Roman"/>
          <w:sz w:val="19"/>
          <w:szCs w:val="19"/>
          <w:color w:val="auto"/>
        </w:rPr>
        <w:t xml:space="preserve"> Nonqualified</w:t>
      </w:r>
    </w:p>
    <w:p>
      <w:pPr>
        <w:ind w:left="2540"/>
        <w:spacing w:after="0"/>
        <w:rPr>
          <w:sz w:val="20"/>
          <w:szCs w:val="20"/>
          <w:color w:val="auto"/>
        </w:rPr>
      </w:pPr>
      <w:r>
        <w:rPr>
          <w:rFonts w:ascii="Times New Roman" w:cs="Times New Roman" w:eastAsia="Times New Roman" w:hAnsi="Times New Roman"/>
          <w:sz w:val="22"/>
          <w:szCs w:val="22"/>
          <w:color w:val="auto"/>
        </w:rPr>
        <w:t>stock option</w:t>
      </w:r>
    </w:p>
    <w:p>
      <w:pPr>
        <w:spacing w:after="0" w:line="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Employment</w:t>
      </w:r>
    </w:p>
    <w:p>
      <w:pPr>
        <w:spacing w:after="0" w:line="14" w:lineRule="exact"/>
        <w:rPr>
          <w:sz w:val="20"/>
          <w:szCs w:val="20"/>
          <w:color w:val="auto"/>
        </w:rPr>
      </w:pPr>
    </w:p>
    <w:p>
      <w:pPr>
        <w:ind w:left="2540" w:hanging="2497"/>
        <w:spacing w:after="0" w:line="181" w:lineRule="auto"/>
        <w:rPr>
          <w:sz w:val="20"/>
          <w:szCs w:val="20"/>
          <w:color w:val="auto"/>
        </w:rPr>
      </w:pPr>
      <w:r>
        <w:rPr>
          <w:rFonts w:ascii="Times New Roman" w:cs="Times New Roman" w:eastAsia="Times New Roman" w:hAnsi="Times New Roman"/>
          <w:sz w:val="19"/>
          <w:szCs w:val="19"/>
          <w:color w:val="auto"/>
        </w:rPr>
        <w:t xml:space="preserve">Common stock 12/31/2018 </w:t>
      </w:r>
      <w:r>
        <w:rPr>
          <w:rFonts w:ascii="Times New Roman" w:cs="Times New Roman" w:eastAsia="Times New Roman" w:hAnsi="Times New Roman"/>
          <w:sz w:val="37"/>
          <w:szCs w:val="37"/>
          <w:color w:val="auto"/>
          <w:vertAlign w:val="superscript"/>
        </w:rPr>
        <w:t>related -</w:t>
      </w:r>
      <w:r>
        <w:rPr>
          <w:rFonts w:ascii="Times New Roman" w:cs="Times New Roman" w:eastAsia="Times New Roman" w:hAnsi="Times New Roman"/>
          <w:sz w:val="19"/>
          <w:szCs w:val="19"/>
          <w:color w:val="auto"/>
        </w:rPr>
        <w:t xml:space="preserve"> Nonqualified</w:t>
      </w:r>
    </w:p>
    <w:p>
      <w:pPr>
        <w:ind w:left="2540"/>
        <w:spacing w:after="0"/>
        <w:rPr>
          <w:sz w:val="20"/>
          <w:szCs w:val="20"/>
          <w:color w:val="auto"/>
        </w:rPr>
      </w:pPr>
      <w:r>
        <w:rPr>
          <w:rFonts w:ascii="Times New Roman" w:cs="Times New Roman" w:eastAsia="Times New Roman" w:hAnsi="Times New Roman"/>
          <w:sz w:val="22"/>
          <w:szCs w:val="22"/>
          <w:color w:val="auto"/>
        </w:rPr>
        <w:t>stock option</w:t>
      </w:r>
    </w:p>
    <w:p>
      <w:pPr>
        <w:spacing w:after="0" w:line="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Employment</w:t>
      </w:r>
    </w:p>
    <w:p>
      <w:pPr>
        <w:spacing w:after="0" w:line="14" w:lineRule="exact"/>
        <w:rPr>
          <w:sz w:val="20"/>
          <w:szCs w:val="20"/>
          <w:color w:val="auto"/>
        </w:rPr>
      </w:pPr>
    </w:p>
    <w:p>
      <w:pPr>
        <w:ind w:left="2540" w:hanging="2497"/>
        <w:spacing w:after="0" w:line="181" w:lineRule="auto"/>
        <w:rPr>
          <w:sz w:val="20"/>
          <w:szCs w:val="20"/>
          <w:color w:val="auto"/>
        </w:rPr>
      </w:pPr>
      <w:r>
        <w:rPr>
          <w:rFonts w:ascii="Times New Roman" w:cs="Times New Roman" w:eastAsia="Times New Roman" w:hAnsi="Times New Roman"/>
          <w:sz w:val="19"/>
          <w:szCs w:val="19"/>
          <w:color w:val="auto"/>
        </w:rPr>
        <w:t xml:space="preserve">Common stock 10/01/2018 </w:t>
      </w:r>
      <w:r>
        <w:rPr>
          <w:rFonts w:ascii="Times New Roman" w:cs="Times New Roman" w:eastAsia="Times New Roman" w:hAnsi="Times New Roman"/>
          <w:sz w:val="37"/>
          <w:szCs w:val="37"/>
          <w:color w:val="auto"/>
          <w:vertAlign w:val="superscript"/>
        </w:rPr>
        <w:t>related -</w:t>
      </w:r>
      <w:r>
        <w:rPr>
          <w:rFonts w:ascii="Times New Roman" w:cs="Times New Roman" w:eastAsia="Times New Roman" w:hAnsi="Times New Roman"/>
          <w:sz w:val="19"/>
          <w:szCs w:val="19"/>
          <w:color w:val="auto"/>
        </w:rPr>
        <w:t xml:space="preserve"> Nonqualified</w:t>
      </w:r>
    </w:p>
    <w:p>
      <w:pPr>
        <w:ind w:left="2540"/>
        <w:spacing w:after="0"/>
        <w:rPr>
          <w:sz w:val="20"/>
          <w:szCs w:val="20"/>
          <w:color w:val="auto"/>
        </w:rPr>
      </w:pPr>
      <w:r>
        <w:rPr>
          <w:rFonts w:ascii="Times New Roman" w:cs="Times New Roman" w:eastAsia="Times New Roman" w:hAnsi="Times New Roman"/>
          <w:sz w:val="22"/>
          <w:szCs w:val="22"/>
          <w:color w:val="auto"/>
        </w:rPr>
        <w:t>stock option</w:t>
      </w:r>
    </w:p>
    <w:p>
      <w:pPr>
        <w:spacing w:after="0" w:line="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Employment</w:t>
      </w:r>
    </w:p>
    <w:p>
      <w:pPr>
        <w:spacing w:after="0" w:line="14" w:lineRule="exact"/>
        <w:rPr>
          <w:sz w:val="20"/>
          <w:szCs w:val="20"/>
          <w:color w:val="auto"/>
        </w:rPr>
      </w:pPr>
    </w:p>
    <w:p>
      <w:pPr>
        <w:ind w:left="2540" w:hanging="2497"/>
        <w:spacing w:after="0" w:line="181" w:lineRule="auto"/>
        <w:rPr>
          <w:sz w:val="20"/>
          <w:szCs w:val="20"/>
          <w:color w:val="auto"/>
        </w:rPr>
      </w:pPr>
      <w:r>
        <w:rPr>
          <w:rFonts w:ascii="Times New Roman" w:cs="Times New Roman" w:eastAsia="Times New Roman" w:hAnsi="Times New Roman"/>
          <w:sz w:val="19"/>
          <w:szCs w:val="19"/>
          <w:color w:val="auto"/>
        </w:rPr>
        <w:t xml:space="preserve">Common stock 07/02/2018 </w:t>
      </w:r>
      <w:r>
        <w:rPr>
          <w:rFonts w:ascii="Times New Roman" w:cs="Times New Roman" w:eastAsia="Times New Roman" w:hAnsi="Times New Roman"/>
          <w:sz w:val="37"/>
          <w:szCs w:val="37"/>
          <w:color w:val="auto"/>
          <w:vertAlign w:val="superscript"/>
        </w:rPr>
        <w:t>related -</w:t>
      </w:r>
      <w:r>
        <w:rPr>
          <w:rFonts w:ascii="Times New Roman" w:cs="Times New Roman" w:eastAsia="Times New Roman" w:hAnsi="Times New Roman"/>
          <w:sz w:val="19"/>
          <w:szCs w:val="19"/>
          <w:color w:val="auto"/>
        </w:rPr>
        <w:t xml:space="preserve"> Nonqualified</w:t>
      </w:r>
    </w:p>
    <w:p>
      <w:pPr>
        <w:ind w:left="2540"/>
        <w:spacing w:after="0"/>
        <w:rPr>
          <w:sz w:val="20"/>
          <w:szCs w:val="20"/>
          <w:color w:val="auto"/>
        </w:rPr>
      </w:pPr>
      <w:r>
        <w:rPr>
          <w:rFonts w:ascii="Times New Roman" w:cs="Times New Roman" w:eastAsia="Times New Roman" w:hAnsi="Times New Roman"/>
          <w:sz w:val="22"/>
          <w:szCs w:val="22"/>
          <w:color w:val="auto"/>
        </w:rPr>
        <w:t>stock option</w:t>
      </w:r>
    </w:p>
    <w:p>
      <w:pPr>
        <w:spacing w:after="0" w:line="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Employment</w:t>
      </w:r>
    </w:p>
    <w:p>
      <w:pPr>
        <w:spacing w:after="0" w:line="14" w:lineRule="exact"/>
        <w:rPr>
          <w:sz w:val="20"/>
          <w:szCs w:val="20"/>
          <w:color w:val="auto"/>
        </w:rPr>
      </w:pPr>
    </w:p>
    <w:p>
      <w:pPr>
        <w:ind w:left="2540" w:hanging="2497"/>
        <w:spacing w:after="0" w:line="181" w:lineRule="auto"/>
        <w:rPr>
          <w:sz w:val="20"/>
          <w:szCs w:val="20"/>
          <w:color w:val="auto"/>
        </w:rPr>
      </w:pPr>
      <w:r>
        <w:rPr>
          <w:rFonts w:ascii="Times New Roman" w:cs="Times New Roman" w:eastAsia="Times New Roman" w:hAnsi="Times New Roman"/>
          <w:sz w:val="19"/>
          <w:szCs w:val="19"/>
          <w:color w:val="auto"/>
        </w:rPr>
        <w:t xml:space="preserve">Common stock 04/24/2018 </w:t>
      </w:r>
      <w:r>
        <w:rPr>
          <w:rFonts w:ascii="Times New Roman" w:cs="Times New Roman" w:eastAsia="Times New Roman" w:hAnsi="Times New Roman"/>
          <w:sz w:val="37"/>
          <w:szCs w:val="37"/>
          <w:color w:val="auto"/>
          <w:vertAlign w:val="superscript"/>
        </w:rPr>
        <w:t>related -</w:t>
      </w:r>
      <w:r>
        <w:rPr>
          <w:rFonts w:ascii="Times New Roman" w:cs="Times New Roman" w:eastAsia="Times New Roman" w:hAnsi="Times New Roman"/>
          <w:sz w:val="19"/>
          <w:szCs w:val="19"/>
          <w:color w:val="auto"/>
        </w:rPr>
        <w:t xml:space="preserve"> Nonqualified</w:t>
      </w:r>
    </w:p>
    <w:p>
      <w:pPr>
        <w:ind w:left="2540"/>
        <w:spacing w:after="0"/>
        <w:rPr>
          <w:sz w:val="20"/>
          <w:szCs w:val="20"/>
          <w:color w:val="auto"/>
        </w:rPr>
      </w:pPr>
      <w:r>
        <w:rPr>
          <w:rFonts w:ascii="Times New Roman" w:cs="Times New Roman" w:eastAsia="Times New Roman" w:hAnsi="Times New Roman"/>
          <w:sz w:val="22"/>
          <w:szCs w:val="22"/>
          <w:color w:val="auto"/>
        </w:rPr>
        <w:t>stock option</w:t>
      </w:r>
    </w:p>
    <w:p>
      <w:pPr>
        <w:spacing w:after="0" w:line="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Employment</w:t>
      </w:r>
    </w:p>
    <w:p>
      <w:pPr>
        <w:spacing w:after="0" w:line="14" w:lineRule="exact"/>
        <w:rPr>
          <w:sz w:val="20"/>
          <w:szCs w:val="20"/>
          <w:color w:val="auto"/>
        </w:rPr>
      </w:pPr>
    </w:p>
    <w:p>
      <w:pPr>
        <w:ind w:left="2540" w:hanging="2497"/>
        <w:spacing w:after="0" w:line="181" w:lineRule="auto"/>
        <w:rPr>
          <w:sz w:val="20"/>
          <w:szCs w:val="20"/>
          <w:color w:val="auto"/>
        </w:rPr>
      </w:pPr>
      <w:r>
        <w:rPr>
          <w:rFonts w:ascii="Times New Roman" w:cs="Times New Roman" w:eastAsia="Times New Roman" w:hAnsi="Times New Roman"/>
          <w:sz w:val="19"/>
          <w:szCs w:val="19"/>
          <w:color w:val="auto"/>
        </w:rPr>
        <w:t xml:space="preserve">Common stock 06/09/2020 </w:t>
      </w:r>
      <w:r>
        <w:rPr>
          <w:rFonts w:ascii="Times New Roman" w:cs="Times New Roman" w:eastAsia="Times New Roman" w:hAnsi="Times New Roman"/>
          <w:sz w:val="37"/>
          <w:szCs w:val="37"/>
          <w:color w:val="auto"/>
          <w:vertAlign w:val="superscript"/>
        </w:rPr>
        <w:t>related -</w:t>
      </w:r>
      <w:r>
        <w:rPr>
          <w:rFonts w:ascii="Times New Roman" w:cs="Times New Roman" w:eastAsia="Times New Roman" w:hAnsi="Times New Roman"/>
          <w:sz w:val="19"/>
          <w:szCs w:val="19"/>
          <w:color w:val="auto"/>
        </w:rPr>
        <w:t xml:space="preserve"> Nonqualified</w:t>
      </w:r>
    </w:p>
    <w:p>
      <w:pPr>
        <w:ind w:left="2540"/>
        <w:spacing w:after="0"/>
        <w:rPr>
          <w:sz w:val="20"/>
          <w:szCs w:val="20"/>
          <w:color w:val="auto"/>
        </w:rPr>
      </w:pPr>
      <w:r>
        <w:rPr>
          <w:rFonts w:ascii="Times New Roman" w:cs="Times New Roman" w:eastAsia="Times New Roman" w:hAnsi="Times New Roman"/>
          <w:sz w:val="22"/>
          <w:szCs w:val="22"/>
          <w:color w:val="auto"/>
        </w:rPr>
        <w:t>stock option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SEACOR</w:t>
      </w:r>
    </w:p>
    <w:p>
      <w:pPr>
        <w:spacing w:after="0" w:line="4" w:lineRule="exact"/>
        <w:rPr>
          <w:sz w:val="20"/>
          <w:szCs w:val="20"/>
          <w:color w:val="auto"/>
        </w:rPr>
      </w:pPr>
    </w:p>
    <w:p>
      <w:pPr>
        <w:spacing w:after="0"/>
        <w:tabs>
          <w:tab w:leader="none" w:pos="1471" w:val="left"/>
        </w:tabs>
        <w:rPr>
          <w:sz w:val="20"/>
          <w:szCs w:val="20"/>
          <w:color w:val="auto"/>
        </w:rPr>
      </w:pPr>
      <w:r>
        <w:rPr>
          <w:rFonts w:ascii="Times New Roman" w:cs="Times New Roman" w:eastAsia="Times New Roman" w:hAnsi="Times New Roman"/>
          <w:sz w:val="22"/>
          <w:szCs w:val="22"/>
          <w:color w:val="auto"/>
        </w:rPr>
        <w:t>Marine</w:t>
      </w:r>
      <w:r>
        <w:rPr>
          <w:sz w:val="20"/>
          <w:szCs w:val="20"/>
          <w:color w:val="auto"/>
        </w:rPr>
        <w:tab/>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6250</w:t>
      </w:r>
    </w:p>
    <w:p>
      <w:pPr>
        <w:spacing w:after="0"/>
        <w:rPr>
          <w:sz w:val="20"/>
          <w:szCs w:val="20"/>
          <w:color w:val="auto"/>
        </w:rPr>
      </w:pPr>
      <w:r>
        <w:rPr>
          <w:rFonts w:ascii="Times New Roman" w:cs="Times New Roman" w:eastAsia="Times New Roman" w:hAnsi="Times New Roman"/>
          <w:sz w:val="22"/>
          <w:szCs w:val="22"/>
          <w:color w:val="auto"/>
        </w:rPr>
        <w:t>Holdings Inc.</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SEACOR</w:t>
      </w:r>
    </w:p>
    <w:p>
      <w:pPr>
        <w:spacing w:after="0" w:line="4" w:lineRule="exact"/>
        <w:rPr>
          <w:sz w:val="20"/>
          <w:szCs w:val="20"/>
          <w:color w:val="auto"/>
        </w:rPr>
      </w:pPr>
    </w:p>
    <w:p>
      <w:pPr>
        <w:spacing w:after="0"/>
        <w:tabs>
          <w:tab w:leader="none" w:pos="1471" w:val="left"/>
        </w:tabs>
        <w:rPr>
          <w:sz w:val="20"/>
          <w:szCs w:val="20"/>
          <w:color w:val="auto"/>
        </w:rPr>
      </w:pPr>
      <w:r>
        <w:rPr>
          <w:rFonts w:ascii="Times New Roman" w:cs="Times New Roman" w:eastAsia="Times New Roman" w:hAnsi="Times New Roman"/>
          <w:sz w:val="22"/>
          <w:szCs w:val="22"/>
          <w:color w:val="auto"/>
        </w:rPr>
        <w:t>Marine</w:t>
      </w:r>
      <w:r>
        <w:rPr>
          <w:sz w:val="20"/>
          <w:szCs w:val="20"/>
          <w:color w:val="auto"/>
        </w:rPr>
        <w:tab/>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6250</w:t>
      </w:r>
    </w:p>
    <w:p>
      <w:pPr>
        <w:spacing w:after="0"/>
        <w:rPr>
          <w:sz w:val="20"/>
          <w:szCs w:val="20"/>
          <w:color w:val="auto"/>
        </w:rPr>
      </w:pPr>
      <w:r>
        <w:rPr>
          <w:rFonts w:ascii="Times New Roman" w:cs="Times New Roman" w:eastAsia="Times New Roman" w:hAnsi="Times New Roman"/>
          <w:sz w:val="22"/>
          <w:szCs w:val="22"/>
          <w:color w:val="auto"/>
        </w:rPr>
        <w:t>Holdings Inc.</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SEACOR</w:t>
      </w:r>
    </w:p>
    <w:p>
      <w:pPr>
        <w:spacing w:after="0" w:line="4" w:lineRule="exact"/>
        <w:rPr>
          <w:sz w:val="20"/>
          <w:szCs w:val="20"/>
          <w:color w:val="auto"/>
        </w:rPr>
      </w:pPr>
    </w:p>
    <w:p>
      <w:pPr>
        <w:spacing w:after="0"/>
        <w:tabs>
          <w:tab w:leader="none" w:pos="1471" w:val="left"/>
        </w:tabs>
        <w:rPr>
          <w:sz w:val="20"/>
          <w:szCs w:val="20"/>
          <w:color w:val="auto"/>
        </w:rPr>
      </w:pPr>
      <w:r>
        <w:rPr>
          <w:rFonts w:ascii="Times New Roman" w:cs="Times New Roman" w:eastAsia="Times New Roman" w:hAnsi="Times New Roman"/>
          <w:sz w:val="22"/>
          <w:szCs w:val="22"/>
          <w:color w:val="auto"/>
        </w:rPr>
        <w:t>Marine</w:t>
      </w:r>
      <w:r>
        <w:rPr>
          <w:sz w:val="20"/>
          <w:szCs w:val="20"/>
          <w:color w:val="auto"/>
        </w:rPr>
        <w:tab/>
      </w:r>
      <w:r>
        <w:rPr>
          <w:sz w:val="1"/>
          <w:szCs w:val="1"/>
          <w:color w:val="auto"/>
        </w:rPr>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6250</w:t>
      </w:r>
    </w:p>
    <w:p>
      <w:pPr>
        <w:spacing w:after="0"/>
        <w:rPr>
          <w:sz w:val="20"/>
          <w:szCs w:val="20"/>
          <w:color w:val="auto"/>
        </w:rPr>
      </w:pPr>
      <w:r>
        <w:rPr>
          <w:rFonts w:ascii="Times New Roman" w:cs="Times New Roman" w:eastAsia="Times New Roman" w:hAnsi="Times New Roman"/>
          <w:sz w:val="22"/>
          <w:szCs w:val="22"/>
          <w:color w:val="auto"/>
        </w:rPr>
        <w:t>Holdings Inc.</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SEACOR</w:t>
      </w:r>
    </w:p>
    <w:p>
      <w:pPr>
        <w:spacing w:after="0" w:line="4" w:lineRule="exact"/>
        <w:rPr>
          <w:sz w:val="20"/>
          <w:szCs w:val="20"/>
          <w:color w:val="auto"/>
        </w:rPr>
      </w:pPr>
    </w:p>
    <w:p>
      <w:pPr>
        <w:spacing w:after="0"/>
        <w:tabs>
          <w:tab w:leader="none" w:pos="1471" w:val="left"/>
        </w:tabs>
        <w:rPr>
          <w:sz w:val="20"/>
          <w:szCs w:val="20"/>
          <w:color w:val="auto"/>
        </w:rPr>
      </w:pPr>
      <w:r>
        <w:rPr>
          <w:rFonts w:ascii="Times New Roman" w:cs="Times New Roman" w:eastAsia="Times New Roman" w:hAnsi="Times New Roman"/>
          <w:sz w:val="22"/>
          <w:szCs w:val="22"/>
          <w:color w:val="auto"/>
        </w:rPr>
        <w:t>Marine</w:t>
      </w:r>
      <w:r>
        <w:rPr>
          <w:sz w:val="20"/>
          <w:szCs w:val="20"/>
          <w:color w:val="auto"/>
        </w:rPr>
        <w:tab/>
      </w: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6250</w:t>
      </w:r>
    </w:p>
    <w:p>
      <w:pPr>
        <w:spacing w:after="0"/>
        <w:rPr>
          <w:sz w:val="20"/>
          <w:szCs w:val="20"/>
          <w:color w:val="auto"/>
        </w:rPr>
      </w:pPr>
      <w:r>
        <w:rPr>
          <w:rFonts w:ascii="Times New Roman" w:cs="Times New Roman" w:eastAsia="Times New Roman" w:hAnsi="Times New Roman"/>
          <w:sz w:val="22"/>
          <w:szCs w:val="22"/>
          <w:color w:val="auto"/>
        </w:rPr>
        <w:t>Holdings Inc.</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SEACOR</w:t>
      </w:r>
    </w:p>
    <w:p>
      <w:pPr>
        <w:spacing w:after="0" w:line="4" w:lineRule="exact"/>
        <w:rPr>
          <w:sz w:val="20"/>
          <w:szCs w:val="20"/>
          <w:color w:val="auto"/>
        </w:rPr>
      </w:pPr>
    </w:p>
    <w:p>
      <w:pPr>
        <w:spacing w:after="0"/>
        <w:tabs>
          <w:tab w:leader="none" w:pos="1471" w:val="left"/>
        </w:tabs>
        <w:rPr>
          <w:sz w:val="20"/>
          <w:szCs w:val="20"/>
          <w:color w:val="auto"/>
        </w:rPr>
      </w:pPr>
      <w:r>
        <w:rPr>
          <w:rFonts w:ascii="Times New Roman" w:cs="Times New Roman" w:eastAsia="Times New Roman" w:hAnsi="Times New Roman"/>
          <w:sz w:val="22"/>
          <w:szCs w:val="22"/>
          <w:color w:val="auto"/>
        </w:rPr>
        <w:t>Marine</w:t>
      </w:r>
      <w:r>
        <w:rPr>
          <w:sz w:val="20"/>
          <w:szCs w:val="20"/>
          <w:color w:val="auto"/>
        </w:rPr>
        <w:tab/>
      </w: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6250</w:t>
      </w:r>
    </w:p>
    <w:p>
      <w:pPr>
        <w:spacing w:after="0"/>
        <w:rPr>
          <w:sz w:val="20"/>
          <w:szCs w:val="20"/>
          <w:color w:val="auto"/>
        </w:rPr>
      </w:pPr>
      <w:r>
        <w:rPr>
          <w:rFonts w:ascii="Times New Roman" w:cs="Times New Roman" w:eastAsia="Times New Roman" w:hAnsi="Times New Roman"/>
          <w:sz w:val="22"/>
          <w:szCs w:val="22"/>
          <w:color w:val="auto"/>
        </w:rPr>
        <w:t>Holdings Inc.</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SEACOR</w:t>
      </w:r>
    </w:p>
    <w:p>
      <w:pPr>
        <w:spacing w:after="0" w:line="4" w:lineRule="exact"/>
        <w:rPr>
          <w:sz w:val="20"/>
          <w:szCs w:val="20"/>
          <w:color w:val="auto"/>
        </w:rPr>
      </w:pPr>
    </w:p>
    <w:p>
      <w:pPr>
        <w:spacing w:after="0"/>
        <w:tabs>
          <w:tab w:leader="none" w:pos="1471" w:val="left"/>
        </w:tabs>
        <w:rPr>
          <w:sz w:val="20"/>
          <w:szCs w:val="20"/>
          <w:color w:val="auto"/>
        </w:rPr>
      </w:pPr>
      <w:r>
        <w:rPr>
          <w:rFonts w:ascii="Times New Roman" w:cs="Times New Roman" w:eastAsia="Times New Roman" w:hAnsi="Times New Roman"/>
          <w:sz w:val="22"/>
          <w:szCs w:val="22"/>
          <w:color w:val="auto"/>
        </w:rPr>
        <w:t>Marine</w:t>
      </w:r>
      <w:r>
        <w:rPr>
          <w:sz w:val="20"/>
          <w:szCs w:val="20"/>
          <w:color w:val="auto"/>
        </w:rPr>
        <w:tab/>
      </w:r>
      <w:r>
        <w:rPr>
          <w:sz w:val="1"/>
          <w:szCs w:val="1"/>
          <w:color w:val="auto"/>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6250</w:t>
      </w:r>
    </w:p>
    <w:p>
      <w:pPr>
        <w:spacing w:after="0"/>
        <w:rPr>
          <w:sz w:val="20"/>
          <w:szCs w:val="20"/>
          <w:color w:val="auto"/>
        </w:rPr>
      </w:pPr>
      <w:r>
        <w:rPr>
          <w:rFonts w:ascii="Times New Roman" w:cs="Times New Roman" w:eastAsia="Times New Roman" w:hAnsi="Times New Roman"/>
          <w:sz w:val="22"/>
          <w:szCs w:val="22"/>
          <w:color w:val="auto"/>
        </w:rPr>
        <w:t>Holdings Inc.</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SEACOR</w:t>
      </w:r>
    </w:p>
    <w:p>
      <w:pPr>
        <w:spacing w:after="0" w:line="4" w:lineRule="exact"/>
        <w:rPr>
          <w:sz w:val="20"/>
          <w:szCs w:val="20"/>
          <w:color w:val="auto"/>
        </w:rPr>
      </w:pPr>
    </w:p>
    <w:p>
      <w:pPr>
        <w:spacing w:after="0"/>
        <w:tabs>
          <w:tab w:leader="none" w:pos="1471" w:val="left"/>
        </w:tabs>
        <w:rPr>
          <w:sz w:val="20"/>
          <w:szCs w:val="20"/>
          <w:color w:val="auto"/>
        </w:rPr>
      </w:pPr>
      <w:r>
        <w:rPr>
          <w:rFonts w:ascii="Times New Roman" w:cs="Times New Roman" w:eastAsia="Times New Roman" w:hAnsi="Times New Roman"/>
          <w:sz w:val="22"/>
          <w:szCs w:val="22"/>
          <w:color w:val="auto"/>
        </w:rPr>
        <w:t>Marine</w:t>
      </w:r>
      <w:r>
        <w:rPr>
          <w:sz w:val="20"/>
          <w:szCs w:val="20"/>
          <w:color w:val="auto"/>
        </w:rPr>
        <w:tab/>
      </w:r>
      <w:r>
        <w:rPr>
          <w:sz w:val="1"/>
          <w:szCs w:val="1"/>
          <w:color w:val="auto"/>
        </w:rPr>
        <w:drawing>
          <wp:inline distT="0" distB="0" distL="0" distR="0">
            <wp:extent cx="128905" cy="1289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3250</w:t>
      </w:r>
    </w:p>
    <w:p>
      <w:pPr>
        <w:spacing w:after="0"/>
        <w:rPr>
          <w:sz w:val="20"/>
          <w:szCs w:val="20"/>
          <w:color w:val="auto"/>
        </w:rPr>
      </w:pPr>
      <w:r>
        <w:rPr>
          <w:rFonts w:ascii="Times New Roman" w:cs="Times New Roman" w:eastAsia="Times New Roman" w:hAnsi="Times New Roman"/>
          <w:sz w:val="22"/>
          <w:szCs w:val="22"/>
          <w:color w:val="auto"/>
        </w:rPr>
        <w:t>Holdings Inc.</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SEACOR</w:t>
      </w:r>
    </w:p>
    <w:p>
      <w:pPr>
        <w:spacing w:after="0" w:line="4" w:lineRule="exact"/>
        <w:rPr>
          <w:sz w:val="20"/>
          <w:szCs w:val="20"/>
          <w:color w:val="auto"/>
        </w:rPr>
      </w:pPr>
    </w:p>
    <w:p>
      <w:pPr>
        <w:spacing w:after="0"/>
        <w:tabs>
          <w:tab w:leader="none" w:pos="1471" w:val="left"/>
        </w:tabs>
        <w:rPr>
          <w:sz w:val="20"/>
          <w:szCs w:val="20"/>
          <w:color w:val="auto"/>
        </w:rPr>
      </w:pPr>
      <w:r>
        <w:rPr>
          <w:rFonts w:ascii="Times New Roman" w:cs="Times New Roman" w:eastAsia="Times New Roman" w:hAnsi="Times New Roman"/>
          <w:sz w:val="22"/>
          <w:szCs w:val="22"/>
          <w:color w:val="auto"/>
        </w:rPr>
        <w:t>Marine</w:t>
      </w:r>
      <w:r>
        <w:rPr>
          <w:sz w:val="20"/>
          <w:szCs w:val="20"/>
          <w:color w:val="auto"/>
        </w:rPr>
        <w:tab/>
      </w: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3250</w:t>
      </w:r>
    </w:p>
    <w:p>
      <w:pPr>
        <w:spacing w:after="0"/>
        <w:rPr>
          <w:sz w:val="20"/>
          <w:szCs w:val="20"/>
          <w:color w:val="auto"/>
        </w:rPr>
      </w:pPr>
      <w:r>
        <w:rPr>
          <w:rFonts w:ascii="Times New Roman" w:cs="Times New Roman" w:eastAsia="Times New Roman" w:hAnsi="Times New Roman"/>
          <w:sz w:val="22"/>
          <w:szCs w:val="22"/>
          <w:color w:val="auto"/>
        </w:rPr>
        <w:t>Holdings Inc.</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SEACOR</w:t>
      </w:r>
    </w:p>
    <w:p>
      <w:pPr>
        <w:spacing w:after="0" w:line="4" w:lineRule="exact"/>
        <w:rPr>
          <w:sz w:val="20"/>
          <w:szCs w:val="20"/>
          <w:color w:val="auto"/>
        </w:rPr>
      </w:pPr>
    </w:p>
    <w:p>
      <w:pPr>
        <w:spacing w:after="0"/>
        <w:tabs>
          <w:tab w:leader="none" w:pos="1471" w:val="left"/>
        </w:tabs>
        <w:rPr>
          <w:sz w:val="20"/>
          <w:szCs w:val="20"/>
          <w:color w:val="auto"/>
        </w:rPr>
      </w:pPr>
      <w:r>
        <w:rPr>
          <w:rFonts w:ascii="Times New Roman" w:cs="Times New Roman" w:eastAsia="Times New Roman" w:hAnsi="Times New Roman"/>
          <w:sz w:val="22"/>
          <w:szCs w:val="22"/>
          <w:color w:val="auto"/>
        </w:rPr>
        <w:t>Marine</w:t>
      </w:r>
      <w:r>
        <w:rPr>
          <w:sz w:val="20"/>
          <w:szCs w:val="20"/>
          <w:color w:val="auto"/>
        </w:rPr>
        <w:tab/>
      </w: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6250</w:t>
      </w:r>
    </w:p>
    <w:p>
      <w:pPr>
        <w:spacing w:after="0"/>
        <w:rPr>
          <w:sz w:val="20"/>
          <w:szCs w:val="20"/>
          <w:color w:val="auto"/>
        </w:rPr>
      </w:pPr>
      <w:r>
        <w:rPr>
          <w:rFonts w:ascii="Times New Roman" w:cs="Times New Roman" w:eastAsia="Times New Roman" w:hAnsi="Times New Roman"/>
          <w:sz w:val="22"/>
          <w:szCs w:val="22"/>
          <w:color w:val="auto"/>
        </w:rPr>
        <w:t>Holdings Inc.</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SEACOR</w:t>
      </w:r>
    </w:p>
    <w:p>
      <w:pPr>
        <w:spacing w:after="0" w:line="4" w:lineRule="exact"/>
        <w:rPr>
          <w:sz w:val="20"/>
          <w:szCs w:val="20"/>
          <w:color w:val="auto"/>
        </w:rPr>
      </w:pPr>
    </w:p>
    <w:p>
      <w:pPr>
        <w:spacing w:after="0"/>
        <w:tabs>
          <w:tab w:leader="none" w:pos="1471" w:val="left"/>
        </w:tabs>
        <w:rPr>
          <w:sz w:val="20"/>
          <w:szCs w:val="20"/>
          <w:color w:val="auto"/>
        </w:rPr>
      </w:pPr>
      <w:r>
        <w:rPr>
          <w:rFonts w:ascii="Times New Roman" w:cs="Times New Roman" w:eastAsia="Times New Roman" w:hAnsi="Times New Roman"/>
          <w:sz w:val="22"/>
          <w:szCs w:val="22"/>
          <w:color w:val="auto"/>
        </w:rPr>
        <w:t>Marine</w:t>
      </w:r>
      <w:r>
        <w:rPr>
          <w:sz w:val="20"/>
          <w:szCs w:val="20"/>
          <w:color w:val="auto"/>
        </w:rPr>
        <w:tab/>
      </w:r>
      <w:r>
        <w:rPr>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18750</w:t>
      </w:r>
    </w:p>
    <w:p>
      <w:pPr>
        <w:spacing w:after="0"/>
        <w:rPr>
          <w:sz w:val="20"/>
          <w:szCs w:val="20"/>
          <w:color w:val="auto"/>
        </w:rPr>
      </w:pPr>
      <w:r>
        <w:rPr>
          <w:rFonts w:ascii="Times New Roman" w:cs="Times New Roman" w:eastAsia="Times New Roman" w:hAnsi="Times New Roman"/>
          <w:sz w:val="22"/>
          <w:szCs w:val="22"/>
          <w:color w:val="auto"/>
        </w:rPr>
        <w:t>Holdings Inc.</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06/23/2026 </w:t>
      </w:r>
      <w:r>
        <w:rPr>
          <w:rFonts w:ascii="Times New Roman" w:cs="Times New Roman" w:eastAsia="Times New Roman" w:hAnsi="Times New Roman"/>
          <w:sz w:val="25"/>
          <w:szCs w:val="25"/>
          <w:color w:val="auto"/>
          <w:vertAlign w:val="superscript"/>
        </w:rPr>
        <w:t>Compensatory</w:t>
      </w:r>
      <w:r>
        <w:rPr>
          <w:rFonts w:ascii="Times New Roman" w:cs="Times New Roman" w:eastAsia="Times New Roman" w:hAnsi="Times New Roman"/>
          <w:sz w:val="25"/>
          <w:szCs w:val="25"/>
          <w:color w:val="auto"/>
          <w:vertAlign w:val="subscript"/>
        </w:rPr>
        <w:t>payment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06/23/2026 </w:t>
      </w:r>
      <w:r>
        <w:rPr>
          <w:rFonts w:ascii="Times New Roman" w:cs="Times New Roman" w:eastAsia="Times New Roman" w:hAnsi="Times New Roman"/>
          <w:sz w:val="25"/>
          <w:szCs w:val="25"/>
          <w:color w:val="auto"/>
          <w:vertAlign w:val="superscript"/>
        </w:rPr>
        <w:t>Compensatory</w:t>
      </w:r>
      <w:r>
        <w:rPr>
          <w:rFonts w:ascii="Times New Roman" w:cs="Times New Roman" w:eastAsia="Times New Roman" w:hAnsi="Times New Roman"/>
          <w:sz w:val="25"/>
          <w:szCs w:val="25"/>
          <w:color w:val="auto"/>
          <w:vertAlign w:val="subscript"/>
        </w:rPr>
        <w:t>payment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06/23/2026 </w:t>
      </w:r>
      <w:r>
        <w:rPr>
          <w:rFonts w:ascii="Times New Roman" w:cs="Times New Roman" w:eastAsia="Times New Roman" w:hAnsi="Times New Roman"/>
          <w:sz w:val="25"/>
          <w:szCs w:val="25"/>
          <w:color w:val="auto"/>
          <w:vertAlign w:val="superscript"/>
        </w:rPr>
        <w:t>Compensatory</w:t>
      </w:r>
      <w:r>
        <w:rPr>
          <w:rFonts w:ascii="Times New Roman" w:cs="Times New Roman" w:eastAsia="Times New Roman" w:hAnsi="Times New Roman"/>
          <w:sz w:val="25"/>
          <w:szCs w:val="25"/>
          <w:color w:val="auto"/>
          <w:vertAlign w:val="subscript"/>
        </w:rPr>
        <w:t>payment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06/23/2026 </w:t>
      </w:r>
      <w:r>
        <w:rPr>
          <w:rFonts w:ascii="Times New Roman" w:cs="Times New Roman" w:eastAsia="Times New Roman" w:hAnsi="Times New Roman"/>
          <w:sz w:val="25"/>
          <w:szCs w:val="25"/>
          <w:color w:val="auto"/>
          <w:vertAlign w:val="superscript"/>
        </w:rPr>
        <w:t>Compensatory</w:t>
      </w:r>
      <w:r>
        <w:rPr>
          <w:rFonts w:ascii="Times New Roman" w:cs="Times New Roman" w:eastAsia="Times New Roman" w:hAnsi="Times New Roman"/>
          <w:sz w:val="25"/>
          <w:szCs w:val="25"/>
          <w:color w:val="auto"/>
          <w:vertAlign w:val="subscript"/>
        </w:rPr>
        <w:t>payment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06/23/2026 </w:t>
      </w:r>
      <w:r>
        <w:rPr>
          <w:rFonts w:ascii="Times New Roman" w:cs="Times New Roman" w:eastAsia="Times New Roman" w:hAnsi="Times New Roman"/>
          <w:sz w:val="25"/>
          <w:szCs w:val="25"/>
          <w:color w:val="auto"/>
          <w:vertAlign w:val="superscript"/>
        </w:rPr>
        <w:t>Compensatory</w:t>
      </w:r>
      <w:r>
        <w:rPr>
          <w:rFonts w:ascii="Times New Roman" w:cs="Times New Roman" w:eastAsia="Times New Roman" w:hAnsi="Times New Roman"/>
          <w:sz w:val="25"/>
          <w:szCs w:val="25"/>
          <w:color w:val="auto"/>
          <w:vertAlign w:val="subscript"/>
        </w:rPr>
        <w:t>payment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06/23/2026 </w:t>
      </w:r>
      <w:r>
        <w:rPr>
          <w:rFonts w:ascii="Times New Roman" w:cs="Times New Roman" w:eastAsia="Times New Roman" w:hAnsi="Times New Roman"/>
          <w:sz w:val="25"/>
          <w:szCs w:val="25"/>
          <w:color w:val="auto"/>
          <w:vertAlign w:val="superscript"/>
        </w:rPr>
        <w:t>Compensatory</w:t>
      </w:r>
      <w:r>
        <w:rPr>
          <w:rFonts w:ascii="Times New Roman" w:cs="Times New Roman" w:eastAsia="Times New Roman" w:hAnsi="Times New Roman"/>
          <w:sz w:val="25"/>
          <w:szCs w:val="25"/>
          <w:color w:val="auto"/>
          <w:vertAlign w:val="subscript"/>
        </w:rPr>
        <w:t>payment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06/23/2026 </w:t>
      </w:r>
      <w:r>
        <w:rPr>
          <w:rFonts w:ascii="Times New Roman" w:cs="Times New Roman" w:eastAsia="Times New Roman" w:hAnsi="Times New Roman"/>
          <w:sz w:val="25"/>
          <w:szCs w:val="25"/>
          <w:color w:val="auto"/>
          <w:vertAlign w:val="superscript"/>
        </w:rPr>
        <w:t>Compensatory</w:t>
      </w:r>
      <w:r>
        <w:rPr>
          <w:rFonts w:ascii="Times New Roman" w:cs="Times New Roman" w:eastAsia="Times New Roman" w:hAnsi="Times New Roman"/>
          <w:sz w:val="25"/>
          <w:szCs w:val="25"/>
          <w:color w:val="auto"/>
          <w:vertAlign w:val="subscript"/>
        </w:rPr>
        <w:t>payment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06/23/2026 </w:t>
      </w:r>
      <w:r>
        <w:rPr>
          <w:rFonts w:ascii="Times New Roman" w:cs="Times New Roman" w:eastAsia="Times New Roman" w:hAnsi="Times New Roman"/>
          <w:sz w:val="25"/>
          <w:szCs w:val="25"/>
          <w:color w:val="auto"/>
          <w:vertAlign w:val="superscript"/>
        </w:rPr>
        <w:t>Compensatory</w:t>
      </w:r>
      <w:r>
        <w:rPr>
          <w:rFonts w:ascii="Times New Roman" w:cs="Times New Roman" w:eastAsia="Times New Roman" w:hAnsi="Times New Roman"/>
          <w:sz w:val="25"/>
          <w:szCs w:val="25"/>
          <w:color w:val="auto"/>
          <w:vertAlign w:val="subscript"/>
        </w:rPr>
        <w:t>payment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06/23/2026 </w:t>
      </w:r>
      <w:r>
        <w:rPr>
          <w:rFonts w:ascii="Times New Roman" w:cs="Times New Roman" w:eastAsia="Times New Roman" w:hAnsi="Times New Roman"/>
          <w:sz w:val="25"/>
          <w:szCs w:val="25"/>
          <w:color w:val="auto"/>
          <w:vertAlign w:val="superscript"/>
        </w:rPr>
        <w:t>Compensatory</w:t>
      </w:r>
      <w:r>
        <w:rPr>
          <w:rFonts w:ascii="Times New Roman" w:cs="Times New Roman" w:eastAsia="Times New Roman" w:hAnsi="Times New Roman"/>
          <w:sz w:val="25"/>
          <w:szCs w:val="25"/>
          <w:color w:val="auto"/>
          <w:vertAlign w:val="subscript"/>
        </w:rPr>
        <w:t>payment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06/23/2026 </w:t>
      </w:r>
      <w:r>
        <w:rPr>
          <w:rFonts w:ascii="Times New Roman" w:cs="Times New Roman" w:eastAsia="Times New Roman" w:hAnsi="Times New Roman"/>
          <w:sz w:val="25"/>
          <w:szCs w:val="25"/>
          <w:color w:val="auto"/>
          <w:vertAlign w:val="superscript"/>
        </w:rPr>
        <w:t>Compensatory</w:t>
      </w:r>
      <w:r>
        <w:rPr>
          <w:rFonts w:ascii="Times New Roman" w:cs="Times New Roman" w:eastAsia="Times New Roman" w:hAnsi="Times New Roman"/>
          <w:sz w:val="25"/>
          <w:szCs w:val="25"/>
          <w:color w:val="auto"/>
          <w:vertAlign w:val="subscript"/>
        </w:rPr>
        <w:t>payment</w:t>
      </w:r>
    </w:p>
    <w:p>
      <w:pPr>
        <w:sectPr>
          <w:pgSz w:w="11900" w:h="16838" w:orient="portrait"/>
          <w:cols w:equalWidth="0" w:num="3">
            <w:col w:w="3680" w:space="560"/>
            <w:col w:w="3520" w:space="720"/>
            <w:col w:w="2380"/>
          </w:cols>
          <w:pgMar w:left="320" w:top="88" w:right="719" w:bottom="157" w:gutter="0" w:footer="0" w:header="0"/>
          <w:type w:val="continuous"/>
        </w:sectPr>
      </w:pPr>
    </w:p>
    <w:bookmarkStart w:id="2" w:name="page3"/>
    <w:bookmarkEnd w:id="2"/>
    <w:p>
      <w:pPr>
        <w:jc w:val="both"/>
        <w:ind w:firstLine="8"/>
        <w:spacing w:after="0"/>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is the initial Form144 for Jesus Llorca's 10b51 plan that will end on 06/15/2027.</w:t>
      </w:r>
    </w:p>
    <w:p>
      <w:pPr>
        <w:spacing w:after="0" w:line="56" w:lineRule="exact"/>
        <w:rPr>
          <w:sz w:val="20"/>
          <w:szCs w:val="20"/>
          <w:color w:val="auto"/>
        </w:rPr>
      </w:pPr>
    </w:p>
    <w:p>
      <w:pPr>
        <w:sectPr>
          <w:pgSz w:w="11900" w:h="16838" w:orient="portrait"/>
          <w:cols w:equalWidth="0" w:num="2">
            <w:col w:w="1020" w:space="720"/>
            <w:col w:w="95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06/22/2026</w:t>
      </w:r>
    </w:p>
    <w:p>
      <w:pPr>
        <w:spacing w:after="0" w:line="50" w:lineRule="exact"/>
        <w:rPr>
          <w:sz w:val="20"/>
          <w:szCs w:val="20"/>
          <w:color w:val="auto"/>
        </w:rPr>
      </w:pPr>
    </w:p>
    <w:p>
      <w:pPr>
        <w:sectPr>
          <w:pgSz w:w="11900" w:h="16838" w:orient="portrait"/>
          <w:cols w:equalWidth="0" w:num="2">
            <w:col w:w="1320" w:space="420"/>
            <w:col w:w="95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Jesus Llorca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2026-06-22T16:21:58Z</dcterms:created>
  <dcterms:modified xsi:type="dcterms:W3CDTF">2026-06-22T16:21:58Z</dcterms:modified>
</cp:coreProperties>
</file>